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b/>
          <w:color w:val="auto"/>
          <w:kern w:val="0"/>
          <w:sz w:val="32"/>
          <w:szCs w:val="32"/>
          <w:highlight w:val="none"/>
          <w:lang w:bidi="en-US"/>
        </w:rPr>
      </w:pPr>
    </w:p>
    <w:p>
      <w:pPr>
        <w:pageBreakBefore w:val="0"/>
        <w:tabs>
          <w:tab w:val="left" w:pos="1680"/>
        </w:tabs>
        <w:kinsoku/>
        <w:wordWrap/>
        <w:topLinePunct w:val="0"/>
        <w:autoSpaceDE/>
        <w:autoSpaceDN/>
        <w:bidi w:val="0"/>
        <w:spacing w:line="560" w:lineRule="exact"/>
        <w:ind w:left="0" w:leftChars="0" w:right="0" w:rightChars="0" w:firstLine="0" w:firstLineChars="0"/>
        <w:jc w:val="center"/>
        <w:outlineLvl w:val="0"/>
        <w:rPr>
          <w:rFonts w:hint="eastAsia" w:ascii="方正小标宋_GBK" w:hAnsi="方正小标宋_GBK" w:eastAsia="方正小标宋_GBK" w:cs="方正小标宋_GBK"/>
          <w:b/>
          <w:color w:val="auto"/>
          <w:sz w:val="40"/>
          <w:szCs w:val="40"/>
          <w:highlight w:val="none"/>
        </w:rPr>
      </w:pPr>
    </w:p>
    <w:p>
      <w:pPr>
        <w:pageBreakBefore w:val="0"/>
        <w:tabs>
          <w:tab w:val="left" w:pos="1680"/>
        </w:tabs>
        <w:kinsoku/>
        <w:wordWrap/>
        <w:topLinePunct w:val="0"/>
        <w:autoSpaceDE/>
        <w:autoSpaceDN/>
        <w:bidi w:val="0"/>
        <w:spacing w:line="560" w:lineRule="exact"/>
        <w:ind w:left="0" w:leftChars="0" w:right="0" w:rightChars="0" w:firstLine="0" w:firstLineChars="0"/>
        <w:jc w:val="center"/>
        <w:outlineLvl w:val="0"/>
        <w:rPr>
          <w:rFonts w:hint="eastAsia" w:ascii="方正小标宋_GBK" w:hAnsi="方正小标宋_GBK" w:eastAsia="方正小标宋_GBK" w:cs="方正小标宋_GBK"/>
          <w:b/>
          <w:color w:val="auto"/>
          <w:sz w:val="40"/>
          <w:szCs w:val="40"/>
          <w:highlight w:val="none"/>
        </w:rPr>
      </w:pPr>
    </w:p>
    <w:p>
      <w:pPr>
        <w:pageBreakBefore w:val="0"/>
        <w:tabs>
          <w:tab w:val="left" w:pos="1680"/>
        </w:tabs>
        <w:kinsoku/>
        <w:wordWrap/>
        <w:topLinePunct w:val="0"/>
        <w:autoSpaceDE/>
        <w:autoSpaceDN/>
        <w:bidi w:val="0"/>
        <w:spacing w:line="560" w:lineRule="exact"/>
        <w:ind w:left="0" w:leftChars="0" w:right="0" w:rightChars="0" w:firstLine="0" w:firstLineChars="0"/>
        <w:jc w:val="center"/>
        <w:outlineLvl w:val="0"/>
        <w:rPr>
          <w:rFonts w:hint="eastAsia" w:ascii="方正小标宋_GBK" w:hAnsi="方正小标宋_GBK" w:eastAsia="方正小标宋_GBK" w:cs="方正小标宋_GBK"/>
          <w:b/>
          <w:color w:val="auto"/>
          <w:sz w:val="40"/>
          <w:szCs w:val="40"/>
          <w:highlight w:val="none"/>
        </w:rPr>
      </w:pPr>
    </w:p>
    <w:p>
      <w:pPr>
        <w:pageBreakBefore w:val="0"/>
        <w:tabs>
          <w:tab w:val="left" w:pos="1680"/>
        </w:tabs>
        <w:kinsoku/>
        <w:wordWrap/>
        <w:topLinePunct w:val="0"/>
        <w:autoSpaceDE/>
        <w:autoSpaceDN/>
        <w:bidi w:val="0"/>
        <w:spacing w:line="560" w:lineRule="exact"/>
        <w:ind w:left="0" w:leftChars="0" w:right="0" w:rightChars="0" w:firstLine="0" w:firstLineChars="0"/>
        <w:jc w:val="center"/>
        <w:outlineLvl w:val="0"/>
        <w:rPr>
          <w:rFonts w:hint="eastAsia" w:ascii="方正小标宋_GBK" w:hAnsi="方正小标宋_GBK" w:eastAsia="方正小标宋_GBK" w:cs="方正小标宋_GBK"/>
          <w:b/>
          <w:color w:val="auto"/>
          <w:sz w:val="40"/>
          <w:szCs w:val="40"/>
          <w:highlight w:val="none"/>
        </w:rPr>
      </w:pPr>
      <w:r>
        <w:rPr>
          <w:rFonts w:hint="eastAsia" w:ascii="方正小标宋_GBK" w:hAnsi="方正小标宋_GBK" w:eastAsia="方正小标宋_GBK" w:cs="方正小标宋_GBK"/>
          <w:b/>
          <w:color w:val="auto"/>
          <w:sz w:val="40"/>
          <w:szCs w:val="40"/>
          <w:highlight w:val="none"/>
        </w:rPr>
        <w:t>项目支出绩效评价报告</w:t>
      </w:r>
      <w:bookmarkStart w:id="18" w:name="_GoBack"/>
      <w:bookmarkEnd w:id="18"/>
    </w:p>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b/>
          <w:color w:val="auto"/>
          <w:kern w:val="0"/>
          <w:sz w:val="32"/>
          <w:szCs w:val="32"/>
          <w:highlight w:val="none"/>
          <w:lang w:bidi="en-US"/>
        </w:rPr>
      </w:pPr>
    </w:p>
    <w:p>
      <w:pPr>
        <w:pageBreakBefore w:val="0"/>
        <w:kinsoku/>
        <w:wordWrap/>
        <w:topLinePunct w:val="0"/>
        <w:autoSpaceDE/>
        <w:autoSpaceDN/>
        <w:bidi w:val="0"/>
        <w:spacing w:line="560" w:lineRule="exact"/>
        <w:ind w:right="0" w:rightChars="0" w:firstLine="0" w:firstLineChars="0"/>
        <w:jc w:val="center"/>
        <w:rPr>
          <w:rFonts w:hint="eastAsia" w:ascii="仿宋_GB2312" w:hAnsi="仿宋_GB2312" w:cs="仿宋_GB2312"/>
          <w:color w:val="auto"/>
          <w:kern w:val="0"/>
          <w:sz w:val="32"/>
          <w:szCs w:val="32"/>
          <w:highlight w:val="none"/>
          <w:lang w:bidi="en-US"/>
        </w:rPr>
      </w:pPr>
    </w:p>
    <w:p>
      <w:pPr>
        <w:pageBreakBefore w:val="0"/>
        <w:kinsoku/>
        <w:wordWrap/>
        <w:topLinePunct w:val="0"/>
        <w:autoSpaceDE/>
        <w:autoSpaceDN/>
        <w:bidi w:val="0"/>
        <w:spacing w:line="560" w:lineRule="exact"/>
        <w:ind w:right="0" w:rightChars="0" w:firstLine="1411" w:firstLineChars="441"/>
        <w:jc w:val="left"/>
        <w:rPr>
          <w:rFonts w:hint="eastAsia" w:cs="仿宋_GB2312"/>
          <w:color w:val="auto"/>
          <w:kern w:val="0"/>
          <w:sz w:val="32"/>
          <w:szCs w:val="32"/>
          <w:highlight w:val="none"/>
          <w:lang w:val="en-US" w:eastAsia="zh-CN" w:bidi="en-US"/>
        </w:rPr>
      </w:pPr>
      <w:r>
        <w:rPr>
          <w:rFonts w:hint="eastAsia" w:ascii="仿宋_GB2312" w:hAnsi="仿宋_GB2312" w:cs="仿宋_GB2312"/>
          <w:color w:val="auto"/>
          <w:kern w:val="0"/>
          <w:sz w:val="32"/>
          <w:szCs w:val="32"/>
          <w:highlight w:val="none"/>
          <w:lang w:bidi="en-US"/>
        </w:rPr>
        <w:t>项目名称：中央重大传染病防控补助资金项目</w:t>
      </w:r>
    </w:p>
    <w:p>
      <w:pPr>
        <w:pageBreakBefore w:val="0"/>
        <w:kinsoku/>
        <w:wordWrap/>
        <w:topLinePunct w:val="0"/>
        <w:autoSpaceDE/>
        <w:autoSpaceDN/>
        <w:bidi w:val="0"/>
        <w:spacing w:line="560" w:lineRule="exact"/>
        <w:ind w:right="0" w:rightChars="0" w:firstLine="1411" w:firstLineChars="441"/>
        <w:jc w:val="left"/>
        <w:rPr>
          <w:rFonts w:hint="eastAsia" w:ascii="仿宋_GB2312" w:hAnsi="仿宋_GB2312" w:eastAsia="仿宋_GB2312" w:cs="仿宋_GB2312"/>
          <w:color w:val="auto"/>
          <w:kern w:val="0"/>
          <w:sz w:val="32"/>
          <w:szCs w:val="32"/>
          <w:highlight w:val="none"/>
          <w:lang w:val="en-US" w:eastAsia="zh-CN" w:bidi="en-US"/>
        </w:rPr>
      </w:pPr>
      <w:r>
        <w:rPr>
          <w:rFonts w:hint="eastAsia" w:ascii="仿宋_GB2312" w:hAnsi="仿宋_GB2312" w:cs="仿宋_GB2312"/>
          <w:color w:val="auto"/>
          <w:kern w:val="0"/>
          <w:sz w:val="32"/>
          <w:szCs w:val="32"/>
          <w:highlight w:val="none"/>
          <w:lang w:bidi="en-US"/>
        </w:rPr>
        <w:t>项目单位：</w:t>
      </w:r>
      <w:r>
        <w:rPr>
          <w:rFonts w:hint="eastAsia" w:cs="仿宋_GB2312"/>
          <w:color w:val="auto"/>
          <w:kern w:val="0"/>
          <w:sz w:val="32"/>
          <w:szCs w:val="32"/>
          <w:highlight w:val="none"/>
          <w:lang w:eastAsia="zh-CN" w:bidi="en-US"/>
        </w:rPr>
        <w:t>巩留县疾病预防控制中心</w:t>
      </w:r>
    </w:p>
    <w:p>
      <w:pPr>
        <w:pageBreakBefore w:val="0"/>
        <w:kinsoku/>
        <w:wordWrap/>
        <w:topLinePunct w:val="0"/>
        <w:autoSpaceDE/>
        <w:autoSpaceDN/>
        <w:bidi w:val="0"/>
        <w:spacing w:line="560" w:lineRule="exact"/>
        <w:ind w:right="0" w:rightChars="0" w:firstLine="1411" w:firstLineChars="441"/>
        <w:jc w:val="left"/>
        <w:rPr>
          <w:rFonts w:hint="eastAsia" w:ascii="仿宋_GB2312" w:hAnsi="仿宋_GB2312" w:eastAsia="仿宋_GB2312" w:cs="仿宋_GB2312"/>
          <w:color w:val="auto"/>
          <w:kern w:val="0"/>
          <w:sz w:val="32"/>
          <w:szCs w:val="32"/>
          <w:highlight w:val="none"/>
          <w:lang w:eastAsia="zh-CN" w:bidi="en-US"/>
        </w:rPr>
      </w:pPr>
      <w:r>
        <w:rPr>
          <w:rFonts w:hint="eastAsia" w:ascii="仿宋_GB2312" w:hAnsi="仿宋_GB2312" w:cs="仿宋_GB2312"/>
          <w:color w:val="auto"/>
          <w:kern w:val="0"/>
          <w:sz w:val="32"/>
          <w:szCs w:val="32"/>
          <w:highlight w:val="none"/>
          <w:lang w:bidi="en-US"/>
        </w:rPr>
        <w:t>项目负责人：</w:t>
      </w:r>
      <w:r>
        <w:rPr>
          <w:rFonts w:hint="eastAsia" w:cs="仿宋_GB2312"/>
          <w:color w:val="auto"/>
          <w:kern w:val="0"/>
          <w:sz w:val="32"/>
          <w:szCs w:val="32"/>
          <w:highlight w:val="none"/>
          <w:lang w:eastAsia="zh-CN" w:bidi="en-US"/>
        </w:rPr>
        <w:t>丁倩然</w:t>
      </w:r>
    </w:p>
    <w:p>
      <w:pPr>
        <w:pageBreakBefore w:val="0"/>
        <w:kinsoku/>
        <w:wordWrap/>
        <w:topLinePunct w:val="0"/>
        <w:autoSpaceDE/>
        <w:autoSpaceDN/>
        <w:bidi w:val="0"/>
        <w:spacing w:line="560" w:lineRule="exact"/>
        <w:ind w:right="0" w:rightChars="0" w:firstLine="1411" w:firstLineChars="441"/>
        <w:jc w:val="left"/>
        <w:rPr>
          <w:rFonts w:ascii="仿宋_GB2312" w:hAnsi="仿宋_GB2312" w:cs="仿宋_GB2312"/>
          <w:color w:val="auto"/>
          <w:kern w:val="0"/>
          <w:sz w:val="32"/>
          <w:szCs w:val="32"/>
          <w:highlight w:val="none"/>
          <w:lang w:bidi="en-US"/>
        </w:rPr>
      </w:pPr>
      <w:r>
        <w:rPr>
          <w:rFonts w:hint="eastAsia" w:ascii="仿宋_GB2312" w:hAnsi="仿宋_GB2312" w:cs="仿宋_GB2312"/>
          <w:color w:val="auto"/>
          <w:kern w:val="0"/>
          <w:sz w:val="32"/>
          <w:szCs w:val="32"/>
          <w:highlight w:val="none"/>
          <w:lang w:bidi="en-US"/>
        </w:rPr>
        <w:t>填报时间：</w:t>
      </w:r>
      <w:r>
        <w:rPr>
          <w:rFonts w:hint="eastAsia" w:cs="仿宋_GB2312"/>
          <w:color w:val="auto"/>
          <w:kern w:val="0"/>
          <w:sz w:val="32"/>
          <w:szCs w:val="32"/>
          <w:highlight w:val="none"/>
          <w:lang w:val="en-US" w:eastAsia="zh-CN" w:bidi="en-US"/>
        </w:rPr>
        <w:t>2023</w:t>
      </w:r>
      <w:r>
        <w:rPr>
          <w:rFonts w:hint="eastAsia" w:ascii="仿宋_GB2312" w:hAnsi="仿宋_GB2312" w:cs="仿宋_GB2312"/>
          <w:color w:val="auto"/>
          <w:kern w:val="0"/>
          <w:sz w:val="32"/>
          <w:szCs w:val="32"/>
          <w:highlight w:val="none"/>
          <w:lang w:bidi="en-US"/>
        </w:rPr>
        <w:t>年</w:t>
      </w:r>
      <w:r>
        <w:rPr>
          <w:rFonts w:hint="eastAsia" w:cs="仿宋_GB2312"/>
          <w:color w:val="auto"/>
          <w:kern w:val="0"/>
          <w:sz w:val="32"/>
          <w:szCs w:val="32"/>
          <w:highlight w:val="none"/>
          <w:lang w:val="en-US" w:eastAsia="zh-CN" w:bidi="en-US"/>
        </w:rPr>
        <w:t>2</w:t>
      </w:r>
      <w:r>
        <w:rPr>
          <w:rFonts w:hint="eastAsia" w:ascii="仿宋_GB2312" w:hAnsi="仿宋_GB2312" w:cs="仿宋_GB2312"/>
          <w:color w:val="auto"/>
          <w:kern w:val="0"/>
          <w:sz w:val="32"/>
          <w:szCs w:val="32"/>
          <w:highlight w:val="none"/>
          <w:lang w:bidi="en-US"/>
        </w:rPr>
        <w:t>月</w:t>
      </w:r>
      <w:r>
        <w:rPr>
          <w:rFonts w:hint="eastAsia" w:cs="仿宋_GB2312"/>
          <w:color w:val="auto"/>
          <w:kern w:val="0"/>
          <w:sz w:val="32"/>
          <w:szCs w:val="32"/>
          <w:highlight w:val="none"/>
          <w:lang w:val="en-US" w:eastAsia="zh-CN" w:bidi="en-US"/>
        </w:rPr>
        <w:t>20</w:t>
      </w:r>
      <w:r>
        <w:rPr>
          <w:rFonts w:hint="eastAsia" w:ascii="仿宋_GB2312" w:hAnsi="仿宋_GB2312" w:cs="仿宋_GB2312"/>
          <w:color w:val="auto"/>
          <w:kern w:val="0"/>
          <w:sz w:val="32"/>
          <w:szCs w:val="32"/>
          <w:highlight w:val="none"/>
          <w:lang w:bidi="en-US"/>
        </w:rPr>
        <w:t>日</w:t>
      </w:r>
    </w:p>
    <w:p>
      <w:pPr>
        <w:pStyle w:val="11"/>
        <w:pageBreakBefore w:val="0"/>
        <w:kinsoku/>
        <w:wordWrap/>
        <w:topLinePunct w:val="0"/>
        <w:autoSpaceDE/>
        <w:autoSpaceDN/>
        <w:bidi w:val="0"/>
        <w:spacing w:before="0" w:after="0" w:line="560" w:lineRule="exact"/>
        <w:ind w:right="0" w:rightChars="0" w:firstLine="883"/>
        <w:rPr>
          <w:rFonts w:hint="eastAsia"/>
          <w:color w:val="auto"/>
          <w:highlight w:val="none"/>
        </w:rPr>
      </w:pPr>
    </w:p>
    <w:p>
      <w:pPr>
        <w:pageBreakBefore w:val="0"/>
        <w:kinsoku/>
        <w:wordWrap/>
        <w:topLinePunct w:val="0"/>
        <w:autoSpaceDE/>
        <w:autoSpaceDN/>
        <w:bidi w:val="0"/>
        <w:spacing w:line="560" w:lineRule="exact"/>
        <w:ind w:right="0" w:rightChars="0" w:firstLine="0" w:firstLineChars="0"/>
        <w:rPr>
          <w:rFonts w:hint="eastAsia" w:ascii="仿宋_GB2312" w:hAnsi="仿宋_GB2312" w:cs="仿宋_GB2312"/>
          <w:b/>
          <w:color w:val="auto"/>
          <w:kern w:val="0"/>
          <w:sz w:val="32"/>
          <w:szCs w:val="32"/>
          <w:highlight w:val="none"/>
          <w:lang w:bidi="en-US"/>
        </w:rPr>
      </w:pPr>
    </w:p>
    <w:p>
      <w:pPr>
        <w:bidi w:val="0"/>
        <w:rPr>
          <w:rFonts w:hint="eastAsia" w:cs="仿宋_GB2312"/>
          <w:color w:val="auto"/>
          <w:kern w:val="0"/>
          <w:sz w:val="32"/>
          <w:szCs w:val="32"/>
          <w:highlight w:val="none"/>
          <w:lang w:eastAsia="zh-CN" w:bidi="en-US"/>
        </w:rPr>
      </w:pPr>
    </w:p>
    <w:p>
      <w:pPr>
        <w:pStyle w:val="3"/>
        <w:pageBreakBefore w:val="0"/>
        <w:widowControl w:val="0"/>
        <w:kinsoku/>
        <w:wordWrap/>
        <w:overflowPunct/>
        <w:topLinePunct w:val="0"/>
        <w:autoSpaceDE/>
        <w:autoSpaceDN/>
        <w:bidi w:val="0"/>
        <w:adjustRightInd w:val="0"/>
        <w:snapToGrid w:val="0"/>
        <w:spacing w:before="0" w:line="360" w:lineRule="auto"/>
        <w:textAlignment w:val="auto"/>
        <w:rPr>
          <w:rFonts w:hint="eastAsia" w:ascii="仿宋_GB2312" w:hAnsi="仿宋_GB2312" w:cs="仿宋_GB2312"/>
          <w:b w:val="0"/>
          <w:bCs w:val="0"/>
          <w:color w:val="auto"/>
          <w:sz w:val="32"/>
          <w:szCs w:val="32"/>
          <w:highlight w:val="none"/>
        </w:rPr>
        <w:sectPr>
          <w:headerReference r:id="rId5" w:type="default"/>
          <w:footerReference r:id="rId6" w:type="default"/>
          <w:pgSz w:w="11906" w:h="16838"/>
          <w:pgMar w:top="1440" w:right="1800" w:bottom="1440" w:left="1800" w:header="851" w:footer="992" w:gutter="0"/>
          <w:cols w:space="720" w:num="1"/>
          <w:docGrid w:type="lines" w:linePitch="312" w:charSpace="0"/>
        </w:sectPr>
      </w:pPr>
      <w:bookmarkStart w:id="0" w:name="_Toc68364657"/>
    </w:p>
    <w:p>
      <w:pPr>
        <w:pStyle w:val="3"/>
        <w:pageBreakBefore w:val="0"/>
        <w:widowControl w:val="0"/>
        <w:kinsoku/>
        <w:wordWrap/>
        <w:overflowPunct/>
        <w:topLinePunct w:val="0"/>
        <w:autoSpaceDE/>
        <w:autoSpaceDN/>
        <w:bidi w:val="0"/>
        <w:adjustRightInd w:val="0"/>
        <w:snapToGrid w:val="0"/>
        <w:spacing w:before="0" w:line="360" w:lineRule="auto"/>
        <w:textAlignment w:val="auto"/>
        <w:rPr>
          <w:rFonts w:hint="eastAsia" w:ascii="仿宋_GB2312" w:hAnsi="仿宋_GB2312" w:cs="仿宋_GB2312"/>
          <w:b w:val="0"/>
          <w:bCs w:val="0"/>
          <w:color w:val="auto"/>
          <w:sz w:val="32"/>
          <w:szCs w:val="32"/>
          <w:highlight w:val="none"/>
        </w:rPr>
      </w:pPr>
      <w:r>
        <w:rPr>
          <w:rFonts w:hint="eastAsia" w:ascii="仿宋_GB2312" w:hAnsi="仿宋_GB2312" w:cs="仿宋_GB2312"/>
          <w:b w:val="0"/>
          <w:bCs w:val="0"/>
          <w:color w:val="auto"/>
          <w:sz w:val="32"/>
          <w:szCs w:val="32"/>
          <w:highlight w:val="none"/>
        </w:rPr>
        <w:t>一、基本情况</w:t>
      </w:r>
      <w:bookmarkEnd w:id="0"/>
    </w:p>
    <w:p>
      <w:pPr>
        <w:pStyle w:val="6"/>
        <w:pageBreakBefore w:val="0"/>
        <w:widowControl w:val="0"/>
        <w:kinsoku/>
        <w:wordWrap/>
        <w:overflowPunct/>
        <w:topLinePunct w:val="0"/>
        <w:autoSpaceDE/>
        <w:autoSpaceDN/>
        <w:bidi w:val="0"/>
        <w:adjustRightInd w:val="0"/>
        <w:snapToGrid w:val="0"/>
        <w:spacing w:before="0" w:line="360" w:lineRule="auto"/>
        <w:textAlignment w:val="auto"/>
        <w:rPr>
          <w:rFonts w:hint="eastAsia"/>
          <w:color w:val="auto"/>
          <w:highlight w:val="none"/>
        </w:rPr>
      </w:pPr>
      <w:bookmarkStart w:id="1" w:name="_Toc68364658"/>
      <w:r>
        <w:rPr>
          <w:rFonts w:hint="eastAsia"/>
          <w:color w:val="auto"/>
          <w:highlight w:val="none"/>
        </w:rPr>
        <w:t>（一）项目概况</w:t>
      </w:r>
      <w:bookmarkEnd w:id="1"/>
    </w:p>
    <w:p>
      <w:pPr>
        <w:pStyle w:val="2"/>
        <w:bidi w:val="0"/>
        <w:rPr>
          <w:rFonts w:hint="eastAsia" w:ascii="仿宋_GB2312" w:hAnsi="仿宋_GB2312" w:cs="仿宋_GB2312"/>
          <w:b/>
          <w:bCs/>
          <w:color w:val="auto"/>
          <w:szCs w:val="32"/>
          <w:highlight w:val="none"/>
        </w:rPr>
      </w:pPr>
      <w:r>
        <w:rPr>
          <w:rFonts w:hint="eastAsia"/>
          <w:highlight w:val="none"/>
        </w:rPr>
        <w:t>1.项目背景</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国务院办公厅</w:t>
      </w:r>
      <w:r>
        <w:rPr>
          <w:rFonts w:hint="eastAsia" w:ascii="仿宋_GB2312" w:hAnsi="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关于印发“十四五”国民健康规划的通知</w:t>
      </w:r>
      <w:r>
        <w:rPr>
          <w:rFonts w:hint="eastAsia" w:ascii="仿宋_GB2312" w:hAnsi="仿宋_GB2312" w:cs="仿宋_GB2312"/>
          <w:color w:val="auto"/>
          <w:sz w:val="28"/>
          <w:szCs w:val="28"/>
          <w:highlight w:val="none"/>
          <w:lang w:val="en-US" w:eastAsia="zh-CN"/>
        </w:rPr>
        <w:t>》中要求:要使</w:t>
      </w:r>
      <w:r>
        <w:rPr>
          <w:rFonts w:hint="eastAsia" w:ascii="仿宋_GB2312" w:hAnsi="仿宋_GB2312" w:eastAsia="仿宋_GB2312" w:cs="仿宋_GB2312"/>
          <w:color w:val="auto"/>
          <w:sz w:val="28"/>
          <w:szCs w:val="28"/>
          <w:highlight w:val="none"/>
          <w:lang w:val="en-US" w:eastAsia="zh-CN"/>
        </w:rPr>
        <w:t>重大疾病危害得到控制和消除。</w:t>
      </w:r>
      <w:r>
        <w:rPr>
          <w:rFonts w:hint="eastAsia" w:ascii="仿宋_GB2312" w:hAnsi="仿宋_GB2312" w:cs="仿宋_GB2312"/>
          <w:color w:val="auto"/>
          <w:sz w:val="28"/>
          <w:szCs w:val="28"/>
          <w:highlight w:val="none"/>
          <w:lang w:val="en-US" w:eastAsia="zh-CN"/>
        </w:rPr>
        <w:t>将</w:t>
      </w:r>
      <w:r>
        <w:rPr>
          <w:rFonts w:hint="eastAsia" w:ascii="仿宋_GB2312" w:hAnsi="仿宋_GB2312" w:eastAsia="仿宋_GB2312" w:cs="仿宋_GB2312"/>
          <w:color w:val="auto"/>
          <w:sz w:val="28"/>
          <w:szCs w:val="28"/>
          <w:highlight w:val="none"/>
          <w:lang w:val="en-US" w:eastAsia="zh-CN"/>
        </w:rPr>
        <w:t>艾滋病疫情继续控制在低流行水平，结核病发病率进一步降低，寄生虫病、重点地方病和人畜共患病危害持续得到控制和消除，重大慢性病发病率上升趋势得到遏制，心理相关疾病发生的上升趋势减缓，严重精神障碍、职业病得到有效控制。</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为</w:t>
      </w:r>
      <w:r>
        <w:rPr>
          <w:rFonts w:hint="eastAsia" w:cs="仿宋_GB2312"/>
          <w:color w:val="auto"/>
          <w:sz w:val="28"/>
          <w:szCs w:val="28"/>
          <w:highlight w:val="none"/>
          <w:lang w:val="en-US" w:eastAsia="zh-CN"/>
        </w:rPr>
        <w:t>贯彻实施上述文件精神，伊犁哈萨克自治州财政局下发</w:t>
      </w:r>
      <w:r>
        <w:rPr>
          <w:rFonts w:hint="eastAsia"/>
          <w:color w:val="auto"/>
          <w:highlight w:val="none"/>
          <w:lang w:val="en-US" w:eastAsia="zh-CN"/>
        </w:rPr>
        <w:t>《关于提前下达2022年中央重大传染病防控经费预算的通知》（伊州财社</w:t>
      </w:r>
      <w:r>
        <w:rPr>
          <w:rFonts w:hint="eastAsia" w:ascii="仿宋_GB2312" w:hAnsi="仿宋_GB2312" w:eastAsia="仿宋_GB2312" w:cs="仿宋_GB2312"/>
          <w:color w:val="auto"/>
          <w:sz w:val="28"/>
          <w:szCs w:val="28"/>
          <w:highlight w:val="none"/>
          <w:lang w:val="en-US" w:eastAsia="zh-CN"/>
        </w:rPr>
        <w:t>〔202</w:t>
      </w:r>
      <w:r>
        <w:rPr>
          <w:rFonts w:hint="eastAsia"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val="en-US" w:eastAsia="zh-CN"/>
        </w:rPr>
        <w:t>〕</w:t>
      </w:r>
      <w:r>
        <w:rPr>
          <w:rFonts w:hint="eastAsia"/>
          <w:color w:val="auto"/>
          <w:highlight w:val="none"/>
          <w:lang w:val="en-US" w:eastAsia="zh-CN"/>
        </w:rPr>
        <w:t>10号）文件，</w:t>
      </w:r>
      <w:r>
        <w:rPr>
          <w:rFonts w:hint="eastAsia" w:cs="仿宋_GB2312"/>
          <w:color w:val="auto"/>
          <w:sz w:val="28"/>
          <w:szCs w:val="28"/>
          <w:highlight w:val="none"/>
          <w:lang w:val="en-US" w:eastAsia="zh-CN"/>
        </w:rPr>
        <w:t>向</w:t>
      </w:r>
      <w:r>
        <w:rPr>
          <w:rFonts w:hint="eastAsia" w:ascii="仿宋_GB2312" w:hAnsi="仿宋_GB2312" w:eastAsia="仿宋_GB2312" w:cs="仿宋_GB2312"/>
          <w:color w:val="auto"/>
          <w:sz w:val="28"/>
          <w:szCs w:val="28"/>
          <w:highlight w:val="none"/>
          <w:lang w:val="en-US" w:eastAsia="zh-CN"/>
        </w:rPr>
        <w:t>巩留县疾病预防控制中心</w:t>
      </w:r>
      <w:r>
        <w:rPr>
          <w:rFonts w:hint="eastAsia" w:cs="仿宋_GB2312"/>
          <w:color w:val="auto"/>
          <w:sz w:val="28"/>
          <w:szCs w:val="28"/>
          <w:highlight w:val="none"/>
          <w:lang w:val="en-US" w:eastAsia="zh-CN"/>
        </w:rPr>
        <w:t>分配</w:t>
      </w:r>
      <w:r>
        <w:rPr>
          <w:rFonts w:hint="eastAsia" w:ascii="仿宋_GB2312" w:hAnsi="仿宋_GB2312" w:eastAsia="仿宋_GB2312" w:cs="仿宋_GB2312"/>
          <w:color w:val="auto"/>
          <w:sz w:val="28"/>
          <w:szCs w:val="28"/>
          <w:highlight w:val="none"/>
          <w:lang w:val="en-US" w:eastAsia="zh-CN"/>
        </w:rPr>
        <w:t>中央补助重大传染病防控项目资金156.10万元，其中包括扩大国家免疫规划41.00万元、结核病防治24.00万元、艾滋病防治23.20万元、精神卫生防治3.30万元、口腔综合干预7.10万元、包虫病防治47.50万元、慢病综合防控10.00万元。</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确保传染病、寄生虫病、地方病、非传染病等防治与掌控，突发性公共卫生事件应急处理，不断扩大免疫系统规划，基本公共卫生服务管理、指导等工作的顺利开展。</w:t>
      </w:r>
      <w:r>
        <w:rPr>
          <w:rFonts w:hint="eastAsia" w:cs="仿宋_GB2312"/>
          <w:color w:val="auto"/>
          <w:sz w:val="28"/>
          <w:szCs w:val="28"/>
          <w:highlight w:val="none"/>
          <w:lang w:val="en-US" w:eastAsia="zh-CN"/>
        </w:rPr>
        <w:t>我中心</w:t>
      </w:r>
      <w:r>
        <w:rPr>
          <w:rFonts w:hint="eastAsia" w:ascii="仿宋_GB2312" w:hAnsi="仿宋_GB2312" w:eastAsia="仿宋_GB2312" w:cs="仿宋_GB2312"/>
          <w:color w:val="auto"/>
          <w:sz w:val="28"/>
          <w:szCs w:val="28"/>
          <w:highlight w:val="none"/>
          <w:lang w:val="en-US" w:eastAsia="zh-CN"/>
        </w:rPr>
        <w:t>全面开展流感监测、扩大国家免疫规划、结核病防治、艾滋病防治、包虫病等重点寄生虫病防治、地方病防治、严重精神障碍管理治疗、慢性病综合防控等疾病控制项目</w:t>
      </w:r>
      <w:r>
        <w:rPr>
          <w:rFonts w:hint="eastAsia" w:cs="仿宋_GB2312"/>
          <w:color w:val="auto"/>
          <w:sz w:val="28"/>
          <w:szCs w:val="28"/>
          <w:highlight w:val="none"/>
          <w:lang w:val="en-US" w:eastAsia="zh-CN"/>
        </w:rPr>
        <w:t>。</w:t>
      </w:r>
    </w:p>
    <w:p>
      <w:pPr>
        <w:pStyle w:val="2"/>
        <w:bidi w:val="0"/>
        <w:rPr>
          <w:rFonts w:hint="eastAsia" w:ascii="仿宋_GB2312" w:hAnsi="仿宋_GB2312" w:cs="仿宋_GB2312"/>
          <w:b/>
          <w:bCs/>
          <w:color w:val="auto"/>
          <w:szCs w:val="32"/>
          <w:highlight w:val="none"/>
        </w:rPr>
      </w:pPr>
      <w:r>
        <w:rPr>
          <w:rFonts w:hint="eastAsia"/>
          <w:highlight w:val="none"/>
        </w:rPr>
        <w:t>2.主要内容</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eastAsia"/>
          <w:color w:val="auto"/>
          <w:highlight w:val="none"/>
          <w:lang w:val="en-US" w:eastAsia="zh-CN"/>
        </w:rPr>
        <w:t>（1）项目名称：中央重大传染病防控补助资金项目</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default"/>
          <w:color w:val="auto"/>
          <w:highlight w:val="none"/>
          <w:lang w:val="en-US" w:eastAsia="zh-CN"/>
        </w:rPr>
      </w:pPr>
      <w:r>
        <w:rPr>
          <w:rFonts w:hint="eastAsia"/>
          <w:color w:val="auto"/>
          <w:highlight w:val="none"/>
          <w:lang w:val="en-US" w:eastAsia="zh-CN"/>
        </w:rPr>
        <w:t>（2）项目主要内容：</w:t>
      </w:r>
      <w:r>
        <w:rPr>
          <w:rFonts w:hint="default"/>
          <w:color w:val="auto"/>
          <w:highlight w:val="none"/>
          <w:lang w:val="en-US" w:eastAsia="zh-CN"/>
        </w:rPr>
        <w:t>开展重大慢性病早期筛查干预项目，落实慢性病及其相关危险因素监测；加强严重精神障碍患者筛查、登记报告和随访服务；</w:t>
      </w:r>
      <w:r>
        <w:rPr>
          <w:rFonts w:hint="eastAsia"/>
          <w:color w:val="auto"/>
          <w:highlight w:val="none"/>
          <w:lang w:val="en-US" w:eastAsia="zh-CN"/>
        </w:rPr>
        <w:t>完成艾滋病哨点监测、抗病毒治疗、规范化随访干预、高危人群干预检测等工作任务；完成发现结核并治疗患者，病原性阳性肺结核患者耐药筛查、密切接触者筛查、可疑患者检查等工作任务；完成重点人群口腔健康调查等工作任务；完成卫生应急，健康素养促进，人禽流感等重点传染病防治，地方病、重大疾病监测等其他疾病预防控制等工作任务。</w:t>
      </w:r>
    </w:p>
    <w:p>
      <w:pPr>
        <w:pStyle w:val="2"/>
        <w:bidi w:val="0"/>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28"/>
          <w:szCs w:val="28"/>
          <w:highlight w:val="none"/>
          <w:lang w:val="en-US" w:eastAsia="zh-CN" w:bidi="ar-SA"/>
        </w:rPr>
        <w:t>3.项目实施情况</w:t>
      </w:r>
    </w:p>
    <w:p>
      <w:pPr>
        <w:bidi w:val="0"/>
        <w:rPr>
          <w:rFonts w:hint="eastAsia"/>
          <w:color w:val="auto"/>
          <w:highlight w:val="none"/>
          <w:lang w:val="en-US" w:eastAsia="zh-CN"/>
        </w:rPr>
      </w:pPr>
      <w:r>
        <w:rPr>
          <w:rFonts w:hint="eastAsia"/>
          <w:color w:val="auto"/>
          <w:highlight w:val="none"/>
          <w:lang w:val="en-US" w:eastAsia="zh-CN"/>
        </w:rPr>
        <w:t>（1）项目实施主体：巩留县疾病预防控制中心</w:t>
      </w:r>
    </w:p>
    <w:p>
      <w:pPr>
        <w:bidi w:val="0"/>
        <w:rPr>
          <w:rFonts w:hint="eastAsia"/>
          <w:color w:val="auto"/>
          <w:highlight w:val="none"/>
          <w:lang w:val="en-US" w:eastAsia="zh-CN"/>
        </w:rPr>
      </w:pPr>
      <w:r>
        <w:rPr>
          <w:rFonts w:hint="eastAsia"/>
          <w:color w:val="auto"/>
          <w:highlight w:val="none"/>
          <w:lang w:val="en-US" w:eastAsia="zh-CN"/>
        </w:rPr>
        <w:t>（2）实施时间：该项目实施时间为2022年1月-2022年 11月</w:t>
      </w:r>
    </w:p>
    <w:p>
      <w:pPr>
        <w:bidi w:val="0"/>
        <w:rPr>
          <w:rFonts w:hint="eastAsia"/>
          <w:color w:val="auto"/>
          <w:highlight w:val="none"/>
          <w:lang w:val="en-US" w:eastAsia="zh-CN"/>
        </w:rPr>
      </w:pPr>
      <w:r>
        <w:rPr>
          <w:rFonts w:hint="eastAsia"/>
          <w:color w:val="auto"/>
          <w:highlight w:val="none"/>
          <w:lang w:val="en-US" w:eastAsia="zh-CN"/>
        </w:rPr>
        <w:t>（3）实施结果：</w:t>
      </w:r>
    </w:p>
    <w:p>
      <w:pPr>
        <w:bidi w:val="0"/>
        <w:rPr>
          <w:rFonts w:hint="eastAsia"/>
          <w:color w:val="auto"/>
          <w:highlight w:val="none"/>
          <w:lang w:val="en-US" w:eastAsia="zh-CN"/>
        </w:rPr>
      </w:pPr>
      <w:r>
        <w:rPr>
          <w:rFonts w:hint="eastAsia"/>
          <w:color w:val="auto"/>
          <w:highlight w:val="none"/>
          <w:lang w:val="en-US" w:eastAsia="zh-CN"/>
        </w:rPr>
        <w:t>2022年3月，我中心根据《关于提前下达2022年中央重大传染病防控经费预算的通知》（伊州财社〔2022〕10号）文件以及《扩大国家免疫规划实施方案》,结合巩留县实际情况，在巩留县全县范围内全面开展了流感监测、常规接种、脊灰疫苗补充免疫活动、AFP病例的监测、麻疹、风疹、流行性腮腺炎监测工作。</w:t>
      </w:r>
    </w:p>
    <w:p>
      <w:pPr>
        <w:bidi w:val="0"/>
        <w:rPr>
          <w:rFonts w:hint="eastAsia"/>
          <w:color w:val="auto"/>
          <w:highlight w:val="none"/>
          <w:lang w:val="en-US" w:eastAsia="zh-CN"/>
        </w:rPr>
      </w:pPr>
      <w:r>
        <w:rPr>
          <w:rFonts w:hint="eastAsia"/>
          <w:color w:val="auto"/>
          <w:highlight w:val="none"/>
          <w:lang w:val="en-US" w:eastAsia="zh-CN"/>
        </w:rPr>
        <w:t>根据监测方案要求组织开展调查诊断，协调教育部门做了入托入学查验工作培训及技术指导，做了疫苗供应保障及《中华人民共和国疫苗管理法》宣传培训工作，做好免疫规划及针对传染病宣传，制作相关宣传用品及材料；完成了发现结核并治疗患者，病原性阳性肺结核患者耐药筛查、密切接触者筛查、可疑患者检查等工作任务；扩大了免费抗</w:t>
      </w:r>
      <w:r>
        <w:rPr>
          <w:rFonts w:hint="eastAsia"/>
          <w:color w:val="auto"/>
          <w:highlight w:val="none"/>
          <w:lang w:val="en" w:eastAsia="zh-CN"/>
        </w:rPr>
        <w:t>艾滋病</w:t>
      </w:r>
      <w:r>
        <w:rPr>
          <w:rFonts w:hint="eastAsia"/>
          <w:color w:val="auto"/>
          <w:highlight w:val="none"/>
          <w:lang w:val="en-US" w:eastAsia="zh-CN"/>
        </w:rPr>
        <w:t>病毒治疗覆盖面，提高救治质量和水平，降低了</w:t>
      </w:r>
      <w:r>
        <w:rPr>
          <w:rFonts w:hint="eastAsia"/>
          <w:color w:val="auto"/>
          <w:highlight w:val="none"/>
          <w:lang w:val="en" w:eastAsia="zh-CN"/>
        </w:rPr>
        <w:t>艾滋病</w:t>
      </w:r>
      <w:r>
        <w:rPr>
          <w:rFonts w:hint="eastAsia"/>
          <w:color w:val="auto"/>
          <w:highlight w:val="none"/>
          <w:lang w:val="en-US" w:eastAsia="zh-CN"/>
        </w:rPr>
        <w:t>病死率，全面、规范落实了预防</w:t>
      </w:r>
      <w:r>
        <w:rPr>
          <w:rFonts w:hint="eastAsia"/>
          <w:color w:val="auto"/>
          <w:highlight w:val="none"/>
          <w:lang w:val="en" w:eastAsia="zh-CN"/>
        </w:rPr>
        <w:t>艾滋病</w:t>
      </w:r>
      <w:r>
        <w:rPr>
          <w:rFonts w:hint="eastAsia"/>
          <w:color w:val="auto"/>
          <w:highlight w:val="none"/>
          <w:lang w:val="en-US" w:eastAsia="zh-CN"/>
        </w:rPr>
        <w:t>、梅毒和乙肝母婴传播干预服务等疾病控制项目，项目内容和目标已全面完成已验收合格。</w:t>
      </w:r>
    </w:p>
    <w:p>
      <w:pPr>
        <w:pStyle w:val="2"/>
        <w:bidi w:val="0"/>
        <w:rPr>
          <w:rFonts w:hint="eastAsia" w:ascii="仿宋" w:hAnsi="仿宋" w:eastAsia="仿宋" w:cs="仿宋"/>
          <w:b/>
          <w:color w:val="auto"/>
          <w:sz w:val="30"/>
          <w:szCs w:val="30"/>
          <w:highlight w:val="none"/>
          <w:lang w:val="en-US" w:eastAsia="zh-CN"/>
        </w:rPr>
      </w:pPr>
      <w:r>
        <w:rPr>
          <w:rFonts w:hint="eastAsia" w:ascii="仿宋_GB2312" w:hAnsi="仿宋_GB2312" w:eastAsia="仿宋_GB2312" w:cs="仿宋_GB2312"/>
          <w:b/>
          <w:bCs/>
          <w:color w:val="auto"/>
          <w:kern w:val="0"/>
          <w:sz w:val="28"/>
          <w:szCs w:val="28"/>
          <w:highlight w:val="none"/>
          <w:lang w:val="en-US" w:eastAsia="zh-CN" w:bidi="ar-SA"/>
        </w:rPr>
        <w:t>4.项目实施主体</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Hans"/>
        </w:rPr>
      </w:pPr>
      <w:r>
        <w:rPr>
          <w:rFonts w:hint="eastAsia"/>
          <w:color w:val="auto"/>
          <w:highlight w:val="none"/>
          <w:lang w:val="en-US" w:eastAsia="zh-CN"/>
        </w:rPr>
        <w:t>（1）实施主体的</w:t>
      </w:r>
      <w:r>
        <w:rPr>
          <w:rFonts w:hint="eastAsia"/>
          <w:color w:val="auto"/>
          <w:highlight w:val="none"/>
          <w:lang w:val="en-US" w:eastAsia="zh-Hans"/>
        </w:rPr>
        <w:t>主要职能</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Hans"/>
        </w:rPr>
      </w:pPr>
      <w:r>
        <w:rPr>
          <w:rFonts w:hint="eastAsia"/>
          <w:color w:val="auto"/>
          <w:highlight w:val="none"/>
          <w:lang w:val="en-US" w:eastAsia="zh-CN"/>
        </w:rPr>
        <w:t>疾病预防与控制传染病，对疾病预防控制工作进行调查评估，对传染病的暴发，流行，中毒和污染事件进行调查处理，为救灭防病和解决重大公共卫生问题上指导及技术支持，实施预防接种。</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eastAsia"/>
          <w:color w:val="auto"/>
          <w:highlight w:val="none"/>
          <w:lang w:val="en-US" w:eastAsia="zh-CN"/>
        </w:rPr>
        <w:t>（2）</w:t>
      </w:r>
      <w:r>
        <w:rPr>
          <w:rFonts w:hint="eastAsia"/>
          <w:color w:val="auto"/>
          <w:highlight w:val="none"/>
          <w:lang w:val="en-US" w:eastAsia="zh-Hans"/>
        </w:rPr>
        <w:t>机构设置</w:t>
      </w:r>
      <w:r>
        <w:rPr>
          <w:rFonts w:hint="eastAsia"/>
          <w:color w:val="auto"/>
          <w:highlight w:val="none"/>
          <w:lang w:val="en-US" w:eastAsia="zh-CN"/>
        </w:rPr>
        <w:t>情况</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eastAsia"/>
          <w:color w:val="auto"/>
          <w:highlight w:val="none"/>
          <w:lang w:val="en-US" w:eastAsia="zh-CN"/>
        </w:rPr>
        <w:t>巩留县疾病预防控制中心机构设置：无下属预算单位，是公益性一类事业单位，级别为正科级，内设11个科室，分别是：办公室、化验室、财务室、办证室、宣教科、免疫规划科、传染病科、艾滋病科、地方病科、结核病科、慢病科。</w:t>
      </w:r>
    </w:p>
    <w:p>
      <w:pPr>
        <w:pStyle w:val="2"/>
        <w:bidi w:val="0"/>
        <w:rPr>
          <w:rFonts w:hint="eastAsia"/>
          <w:b/>
          <w:bCs w:val="0"/>
          <w:color w:val="auto"/>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.资金投入和使用情况</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kern w:val="0"/>
          <w:sz w:val="28"/>
          <w:szCs w:val="28"/>
          <w:highlight w:val="none"/>
          <w:lang w:val="en-US" w:eastAsia="zh-Hans" w:bidi="ar-SA"/>
        </w:rPr>
      </w:pPr>
      <w:r>
        <w:rPr>
          <w:rFonts w:hint="eastAsia" w:ascii="仿宋_GB2312" w:hAnsi="仿宋_GB2312" w:eastAsia="仿宋_GB2312" w:cs="仿宋_GB2312"/>
          <w:color w:val="auto"/>
          <w:kern w:val="0"/>
          <w:sz w:val="28"/>
          <w:szCs w:val="28"/>
          <w:highlight w:val="none"/>
          <w:lang w:val="en-US" w:eastAsia="zh-Hans" w:bidi="ar-SA"/>
        </w:rPr>
        <w:t>（1）项目资金安排落实、总投入等情况分析</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eastAsia" w:cs="仿宋_GB2312"/>
          <w:color w:val="auto"/>
          <w:highlight w:val="none"/>
          <w:lang w:val="en-US" w:eastAsia="zh-CN"/>
        </w:rPr>
        <w:t>该项目</w:t>
      </w:r>
      <w:r>
        <w:rPr>
          <w:rFonts w:hint="eastAsia" w:ascii="仿宋_GB2312" w:hAnsi="仿宋_GB2312" w:eastAsia="仿宋_GB2312" w:cs="仿宋_GB2312"/>
          <w:color w:val="auto"/>
          <w:highlight w:val="none"/>
          <w:lang w:val="en-US" w:eastAsia="zh-Hans"/>
        </w:rPr>
        <w:t>预算资金总额为</w:t>
      </w:r>
      <w:r>
        <w:rPr>
          <w:rFonts w:hint="eastAsia" w:cs="仿宋_GB2312"/>
          <w:color w:val="auto"/>
          <w:highlight w:val="none"/>
          <w:lang w:val="en-US" w:eastAsia="zh-CN"/>
        </w:rPr>
        <w:t>156.10</w:t>
      </w:r>
      <w:r>
        <w:rPr>
          <w:rFonts w:hint="eastAsia" w:ascii="仿宋_GB2312" w:hAnsi="仿宋_GB2312" w:eastAsia="仿宋_GB2312" w:cs="仿宋_GB2312"/>
          <w:color w:val="auto"/>
          <w:highlight w:val="none"/>
          <w:lang w:val="en-US" w:eastAsia="zh-Hans"/>
        </w:rPr>
        <w:t>万元，其中</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highlight w:val="none"/>
          <w:lang w:val="en-US" w:eastAsia="zh-Hans"/>
        </w:rPr>
        <w:t>财政资金为</w:t>
      </w:r>
      <w:r>
        <w:rPr>
          <w:rFonts w:hint="eastAsia" w:cs="仿宋_GB2312"/>
          <w:color w:val="auto"/>
          <w:highlight w:val="none"/>
          <w:lang w:val="en-US" w:eastAsia="zh-CN"/>
        </w:rPr>
        <w:t>156.10</w:t>
      </w:r>
      <w:r>
        <w:rPr>
          <w:rFonts w:hint="eastAsia" w:ascii="仿宋_GB2312" w:hAnsi="仿宋_GB2312" w:eastAsia="仿宋_GB2312" w:cs="仿宋_GB2312"/>
          <w:color w:val="auto"/>
          <w:highlight w:val="none"/>
          <w:lang w:val="en-US" w:eastAsia="zh-Hans"/>
        </w:rPr>
        <w:t>万元，其他资金为</w:t>
      </w:r>
      <w:r>
        <w:rPr>
          <w:rFonts w:hint="eastAsia" w:cs="仿宋_GB2312"/>
          <w:color w:val="auto"/>
          <w:highlight w:val="none"/>
          <w:lang w:val="en-US" w:eastAsia="zh-CN"/>
        </w:rPr>
        <w:t>0.00</w:t>
      </w:r>
      <w:r>
        <w:rPr>
          <w:rFonts w:hint="eastAsia" w:ascii="仿宋_GB2312" w:hAnsi="仿宋_GB2312" w:eastAsia="仿宋_GB2312" w:cs="仿宋_GB2312"/>
          <w:color w:val="auto"/>
          <w:highlight w:val="none"/>
          <w:lang w:val="en-US" w:eastAsia="zh-Hans"/>
        </w:rPr>
        <w:t>万元</w:t>
      </w:r>
      <w:r>
        <w:rPr>
          <w:rFonts w:hint="eastAsia" w:ascii="仿宋_GB2312" w:hAnsi="仿宋_GB2312" w:eastAsia="仿宋_GB2312" w:cs="仿宋_GB2312"/>
          <w:color w:val="auto"/>
          <w:highlight w:val="none"/>
          <w:lang w:val="en-US" w:eastAsia="zh-CN"/>
        </w:rPr>
        <w:t>。2022年实际收到预算资金</w:t>
      </w:r>
      <w:r>
        <w:rPr>
          <w:rFonts w:hint="eastAsia" w:cs="仿宋_GB2312"/>
          <w:color w:val="auto"/>
          <w:highlight w:val="none"/>
          <w:lang w:val="en-US" w:eastAsia="zh-CN"/>
        </w:rPr>
        <w:t>156.10</w:t>
      </w:r>
      <w:r>
        <w:rPr>
          <w:rFonts w:hint="eastAsia" w:ascii="仿宋_GB2312" w:hAnsi="仿宋_GB2312" w:eastAsia="仿宋_GB2312" w:cs="仿宋_GB2312"/>
          <w:color w:val="auto"/>
          <w:highlight w:val="none"/>
          <w:lang w:val="en-US" w:eastAsia="zh-CN"/>
        </w:rPr>
        <w:t>万元，预算资金到位率为</w:t>
      </w:r>
      <w:r>
        <w:rPr>
          <w:rFonts w:hint="eastAsia" w:cs="仿宋_GB2312"/>
          <w:color w:val="auto"/>
          <w:highlight w:val="none"/>
          <w:lang w:val="en-US" w:eastAsia="zh-CN"/>
        </w:rPr>
        <w:t>100.00</w:t>
      </w:r>
      <w:r>
        <w:rPr>
          <w:rFonts w:hint="eastAsia" w:ascii="仿宋_GB2312" w:hAnsi="仿宋_GB2312" w:eastAsia="仿宋_GB2312" w:cs="仿宋_GB2312"/>
          <w:color w:val="auto"/>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仿宋_GB2312" w:cs="Times New Roman"/>
          <w:color w:val="auto"/>
          <w:kern w:val="0"/>
          <w:sz w:val="28"/>
          <w:szCs w:val="28"/>
          <w:highlight w:val="none"/>
          <w:lang w:val="en-US" w:eastAsia="zh-CN" w:bidi="ar-SA"/>
        </w:rPr>
      </w:pPr>
      <w:r>
        <w:rPr>
          <w:rFonts w:hint="eastAsia"/>
          <w:color w:val="auto"/>
          <w:highlight w:val="none"/>
          <w:lang w:eastAsia="zh-CN"/>
        </w:rPr>
        <w:t>（2）项目资金实际使用情况分析</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auto"/>
          <w:highlight w:val="none"/>
          <w:lang w:val="en-US" w:eastAsia="zh-CN"/>
        </w:rPr>
      </w:pPr>
      <w:r>
        <w:rPr>
          <w:rFonts w:hint="eastAsia"/>
          <w:color w:val="auto"/>
          <w:highlight w:val="none"/>
          <w:lang w:val="en-US" w:eastAsia="zh-CN"/>
        </w:rPr>
        <w:t>截至2022年12月31日，该项目实际支出156.10万元，预算执行率100.00%。</w:t>
      </w:r>
      <w:r>
        <w:rPr>
          <w:rFonts w:hint="eastAsia"/>
          <w:color w:val="auto"/>
          <w:highlight w:val="none"/>
        </w:rPr>
        <w:t>项目资金主要用于支付</w:t>
      </w:r>
      <w:r>
        <w:rPr>
          <w:rFonts w:hint="eastAsia"/>
          <w:color w:val="auto"/>
          <w:highlight w:val="none"/>
          <w:lang w:val="en-US" w:eastAsia="zh-CN"/>
        </w:rPr>
        <w:t>扩大国家免疫规划费用41.00万元、结核病防治费用24.00万元、艾滋病防治费用23.20万元、精神卫生防治费用3.30万元、口腔综合干预费用7.10万元、包虫病防治费用47.50万元、慢病综合防控费用10.00万元</w:t>
      </w:r>
      <w:r>
        <w:rPr>
          <w:rFonts w:hint="eastAsia"/>
          <w:color w:val="auto"/>
          <w:highlight w:val="none"/>
        </w:rPr>
        <w:t>。</w:t>
      </w:r>
    </w:p>
    <w:p>
      <w:pPr>
        <w:pStyle w:val="6"/>
        <w:bidi w:val="0"/>
        <w:rPr>
          <w:rFonts w:hint="eastAsia"/>
          <w:color w:val="auto"/>
          <w:highlight w:val="none"/>
        </w:rPr>
      </w:pPr>
      <w:bookmarkStart w:id="2" w:name="_Toc68364659"/>
      <w:r>
        <w:rPr>
          <w:rFonts w:hint="eastAsia"/>
          <w:color w:val="auto"/>
          <w:highlight w:val="none"/>
        </w:rPr>
        <w:t>（二）项目绩效目标</w:t>
      </w:r>
      <w:bookmarkEnd w:id="2"/>
    </w:p>
    <w:p>
      <w:pPr>
        <w:pStyle w:val="2"/>
        <w:bidi w:val="0"/>
        <w:rPr>
          <w:rFonts w:hint="eastAsia"/>
          <w:color w:val="auto"/>
          <w:highlight w:val="none"/>
        </w:rPr>
      </w:pPr>
      <w:r>
        <w:rPr>
          <w:rFonts w:hint="eastAsia" w:ascii="仿宋_GB2312" w:hAnsi="仿宋_GB2312" w:eastAsia="仿宋_GB2312" w:cs="仿宋_GB2312"/>
          <w:color w:val="auto"/>
          <w:sz w:val="28"/>
          <w:szCs w:val="28"/>
          <w:highlight w:val="none"/>
        </w:rPr>
        <w:t>1.项目绩效总目标</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仿宋_GB2312"/>
          <w:color w:val="auto"/>
          <w:highlight w:val="none"/>
          <w:lang w:val="en-US" w:eastAsia="zh-CN"/>
        </w:rPr>
      </w:pPr>
      <w:r>
        <w:rPr>
          <w:rFonts w:hint="eastAsia"/>
          <w:color w:val="auto"/>
          <w:highlight w:val="none"/>
          <w:lang w:val="en-US" w:eastAsia="zh-CN"/>
        </w:rPr>
        <w:t>2022年我中心计划</w:t>
      </w:r>
      <w:r>
        <w:rPr>
          <w:rFonts w:hint="eastAsia"/>
          <w:color w:val="auto"/>
          <w:highlight w:val="none"/>
        </w:rPr>
        <w:t>继续为0-6岁适龄儿童</w:t>
      </w:r>
      <w:r>
        <w:rPr>
          <w:rFonts w:hint="eastAsia"/>
          <w:color w:val="auto"/>
          <w:highlight w:val="none"/>
          <w:lang w:val="en-US" w:eastAsia="zh-CN"/>
        </w:rPr>
        <w:t>进行</w:t>
      </w:r>
      <w:r>
        <w:rPr>
          <w:rFonts w:hint="eastAsia"/>
          <w:color w:val="auto"/>
          <w:highlight w:val="none"/>
        </w:rPr>
        <w:t>常规</w:t>
      </w:r>
      <w:r>
        <w:rPr>
          <w:rFonts w:hint="eastAsia"/>
          <w:color w:val="auto"/>
          <w:highlight w:val="none"/>
          <w:lang w:val="en-US" w:eastAsia="zh-CN"/>
        </w:rPr>
        <w:t>疫苗</w:t>
      </w:r>
      <w:r>
        <w:rPr>
          <w:rFonts w:hint="eastAsia"/>
          <w:color w:val="auto"/>
          <w:highlight w:val="none"/>
        </w:rPr>
        <w:t>接种</w:t>
      </w:r>
      <w:r>
        <w:rPr>
          <w:rFonts w:hint="eastAsia"/>
          <w:color w:val="auto"/>
          <w:highlight w:val="none"/>
          <w:lang w:eastAsia="zh-CN"/>
        </w:rPr>
        <w:t>；</w:t>
      </w:r>
      <w:r>
        <w:rPr>
          <w:rFonts w:hint="eastAsia"/>
          <w:color w:val="auto"/>
          <w:highlight w:val="none"/>
          <w:lang w:val="en-US" w:eastAsia="zh-CN"/>
        </w:rPr>
        <w:t>对</w:t>
      </w:r>
      <w:r>
        <w:rPr>
          <w:rFonts w:hint="eastAsia"/>
          <w:color w:val="auto"/>
          <w:highlight w:val="none"/>
        </w:rPr>
        <w:t>艾滋病</w:t>
      </w:r>
      <w:r>
        <w:rPr>
          <w:rFonts w:hint="eastAsia"/>
          <w:color w:val="auto"/>
          <w:highlight w:val="none"/>
          <w:lang w:eastAsia="zh-CN"/>
        </w:rPr>
        <w:t>、</w:t>
      </w:r>
      <w:r>
        <w:rPr>
          <w:rFonts w:hint="eastAsia"/>
          <w:color w:val="auto"/>
          <w:highlight w:val="none"/>
        </w:rPr>
        <w:t>癌症、心脑血管疾病、慢性呼吸系统疾病、口腔疾病等</w:t>
      </w:r>
      <w:r>
        <w:rPr>
          <w:rFonts w:hint="eastAsia"/>
          <w:color w:val="auto"/>
          <w:highlight w:val="none"/>
          <w:lang w:val="en-US" w:eastAsia="zh-CN"/>
        </w:rPr>
        <w:t>开展早期</w:t>
      </w:r>
      <w:r>
        <w:rPr>
          <w:rFonts w:hint="eastAsia"/>
          <w:color w:val="auto"/>
          <w:highlight w:val="none"/>
        </w:rPr>
        <w:t>筛查和干预,健全完善慢性病及其危险因素险监测网络,加强严重精神障碍患者筛查、登记报告和随访服务,提高患者治疗率。完成以新冠肺炎为主的病毒性传染病监测、基于国家致病菌识别网的细菌性传染病监测、重点区城病媒生物监测。</w:t>
      </w:r>
      <w:r>
        <w:rPr>
          <w:rFonts w:hint="eastAsia"/>
          <w:color w:val="auto"/>
          <w:highlight w:val="none"/>
          <w:lang w:val="en-US" w:eastAsia="zh-CN"/>
        </w:rPr>
        <w:t>通过该项目的实施，有效控制艾滋病疫情，提高我县居民健康水平。</w:t>
      </w:r>
    </w:p>
    <w:p>
      <w:pPr>
        <w:pStyle w:val="2"/>
        <w:bidi w:val="0"/>
        <w:rPr>
          <w:rFonts w:hint="eastAsia" w:ascii="仿宋_GB2312" w:hAnsi="仿宋_GB2312" w:cs="仿宋_GB2312"/>
          <w:b w:val="0"/>
          <w:bCs w:val="0"/>
          <w:color w:val="auto"/>
          <w:sz w:val="32"/>
          <w:szCs w:val="32"/>
          <w:highlight w:val="none"/>
        </w:rPr>
      </w:pPr>
      <w:r>
        <w:rPr>
          <w:rFonts w:hint="eastAsia" w:ascii="仿宋_GB2312" w:hAnsi="仿宋_GB2312" w:eastAsia="仿宋_GB2312" w:cs="仿宋_GB2312"/>
          <w:bCs/>
          <w:color w:val="auto"/>
          <w:sz w:val="28"/>
          <w:szCs w:val="28"/>
          <w:highlight w:val="none"/>
        </w:rPr>
        <w:t>2.阶段性目标</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lang w:val="en-US" w:eastAsia="zh-CN"/>
        </w:rPr>
        <w:t>根据</w:t>
      </w:r>
      <w:r>
        <w:rPr>
          <w:rFonts w:hint="eastAsia" w:ascii="仿宋_GB2312" w:hAnsi="仿宋_GB2312" w:eastAsia="仿宋_GB2312" w:cs="仿宋_GB2312"/>
          <w:color w:val="auto"/>
          <w:highlight w:val="none"/>
          <w:lang w:eastAsia="zh-CN"/>
        </w:rPr>
        <w:t>《预算法》《项目支出绩效评价管理办法》（财预〔20</w:t>
      </w:r>
      <w:r>
        <w:rPr>
          <w:rFonts w:hint="eastAsia" w:ascii="仿宋_GB2312" w:hAnsi="仿宋_GB2312" w:eastAsia="仿宋_GB2312" w:cs="仿宋_GB2312"/>
          <w:color w:val="auto"/>
          <w:highlight w:val="none"/>
          <w:lang w:val="en-US" w:eastAsia="zh-CN"/>
        </w:rPr>
        <w:t>20</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lang w:val="en-US" w:eastAsia="zh-CN"/>
        </w:rPr>
        <w:t>10</w:t>
      </w:r>
      <w:r>
        <w:rPr>
          <w:rFonts w:hint="eastAsia" w:ascii="仿宋_GB2312" w:hAnsi="仿宋_GB2312" w:eastAsia="仿宋_GB2312" w:cs="仿宋_GB2312"/>
          <w:color w:val="auto"/>
          <w:highlight w:val="none"/>
          <w:lang w:eastAsia="zh-CN"/>
        </w:rPr>
        <w:t>号）、《中共中央国务院关于全面实施预算绩效管理的意见》（中发〔2018〕34号）</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highlight w:val="none"/>
          <w:lang w:eastAsia="zh-CN"/>
        </w:rPr>
        <w:t>《自治区党委自治区人民政府关于全面实施预算绩效管理的实施意见》（新党发〔2018〕30号）、</w:t>
      </w:r>
      <w:r>
        <w:rPr>
          <w:rFonts w:hint="eastAsia" w:ascii="仿宋_GB2312" w:hAnsi="仿宋_GB2312" w:eastAsia="仿宋_GB2312" w:cs="仿宋_GB2312"/>
          <w:color w:val="auto"/>
          <w:highlight w:val="none"/>
        </w:rPr>
        <w:t>《自治区财政支出绩效评价管理暂行办法》</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highlight w:val="none"/>
        </w:rPr>
        <w:t>新财预〔2018〕189号</w:t>
      </w:r>
      <w:r>
        <w:rPr>
          <w:rFonts w:hint="eastAsia" w:ascii="仿宋_GB2312" w:hAnsi="仿宋_GB2312" w:eastAsia="仿宋_GB2312" w:cs="仿宋_GB2312"/>
          <w:color w:val="auto"/>
          <w:highlight w:val="none"/>
          <w:lang w:eastAsia="zh-CN"/>
        </w:rPr>
        <w:t>）的规定，结合项目实施单位的规章制度以及财务相关资料，评价小组对项目绩效目标进行了进一步的完善，完善</w:t>
      </w:r>
      <w:r>
        <w:rPr>
          <w:rFonts w:hint="eastAsia" w:ascii="仿宋_GB2312" w:hAnsi="仿宋_GB2312" w:eastAsia="仿宋_GB2312" w:cs="仿宋_GB2312"/>
          <w:color w:val="auto"/>
          <w:highlight w:val="none"/>
          <w:lang w:val="en-US" w:eastAsia="zh-CN"/>
        </w:rPr>
        <w:t>后</w:t>
      </w:r>
      <w:r>
        <w:rPr>
          <w:rFonts w:hint="eastAsia" w:ascii="仿宋_GB2312" w:hAnsi="仿宋_GB2312" w:eastAsia="仿宋_GB2312" w:cs="仿宋_GB2312"/>
          <w:color w:val="auto"/>
          <w:highlight w:val="none"/>
          <w:lang w:eastAsia="zh-CN"/>
        </w:rPr>
        <w:t>绩效目标如下：</w:t>
      </w:r>
    </w:p>
    <w:p>
      <w:pPr>
        <w:bidi w:val="0"/>
        <w:rPr>
          <w:rFonts w:hint="eastAsia" w:ascii="仿宋_GB2312" w:hAnsi="仿宋_GB2312" w:eastAsia="仿宋_GB2312" w:cs="仿宋_GB2312"/>
          <w:color w:val="auto"/>
          <w:szCs w:val="28"/>
          <w:highlight w:val="none"/>
          <w:lang w:val="en-US" w:eastAsia="zh-CN"/>
        </w:rPr>
      </w:pPr>
      <w:r>
        <w:rPr>
          <w:rFonts w:hint="eastAsia"/>
          <w:b/>
          <w:bCs/>
          <w:color w:val="auto"/>
          <w:highlight w:val="none"/>
        </w:rPr>
        <w:t>（</w:t>
      </w:r>
      <w:r>
        <w:rPr>
          <w:rFonts w:hint="eastAsia"/>
          <w:b/>
          <w:bCs/>
          <w:color w:val="auto"/>
          <w:highlight w:val="none"/>
          <w:lang w:val="en-US" w:eastAsia="zh-CN"/>
        </w:rPr>
        <w:t>1</w:t>
      </w:r>
      <w:r>
        <w:rPr>
          <w:rFonts w:hint="eastAsia"/>
          <w:b/>
          <w:bCs/>
          <w:color w:val="auto"/>
          <w:highlight w:val="none"/>
        </w:rPr>
        <w:t>）项目产出</w:t>
      </w:r>
      <w:r>
        <w:rPr>
          <w:rFonts w:hint="eastAsia"/>
          <w:b/>
          <w:bCs/>
          <w:color w:val="auto"/>
          <w:highlight w:val="none"/>
          <w:lang w:val="en-US" w:eastAsia="zh-CN"/>
        </w:rPr>
        <w:t>目标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①数量指标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艾滋病免费抗病毒治疗</w:t>
      </w:r>
      <w:r>
        <w:rPr>
          <w:rFonts w:hint="eastAsia" w:ascii="仿宋_GB2312" w:hAnsi="仿宋_GB2312" w:cs="仿宋_GB2312"/>
          <w:color w:val="auto"/>
          <w:sz w:val="28"/>
          <w:szCs w:val="28"/>
          <w:highlight w:val="none"/>
          <w:lang w:val="en-US" w:eastAsia="zh-CN"/>
        </w:rPr>
        <w:t>”指标，</w:t>
      </w:r>
      <w:r>
        <w:rPr>
          <w:rFonts w:hint="eastAsia" w:ascii="仿宋_GB2312" w:hAnsi="仿宋_GB2312" w:eastAsia="仿宋_GB2312" w:cs="仿宋_GB2312"/>
          <w:color w:val="auto"/>
          <w:sz w:val="28"/>
          <w:szCs w:val="28"/>
          <w:highlight w:val="none"/>
          <w:lang w:val="en-US" w:eastAsia="zh-CN"/>
        </w:rPr>
        <w:t>预期指标值为100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w:t>
      </w:r>
      <w:r>
        <w:rPr>
          <w:rFonts w:hint="default" w:ascii="仿宋_GB2312" w:hAnsi="仿宋_GB2312" w:eastAsia="仿宋_GB2312" w:cs="仿宋_GB2312"/>
          <w:color w:val="auto"/>
          <w:sz w:val="28"/>
          <w:szCs w:val="28"/>
          <w:highlight w:val="none"/>
          <w:lang w:val="en-US" w:eastAsia="zh-CN"/>
        </w:rPr>
        <w:t>规范治疗和随访检查的肺结核患者任务完成率</w:t>
      </w:r>
      <w:r>
        <w:rPr>
          <w:rFonts w:hint="eastAsia" w:ascii="仿宋_GB2312" w:hAnsi="仿宋_GB2312" w:cs="仿宋_GB2312"/>
          <w:color w:val="auto"/>
          <w:sz w:val="28"/>
          <w:szCs w:val="28"/>
          <w:highlight w:val="none"/>
          <w:lang w:val="en-US" w:eastAsia="zh-CN"/>
        </w:rPr>
        <w:t>”指标，</w:t>
      </w:r>
      <w:r>
        <w:rPr>
          <w:rFonts w:hint="eastAsia" w:ascii="仿宋_GB2312" w:hAnsi="仿宋_GB2312" w:eastAsia="仿宋_GB2312" w:cs="仿宋_GB2312"/>
          <w:color w:val="auto"/>
          <w:sz w:val="28"/>
          <w:szCs w:val="28"/>
          <w:highlight w:val="none"/>
          <w:lang w:val="en-US" w:eastAsia="zh-CN"/>
        </w:rPr>
        <w:t>预期指标值为</w:t>
      </w:r>
      <w:r>
        <w:rPr>
          <w:rFonts w:hint="eastAsia" w:ascii="仿宋_GB2312" w:hAnsi="仿宋_GB2312" w:cs="仿宋_GB2312"/>
          <w:color w:val="auto"/>
          <w:sz w:val="28"/>
          <w:szCs w:val="28"/>
          <w:highlight w:val="none"/>
          <w:lang w:val="en-US" w:eastAsia="zh-CN"/>
        </w:rPr>
        <w:t>85.00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“有症状的病原学阳性率肺结核患者密切接触者检查率”指标，预期指标值为</w:t>
      </w:r>
      <w:r>
        <w:rPr>
          <w:rFonts w:hint="eastAsia" w:ascii="仿宋_GB2312" w:hAnsi="仿宋_GB2312" w:cs="仿宋_GB2312"/>
          <w:color w:val="auto"/>
          <w:sz w:val="28"/>
          <w:szCs w:val="28"/>
          <w:highlight w:val="none"/>
          <w:lang w:val="en-US" w:eastAsia="zh-CN"/>
        </w:rPr>
        <w:t>90.00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“肺结核病原学阳性患者耐药筛查率”指标，预期指标值为</w:t>
      </w:r>
      <w:r>
        <w:rPr>
          <w:rFonts w:hint="eastAsia" w:ascii="仿宋_GB2312" w:hAnsi="仿宋_GB2312" w:cs="仿宋_GB2312"/>
          <w:color w:val="auto"/>
          <w:sz w:val="28"/>
          <w:szCs w:val="28"/>
          <w:highlight w:val="none"/>
          <w:lang w:val="en-US" w:eastAsia="zh-CN"/>
        </w:rPr>
        <w:t>80.00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“包虫病人群主动筛查任务完成率”指标，预期指标值为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85</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“重大慢性病筛查任务完成率”指标，预期指标值为</w:t>
      </w:r>
      <w:r>
        <w:rPr>
          <w:rFonts w:hint="eastAsia" w:ascii="仿宋_GB2312" w:hAnsi="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“严重精神障碍患者筛查任务完成率”指标，预期指标值为</w:t>
      </w:r>
      <w:r>
        <w:rPr>
          <w:rFonts w:hint="eastAsia" w:ascii="仿宋_GB2312" w:hAnsi="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“新冠肺炎网络实验室建设任务完成率”指标，预期指标值为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85</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②质量指标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“全区以乡（镇）为单位适龄儿童免疫规划疫苗接种率”指标，预期指标值为90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“艾滋病规范化随访干预比例”指标，预期指标值为100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“艾滋病高危人群检测比例”指标，预期指标值为100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“艾滋病临床用血核酸检测”指标，预期指标值为100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“艾滋病感染孕产妇所生儿童抗病毒药物应用比例”指标，预期指标值为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90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“窝沟封闭完好率”指标，预期指标值为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85</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“死因监测规范报告率”指标，预期指标值为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80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“在册严重精神障碍患者管理率”指标，预期指标值为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80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“在册严重精神障碍患者治疗率”指标，预期指标值为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60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“农村癫痫防治项目县患者治疗率”指标，预期指标值为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“细菌性传染病网络实验室考核合格率”指标，预期指标值为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80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“病媒生物监测结果分析报告率”指标，预期指标值为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80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③时效指标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“项目预计完成时间”指标，预期指标值为202</w:t>
      </w:r>
      <w:r>
        <w:rPr>
          <w:rFonts w:hint="eastAsia" w:ascii="仿宋_GB2312" w:hAnsi="仿宋_GB2312" w:cs="仿宋_GB2312"/>
          <w:color w:val="auto"/>
          <w:sz w:val="28"/>
          <w:szCs w:val="28"/>
          <w:highlight w:val="none"/>
          <w:lang w:val="en-US" w:eastAsia="zh-CN"/>
        </w:rPr>
        <w:t>2年</w:t>
      </w:r>
      <w:r>
        <w:rPr>
          <w:rFonts w:hint="eastAsia" w:ascii="仿宋_GB2312" w:hAnsi="仿宋_GB2312" w:eastAsia="仿宋_GB2312" w:cs="仿宋_GB2312"/>
          <w:color w:val="auto"/>
          <w:sz w:val="28"/>
          <w:szCs w:val="28"/>
          <w:highlight w:val="none"/>
          <w:lang w:val="en-US" w:eastAsia="zh-CN"/>
        </w:rPr>
        <w:t>11</w:t>
      </w:r>
      <w:r>
        <w:rPr>
          <w:rFonts w:hint="eastAsia" w:ascii="仿宋_GB2312" w:hAnsi="仿宋_GB2312" w:cs="仿宋_GB2312"/>
          <w:color w:val="auto"/>
          <w:sz w:val="28"/>
          <w:szCs w:val="28"/>
          <w:highlight w:val="none"/>
          <w:lang w:val="en-US" w:eastAsia="zh-CN"/>
        </w:rPr>
        <w:t>月</w:t>
      </w:r>
      <w:r>
        <w:rPr>
          <w:rFonts w:hint="eastAsia" w:ascii="仿宋_GB2312" w:hAnsi="仿宋_GB2312" w:eastAsia="仿宋_GB2312" w:cs="仿宋_GB2312"/>
          <w:color w:val="auto"/>
          <w:sz w:val="28"/>
          <w:szCs w:val="28"/>
          <w:highlight w:val="none"/>
          <w:lang w:val="en-US" w:eastAsia="zh-CN"/>
        </w:rPr>
        <w:t>30</w:t>
      </w:r>
      <w:r>
        <w:rPr>
          <w:rFonts w:hint="eastAsia" w:ascii="仿宋_GB2312" w:hAnsi="仿宋_GB2312" w:cs="仿宋_GB2312"/>
          <w:color w:val="auto"/>
          <w:sz w:val="28"/>
          <w:szCs w:val="28"/>
          <w:highlight w:val="none"/>
          <w:lang w:val="en-US" w:eastAsia="zh-CN"/>
        </w:rPr>
        <w:t>日</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④成本指标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“中央重大传染病防控补助资金”指标，预期指标值为</w:t>
      </w:r>
      <w:r>
        <w:rPr>
          <w:rFonts w:hint="eastAsia" w:ascii="仿宋_GB2312" w:hAnsi="仿宋_GB2312" w:cs="仿宋_GB2312"/>
          <w:color w:val="auto"/>
          <w:sz w:val="28"/>
          <w:szCs w:val="28"/>
          <w:highlight w:val="none"/>
          <w:lang w:val="en-US" w:eastAsia="zh-CN"/>
        </w:rPr>
        <w:t>小于等于</w:t>
      </w:r>
      <w:r>
        <w:rPr>
          <w:rFonts w:hint="eastAsia" w:ascii="仿宋_GB2312" w:hAnsi="仿宋_GB2312" w:eastAsia="仿宋_GB2312" w:cs="仿宋_GB2312"/>
          <w:color w:val="auto"/>
          <w:sz w:val="28"/>
          <w:szCs w:val="28"/>
          <w:highlight w:val="none"/>
          <w:lang w:val="en-US" w:eastAsia="zh-CN"/>
        </w:rPr>
        <w:t>156.1</w:t>
      </w:r>
      <w:r>
        <w:rPr>
          <w:rFonts w:hint="eastAsia" w:ascii="仿宋_GB2312" w:hAnsi="仿宋_GB2312" w:cs="仿宋_GB2312"/>
          <w:color w:val="auto"/>
          <w:sz w:val="28"/>
          <w:szCs w:val="28"/>
          <w:highlight w:val="none"/>
          <w:lang w:val="en-US" w:eastAsia="zh-CN"/>
        </w:rPr>
        <w:t>0万元</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highlight w:val="none"/>
        </w:rPr>
        <w:t>（</w:t>
      </w:r>
      <w:r>
        <w:rPr>
          <w:rFonts w:hint="eastAsia" w:ascii="仿宋_GB2312" w:hAnsi="仿宋_GB2312" w:eastAsia="仿宋_GB2312" w:cs="仿宋_GB2312"/>
          <w:b/>
          <w:bCs/>
          <w:color w:val="auto"/>
          <w:highlight w:val="none"/>
          <w:lang w:val="en-US" w:eastAsia="zh-CN"/>
        </w:rPr>
        <w:t>2</w:t>
      </w:r>
      <w:r>
        <w:rPr>
          <w:rFonts w:hint="eastAsia" w:ascii="仿宋_GB2312" w:hAnsi="仿宋_GB2312" w:eastAsia="仿宋_GB2312" w:cs="仿宋_GB2312"/>
          <w:b/>
          <w:bCs/>
          <w:color w:val="auto"/>
          <w:highlight w:val="none"/>
        </w:rPr>
        <w:t>）项目效益</w:t>
      </w:r>
      <w:r>
        <w:rPr>
          <w:rFonts w:hint="eastAsia" w:ascii="仿宋_GB2312" w:hAnsi="仿宋_GB2312" w:eastAsia="仿宋_GB2312" w:cs="仿宋_GB2312"/>
          <w:b/>
          <w:bCs/>
          <w:color w:val="auto"/>
          <w:highlight w:val="none"/>
          <w:lang w:val="en-US" w:eastAsia="zh-CN"/>
        </w:rPr>
        <w:t>目标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①经济效益指标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无。</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②社会效益指标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“有效控制艾滋病疫情”指标，预期指标值为艾滋病疫情处于低流行水平。</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③生态效益指标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无。</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④可持续影响</w:t>
      </w:r>
      <w:r>
        <w:rPr>
          <w:rFonts w:hint="eastAsia" w:ascii="仿宋_GB2312" w:hAnsi="仿宋_GB2312" w:cs="仿宋_GB2312"/>
          <w:color w:val="auto"/>
          <w:sz w:val="28"/>
          <w:szCs w:val="28"/>
          <w:highlight w:val="none"/>
          <w:lang w:val="en-US" w:eastAsia="zh-CN"/>
        </w:rPr>
        <w:t>指标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“居民健康水平提高”指标，预期指标值为</w:t>
      </w:r>
      <w:r>
        <w:rPr>
          <w:rFonts w:hint="eastAsia" w:ascii="仿宋_GB2312" w:hAnsi="仿宋_GB2312" w:cs="仿宋_GB2312"/>
          <w:color w:val="auto"/>
          <w:sz w:val="28"/>
          <w:szCs w:val="28"/>
          <w:highlight w:val="none"/>
          <w:lang w:val="en-US" w:eastAsia="zh-CN"/>
        </w:rPr>
        <w:t>中长期</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“公共卫生均等化水平提高”指标，预期指标值为</w:t>
      </w:r>
      <w:r>
        <w:rPr>
          <w:rFonts w:hint="eastAsia" w:ascii="仿宋_GB2312" w:hAnsi="仿宋_GB2312" w:cs="仿宋_GB2312"/>
          <w:color w:val="auto"/>
          <w:sz w:val="28"/>
          <w:szCs w:val="28"/>
          <w:highlight w:val="none"/>
          <w:lang w:val="en-US" w:eastAsia="zh-CN"/>
        </w:rPr>
        <w:t>中长期</w:t>
      </w:r>
      <w:r>
        <w:rPr>
          <w:rFonts w:hint="eastAsia" w:ascii="仿宋_GB2312" w:hAnsi="仿宋_GB2312" w:eastAsia="仿宋_GB2312" w:cs="仿宋_GB2312"/>
          <w:color w:val="auto"/>
          <w:sz w:val="28"/>
          <w:szCs w:val="28"/>
          <w:highlight w:val="none"/>
          <w:lang w:val="en-US" w:eastAsia="zh-CN"/>
        </w:rPr>
        <w:t>。</w:t>
      </w:r>
    </w:p>
    <w:p>
      <w:pPr>
        <w:bidi w:val="0"/>
        <w:rPr>
          <w:rFonts w:hint="eastAsia" w:ascii="仿宋_GB2312" w:hAnsi="仿宋_GB2312" w:eastAsia="仿宋_GB2312" w:cs="仿宋_GB2312"/>
          <w:color w:val="auto"/>
          <w:szCs w:val="28"/>
          <w:highlight w:val="none"/>
          <w:lang w:eastAsia="zh-CN"/>
        </w:rPr>
      </w:pPr>
      <w:r>
        <w:rPr>
          <w:rFonts w:hint="eastAsia"/>
          <w:b/>
          <w:bCs/>
          <w:color w:val="auto"/>
          <w:highlight w:val="none"/>
          <w:lang w:eastAsia="zh-CN"/>
        </w:rPr>
        <w:t>（3）</w:t>
      </w:r>
      <w:r>
        <w:rPr>
          <w:rFonts w:hint="eastAsia"/>
          <w:b/>
          <w:bCs/>
          <w:color w:val="auto"/>
          <w:highlight w:val="none"/>
          <w:lang w:val="en-US" w:eastAsia="zh-Hans"/>
        </w:rPr>
        <w:t>满意度目标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①满意度指标</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受益群众满意度</w:t>
      </w:r>
      <w:r>
        <w:rPr>
          <w:rFonts w:hint="eastAsia" w:ascii="仿宋_GB2312" w:hAnsi="仿宋_GB2312" w:eastAsia="仿宋_GB2312" w:cs="仿宋_GB2312"/>
          <w:color w:val="auto"/>
          <w:sz w:val="28"/>
          <w:szCs w:val="28"/>
          <w:highlight w:val="none"/>
          <w:lang w:val="en-US" w:eastAsia="zh-CN"/>
        </w:rPr>
        <w:t>”指标，预期指标值为</w:t>
      </w:r>
      <w:r>
        <w:rPr>
          <w:rFonts w:hint="eastAsia" w:ascii="仿宋_GB2312" w:hAnsi="仿宋_GB2312" w:cs="仿宋_GB2312"/>
          <w:color w:val="auto"/>
          <w:sz w:val="28"/>
          <w:szCs w:val="28"/>
          <w:highlight w:val="none"/>
          <w:lang w:val="en-US" w:eastAsia="zh-CN"/>
        </w:rPr>
        <w:t>大于等于</w:t>
      </w:r>
      <w:r>
        <w:rPr>
          <w:rFonts w:hint="eastAsia" w:ascii="仿宋_GB2312" w:hAnsi="仿宋_GB2312" w:eastAsia="仿宋_GB2312" w:cs="仿宋_GB2312"/>
          <w:color w:val="auto"/>
          <w:sz w:val="28"/>
          <w:szCs w:val="28"/>
          <w:highlight w:val="none"/>
          <w:lang w:val="en-US" w:eastAsia="zh-CN"/>
        </w:rPr>
        <w:t>90</w:t>
      </w:r>
      <w:r>
        <w:rPr>
          <w:rFonts w:hint="eastAsia" w:ascii="仿宋_GB2312" w:hAnsi="仿宋_GB2312"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p>
    <w:p>
      <w:pPr>
        <w:pStyle w:val="3"/>
        <w:pageBreakBefore w:val="0"/>
        <w:widowControl w:val="0"/>
        <w:kinsoku/>
        <w:wordWrap/>
        <w:overflowPunct/>
        <w:topLinePunct w:val="0"/>
        <w:autoSpaceDE/>
        <w:autoSpaceDN/>
        <w:bidi w:val="0"/>
        <w:adjustRightInd w:val="0"/>
        <w:snapToGrid w:val="0"/>
        <w:spacing w:before="0"/>
        <w:textAlignment w:val="auto"/>
        <w:rPr>
          <w:rFonts w:hint="eastAsia"/>
          <w:color w:val="auto"/>
          <w:highlight w:val="none"/>
        </w:rPr>
      </w:pPr>
      <w:bookmarkStart w:id="3" w:name="_Toc68364660"/>
      <w:r>
        <w:rPr>
          <w:rFonts w:hint="eastAsia"/>
          <w:color w:val="auto"/>
          <w:highlight w:val="none"/>
        </w:rPr>
        <w:t>二、绩效评价工作开展情况</w:t>
      </w:r>
      <w:bookmarkEnd w:id="3"/>
    </w:p>
    <w:p>
      <w:pPr>
        <w:pStyle w:val="6"/>
        <w:pageBreakBefore w:val="0"/>
        <w:widowControl w:val="0"/>
        <w:kinsoku/>
        <w:wordWrap/>
        <w:overflowPunct/>
        <w:topLinePunct w:val="0"/>
        <w:autoSpaceDE/>
        <w:autoSpaceDN/>
        <w:bidi w:val="0"/>
        <w:adjustRightInd w:val="0"/>
        <w:snapToGrid w:val="0"/>
        <w:spacing w:before="0"/>
        <w:textAlignment w:val="auto"/>
        <w:rPr>
          <w:rFonts w:hint="eastAsia"/>
          <w:color w:val="auto"/>
          <w:highlight w:val="none"/>
        </w:rPr>
      </w:pPr>
      <w:bookmarkStart w:id="4" w:name="_Toc68364661"/>
      <w:r>
        <w:rPr>
          <w:rFonts w:hint="eastAsia"/>
          <w:color w:val="auto"/>
          <w:highlight w:val="none"/>
        </w:rPr>
        <w:t>（一）绩效评价目的、对象和范围</w:t>
      </w:r>
      <w:bookmarkEnd w:id="4"/>
    </w:p>
    <w:p>
      <w:pPr>
        <w:pStyle w:val="2"/>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ascii="仿宋_GB2312" w:hAnsi="仿宋_GB2312" w:eastAsia="仿宋_GB2312" w:cs="仿宋_GB2312"/>
          <w:color w:val="auto"/>
          <w:sz w:val="28"/>
          <w:szCs w:val="28"/>
          <w:highlight w:val="none"/>
        </w:rPr>
        <w:t>1.绩效评价目的</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eastAsia"/>
          <w:color w:val="auto"/>
          <w:highlight w:val="none"/>
          <w:lang w:val="en-US" w:eastAsia="zh-CN"/>
        </w:rPr>
        <w:t>本次绩效评价遵循财政部《项目支出绩效评价管理办法》（财预〔2020〕10号）和自治区财政厅《自治区财政支出绩效评价管理暂行办法》（新财预〔2018〕189号）等相关政策文件与规定，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val="0"/>
        <w:snapToGrid w:val="0"/>
        <w:ind w:firstLine="560"/>
        <w:textAlignment w:val="auto"/>
        <w:rPr>
          <w:color w:val="auto"/>
          <w:highlight w:val="none"/>
        </w:rPr>
      </w:pPr>
      <w:r>
        <w:rPr>
          <w:rFonts w:hint="eastAsia"/>
          <w:color w:val="auto"/>
          <w:highlight w:val="none"/>
        </w:rPr>
        <w:t>具体绩效评价的目的细分如下：</w:t>
      </w:r>
    </w:p>
    <w:p>
      <w:pPr>
        <w:keepNext w:val="0"/>
        <w:keepLines w:val="0"/>
        <w:pageBreakBefore w:val="0"/>
        <w:widowControl w:val="0"/>
        <w:kinsoku/>
        <w:wordWrap/>
        <w:overflowPunct/>
        <w:topLinePunct w:val="0"/>
        <w:autoSpaceDE/>
        <w:autoSpaceDN/>
        <w:bidi w:val="0"/>
        <w:adjustRightInd w:val="0"/>
        <w:snapToGrid w:val="0"/>
        <w:ind w:firstLine="560"/>
        <w:textAlignment w:val="auto"/>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keepNext w:val="0"/>
        <w:keepLines w:val="0"/>
        <w:pageBreakBefore w:val="0"/>
        <w:widowControl w:val="0"/>
        <w:kinsoku/>
        <w:wordWrap/>
        <w:overflowPunct/>
        <w:topLinePunct w:val="0"/>
        <w:autoSpaceDE/>
        <w:autoSpaceDN/>
        <w:bidi w:val="0"/>
        <w:adjustRightInd w:val="0"/>
        <w:snapToGrid w:val="0"/>
        <w:ind w:firstLine="560"/>
        <w:textAlignment w:val="auto"/>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kinsoku/>
        <w:wordWrap/>
        <w:overflowPunct/>
        <w:topLinePunct w:val="0"/>
        <w:autoSpaceDE/>
        <w:autoSpaceDN/>
        <w:bidi w:val="0"/>
        <w:adjustRightInd w:val="0"/>
        <w:snapToGrid w:val="0"/>
        <w:ind w:firstLine="560"/>
        <w:textAlignment w:val="auto"/>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kinsoku/>
        <w:wordWrap/>
        <w:overflowPunct/>
        <w:topLinePunct w:val="0"/>
        <w:autoSpaceDE/>
        <w:autoSpaceDN/>
        <w:bidi w:val="0"/>
        <w:adjustRightInd w:val="0"/>
        <w:snapToGrid w:val="0"/>
        <w:ind w:firstLine="560"/>
        <w:textAlignment w:val="auto"/>
        <w:rPr>
          <w:color w:val="auto"/>
          <w:highlight w:val="none"/>
        </w:rPr>
      </w:pPr>
      <w:r>
        <w:rPr>
          <w:rFonts w:hint="eastAsia"/>
          <w:color w:val="auto"/>
          <w:highlight w:val="none"/>
        </w:rPr>
        <w:t>四是：通过部门项目支出绩效评价，从绩效的角度发现</w:t>
      </w:r>
      <w:r>
        <w:rPr>
          <w:rFonts w:hint="eastAsia"/>
          <w:color w:val="auto"/>
          <w:highlight w:val="none"/>
          <w:lang w:eastAsia="zh-CN"/>
        </w:rPr>
        <w:t>该项目</w:t>
      </w:r>
      <w:r>
        <w:rPr>
          <w:rFonts w:hint="eastAsia"/>
          <w:color w:val="auto"/>
          <w:highlight w:val="none"/>
        </w:rPr>
        <w:t>在决策、实施和管理过程中存在的问题，寻求解决方案，为进一步深化项目管理工作提供依据，以促进项目进一步的推进和后期项目维护和评价工作提供更深一步的理论和实际支持。</w:t>
      </w:r>
    </w:p>
    <w:p>
      <w:pPr>
        <w:pStyle w:val="2"/>
        <w:bidi w:val="0"/>
        <w:rPr>
          <w:rFonts w:hint="eastAsia"/>
          <w:b/>
          <w:bCs w:val="0"/>
          <w:color w:val="auto"/>
          <w:highlight w:val="none"/>
        </w:rPr>
      </w:pPr>
      <w:r>
        <w:rPr>
          <w:rFonts w:hint="eastAsia" w:ascii="仿宋_GB2312" w:hAnsi="仿宋_GB2312" w:eastAsia="仿宋_GB2312" w:cs="仿宋_GB2312"/>
          <w:b/>
          <w:bCs w:val="0"/>
          <w:color w:val="auto"/>
          <w:sz w:val="28"/>
          <w:szCs w:val="28"/>
          <w:highlight w:val="none"/>
        </w:rPr>
        <w:t>2.绩效评价对象</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default"/>
          <w:color w:val="auto"/>
          <w:highlight w:val="none"/>
          <w:lang w:val="en-US" w:eastAsia="zh-CN"/>
        </w:rPr>
        <w:t>此次我单位根据《财政支出绩效评价管理暂行办法》（财预〔2020〕10号）文件要求对202</w:t>
      </w:r>
      <w:r>
        <w:rPr>
          <w:rFonts w:hint="eastAsia"/>
          <w:color w:val="auto"/>
          <w:highlight w:val="none"/>
          <w:lang w:val="en-US" w:eastAsia="zh-CN"/>
        </w:rPr>
        <w:t>2</w:t>
      </w:r>
      <w:r>
        <w:rPr>
          <w:rFonts w:hint="default"/>
          <w:color w:val="auto"/>
          <w:highlight w:val="none"/>
          <w:lang w:val="en-US" w:eastAsia="zh-CN"/>
        </w:rPr>
        <w:t>年度我单位实施的</w:t>
      </w:r>
      <w:r>
        <w:rPr>
          <w:rFonts w:hint="eastAsia"/>
          <w:color w:val="auto"/>
          <w:highlight w:val="none"/>
          <w:lang w:val="en-US" w:eastAsia="zh-CN"/>
        </w:rPr>
        <w:t>中央重大传染病防控补助资金项目</w:t>
      </w:r>
      <w:r>
        <w:rPr>
          <w:rFonts w:hint="default"/>
          <w:color w:val="auto"/>
          <w:highlight w:val="none"/>
          <w:lang w:val="en-US" w:eastAsia="zh-CN"/>
        </w:rPr>
        <w:t>开展部门绩效评价，</w:t>
      </w:r>
      <w:r>
        <w:rPr>
          <w:rFonts w:hint="eastAsia"/>
          <w:color w:val="auto"/>
          <w:highlight w:val="none"/>
          <w:lang w:eastAsia="zh-CN"/>
        </w:rPr>
        <w:t>评价核心</w:t>
      </w:r>
      <w:r>
        <w:rPr>
          <w:rFonts w:hint="eastAsia"/>
          <w:color w:val="auto"/>
          <w:highlight w:val="none"/>
          <w:lang w:val="en-US" w:eastAsia="zh-CN"/>
        </w:rPr>
        <w:t>内容</w:t>
      </w:r>
      <w:r>
        <w:rPr>
          <w:rFonts w:hint="eastAsia"/>
          <w:color w:val="auto"/>
          <w:highlight w:val="none"/>
          <w:lang w:eastAsia="zh-CN"/>
        </w:rPr>
        <w:t>为项目资金、项目产出、项目效益</w:t>
      </w:r>
      <w:r>
        <w:rPr>
          <w:rFonts w:hint="default"/>
          <w:color w:val="auto"/>
          <w:highlight w:val="none"/>
          <w:lang w:val="en-US" w:eastAsia="zh-CN"/>
        </w:rPr>
        <w:t>。</w:t>
      </w:r>
    </w:p>
    <w:p>
      <w:pPr>
        <w:pStyle w:val="2"/>
        <w:bidi w:val="0"/>
        <w:rPr>
          <w:rFonts w:hint="eastAsia"/>
          <w:b/>
          <w:bCs w:val="0"/>
          <w:color w:val="auto"/>
          <w:highlight w:val="none"/>
        </w:rPr>
      </w:pPr>
      <w:r>
        <w:rPr>
          <w:rFonts w:hint="eastAsia" w:ascii="仿宋_GB2312" w:hAnsi="仿宋_GB2312" w:eastAsia="仿宋_GB2312" w:cs="仿宋_GB2312"/>
          <w:b/>
          <w:bCs w:val="0"/>
          <w:color w:val="auto"/>
          <w:sz w:val="28"/>
          <w:szCs w:val="28"/>
          <w:highlight w:val="none"/>
        </w:rPr>
        <w:t>3.绩效评价范围</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bookmarkStart w:id="5" w:name="_Toc68364662"/>
      <w:r>
        <w:rPr>
          <w:rFonts w:hint="eastAsia"/>
          <w:color w:val="auto"/>
          <w:highlight w:val="none"/>
        </w:rPr>
        <w:t>本次绩效评价</w:t>
      </w:r>
      <w:r>
        <w:rPr>
          <w:rFonts w:hint="eastAsia"/>
          <w:color w:val="auto"/>
          <w:highlight w:val="none"/>
          <w:lang w:val="en-US" w:eastAsia="zh-CN"/>
        </w:rPr>
        <w:t>范围</w:t>
      </w:r>
      <w:r>
        <w:rPr>
          <w:rFonts w:hint="eastAsia"/>
          <w:color w:val="auto"/>
          <w:highlight w:val="none"/>
        </w:rPr>
        <w:t>主要围绕项目</w:t>
      </w:r>
      <w:r>
        <w:rPr>
          <w:color w:val="auto"/>
          <w:highlight w:val="none"/>
        </w:rPr>
        <w:t>资金使用情况、财务管理状况和资产配置、使用、处置及其收益管理情况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；绩效目标的实现程度，包括是否达到预定产出和效果等</w:t>
      </w:r>
      <w:r>
        <w:rPr>
          <w:rFonts w:hint="eastAsia"/>
          <w:color w:val="auto"/>
          <w:highlight w:val="none"/>
        </w:rPr>
        <w:t>方面进行部门绩效评价。</w:t>
      </w:r>
    </w:p>
    <w:p>
      <w:pPr>
        <w:pStyle w:val="6"/>
        <w:bidi w:val="0"/>
        <w:rPr>
          <w:rFonts w:hint="eastAsia"/>
          <w:color w:val="auto"/>
          <w:highlight w:val="none"/>
        </w:rPr>
      </w:pPr>
      <w:r>
        <w:rPr>
          <w:rFonts w:hint="eastAsia"/>
          <w:color w:val="auto"/>
          <w:highlight w:val="none"/>
        </w:rPr>
        <w:t>（二）绩效评价原则、评价指标体系、评价方法评价标准</w:t>
      </w:r>
      <w:bookmarkEnd w:id="5"/>
    </w:p>
    <w:p>
      <w:pPr>
        <w:pStyle w:val="2"/>
        <w:bidi w:val="0"/>
        <w:rPr>
          <w:rFonts w:hint="eastAsia"/>
          <w:color w:val="auto"/>
          <w:highlight w:val="none"/>
        </w:rPr>
      </w:pPr>
      <w:r>
        <w:rPr>
          <w:rFonts w:hint="eastAsia" w:ascii="仿宋_GB2312" w:hAnsi="仿宋_GB2312" w:eastAsia="仿宋_GB2312" w:cs="仿宋_GB2312"/>
          <w:color w:val="auto"/>
          <w:sz w:val="28"/>
          <w:szCs w:val="28"/>
          <w:highlight w:val="none"/>
        </w:rPr>
        <w:t>1.绩效评价原则</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w:t>
      </w:r>
      <w:r>
        <w:rPr>
          <w:rFonts w:hint="eastAsia"/>
          <w:color w:val="auto"/>
          <w:highlight w:val="none"/>
          <w:lang w:val="en-US" w:eastAsia="zh-CN"/>
        </w:rPr>
        <w:t>中央重大传染病防控补助资金项目</w:t>
      </w:r>
      <w:r>
        <w:rPr>
          <w:rFonts w:hint="eastAsia"/>
          <w:color w:val="auto"/>
          <w:highlight w:val="none"/>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根据以上原则，本次绩效评价遵循的原则包括：</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（4）公开透明。绩效评价结果应依法依规公开，并自觉接受社会监督。</w:t>
      </w:r>
    </w:p>
    <w:p>
      <w:pPr>
        <w:pStyle w:val="2"/>
        <w:bidi w:val="0"/>
        <w:rPr>
          <w:rFonts w:hint="eastAsia"/>
          <w:color w:val="auto"/>
          <w:highlight w:val="none"/>
        </w:rPr>
      </w:pPr>
      <w:r>
        <w:rPr>
          <w:rFonts w:hint="eastAsia" w:ascii="仿宋_GB2312" w:hAnsi="仿宋_GB2312" w:eastAsia="仿宋_GB2312" w:cs="仿宋_GB2312"/>
          <w:color w:val="auto"/>
          <w:sz w:val="28"/>
          <w:szCs w:val="28"/>
          <w:highlight w:val="none"/>
        </w:rPr>
        <w:t>2.绩效评价指标体系</w:t>
      </w:r>
    </w:p>
    <w:p>
      <w:pPr>
        <w:keepNext w:val="0"/>
        <w:keepLines w:val="0"/>
        <w:pageBreakBefore w:val="0"/>
        <w:widowControl w:val="0"/>
        <w:kinsoku/>
        <w:wordWrap/>
        <w:overflowPunct/>
        <w:topLinePunct w:val="0"/>
        <w:autoSpaceDE/>
        <w:autoSpaceDN/>
        <w:bidi w:val="0"/>
        <w:adjustRightInd w:val="0"/>
        <w:snapToGrid w:val="0"/>
        <w:textAlignment w:val="auto"/>
        <w:rPr>
          <w:rFonts w:hint="default"/>
          <w:color w:val="auto"/>
          <w:highlight w:val="none"/>
          <w:lang w:val="en-US" w:eastAsia="zh-CN"/>
        </w:rPr>
      </w:pPr>
      <w:r>
        <w:rPr>
          <w:rFonts w:hint="eastAsia"/>
          <w:color w:val="auto"/>
          <w:highlight w:val="none"/>
        </w:rPr>
        <w:t>我单位通过实施资料研读及前期调研，结合项目的实际开展情况，按照《项目支出绩效评价管理办法》（财预〔2020〕10号）文件要求设置指标体系结构如下：设置一级指标共4个，包括：决策指标（21%）、过程指标（19%）、产出指标（</w:t>
      </w:r>
      <w:r>
        <w:rPr>
          <w:rFonts w:hint="eastAsia"/>
          <w:color w:val="auto"/>
          <w:highlight w:val="none"/>
          <w:lang w:val="en-US" w:eastAsia="zh-CN"/>
        </w:rPr>
        <w:t>3</w:t>
      </w:r>
      <w:r>
        <w:rPr>
          <w:rFonts w:hint="eastAsia"/>
          <w:color w:val="auto"/>
          <w:highlight w:val="none"/>
        </w:rPr>
        <w:t>0%）、效益指标（</w:t>
      </w:r>
      <w:r>
        <w:rPr>
          <w:rFonts w:hint="eastAsia"/>
          <w:color w:val="auto"/>
          <w:highlight w:val="none"/>
          <w:lang w:val="en-US" w:eastAsia="zh-CN"/>
        </w:rPr>
        <w:t>3</w:t>
      </w:r>
      <w:r>
        <w:rPr>
          <w:rFonts w:hint="eastAsia"/>
          <w:color w:val="auto"/>
          <w:highlight w:val="none"/>
        </w:rPr>
        <w:t>0%）四类指标</w:t>
      </w:r>
      <w:r>
        <w:rPr>
          <w:rFonts w:hint="eastAsia"/>
          <w:color w:val="auto"/>
          <w:highlight w:val="none"/>
          <w:lang w:eastAsia="zh-CN"/>
        </w:rPr>
        <w:t>，</w:t>
      </w:r>
      <w:r>
        <w:rPr>
          <w:rFonts w:hint="eastAsia"/>
          <w:color w:val="auto"/>
          <w:highlight w:val="none"/>
          <w:lang w:val="en-US" w:eastAsia="zh-CN"/>
        </w:rPr>
        <w:t>具体指标分类如下：</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eastAsia="zh-CN"/>
        </w:rPr>
      </w:pPr>
      <w:r>
        <w:rPr>
          <w:rFonts w:hint="eastAsia"/>
          <w:color w:val="auto"/>
          <w:highlight w:val="none"/>
        </w:rPr>
        <w:t>一级指标为：决策、过程、产出、效益</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eastAsia="zh-CN"/>
        </w:rPr>
      </w:pPr>
      <w:r>
        <w:rPr>
          <w:rFonts w:hint="eastAsia"/>
          <w:color w:val="auto"/>
          <w:highlight w:val="none"/>
        </w:rPr>
        <w:t>二级指标为：项目立项、绩效目标、资金投入、资金管理、组织实施、产出数量、产出质量、产出时效、产出成本、项目效益</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eastAsia="zh-CN"/>
        </w:rPr>
      </w:pPr>
      <w:r>
        <w:rPr>
          <w:rFonts w:hint="eastAsia"/>
          <w:color w:val="auto"/>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eastAsia"/>
          <w:color w:val="auto"/>
          <w:highlight w:val="none"/>
          <w:lang w:val="en-US" w:eastAsia="zh-CN"/>
        </w:rPr>
        <w:t>指标体系包括综合评价表和基础表两部分，综合评价表是评价的依据，基础表是支持评价的基础数据。指标体系为评分所用，需要基础表、问卷调查和访谈的支持。综合评价表中各指标的权重由该项目绩效评价小组根据绩效评价原理和评价需求，在调研基础上依据指标的重要性制定形成。详细指标体系见</w:t>
      </w:r>
      <w:r>
        <w:rPr>
          <w:rFonts w:hint="eastAsia"/>
          <w:color w:val="auto"/>
          <w:highlight w:val="none"/>
        </w:rPr>
        <w:t>“附件</w:t>
      </w:r>
      <w:r>
        <w:rPr>
          <w:rFonts w:hint="eastAsia"/>
          <w:color w:val="auto"/>
          <w:highlight w:val="none"/>
          <w:lang w:val="en-US" w:eastAsia="zh-CN"/>
        </w:rPr>
        <w:t>1</w:t>
      </w:r>
      <w:r>
        <w:rPr>
          <w:rFonts w:hint="eastAsia"/>
          <w:color w:val="auto"/>
          <w:highlight w:val="none"/>
        </w:rPr>
        <w:t>：</w:t>
      </w:r>
      <w:r>
        <w:rPr>
          <w:rFonts w:hint="eastAsia"/>
          <w:color w:val="auto"/>
          <w:highlight w:val="none"/>
          <w:lang w:val="en-US" w:eastAsia="zh-CN"/>
        </w:rPr>
        <w:t>中央重大传染病防控补助资金项目</w:t>
      </w:r>
      <w:r>
        <w:rPr>
          <w:rFonts w:hint="eastAsia"/>
          <w:color w:val="auto"/>
          <w:highlight w:val="none"/>
        </w:rPr>
        <w:t>绩效评价指标体系</w:t>
      </w:r>
      <w:r>
        <w:rPr>
          <w:rFonts w:hint="eastAsia"/>
          <w:color w:val="auto"/>
          <w:highlight w:val="none"/>
          <w:lang w:val="en-US" w:eastAsia="zh-CN"/>
        </w:rPr>
        <w:t>。</w:t>
      </w:r>
    </w:p>
    <w:p>
      <w:pPr>
        <w:pStyle w:val="2"/>
        <w:bidi w:val="0"/>
        <w:rPr>
          <w:rFonts w:hint="eastAsia"/>
          <w:color w:val="auto"/>
          <w:highlight w:val="none"/>
        </w:rPr>
      </w:pPr>
      <w:r>
        <w:rPr>
          <w:rFonts w:hint="eastAsia" w:ascii="仿宋_GB2312" w:hAnsi="仿宋_GB2312" w:eastAsia="仿宋_GB2312" w:cs="仿宋_GB2312"/>
          <w:color w:val="auto"/>
          <w:sz w:val="28"/>
          <w:szCs w:val="28"/>
          <w:highlight w:val="none"/>
        </w:rPr>
        <w:t>3.绩效评价方法</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w:t>
      </w:r>
      <w:r>
        <w:rPr>
          <w:rFonts w:hint="eastAsia"/>
          <w:color w:val="auto"/>
          <w:highlight w:val="none"/>
          <w:lang w:eastAsia="zh-CN"/>
        </w:rPr>
        <w:t>该项目</w:t>
      </w:r>
      <w:r>
        <w:rPr>
          <w:rFonts w:hint="eastAsia"/>
          <w:color w:val="auto"/>
          <w:highlight w:val="none"/>
        </w:rPr>
        <w:t>绩效。三级指标分析环节：总体采用比较法，同时辅以文献法、成本效益法、因素分析法以及公众评判法，根据不同三级指标类型进行逐项分析。</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①定量指标分析环节：主要采用比较法，对比三级指标预期指标值和三级指标截止评价日的完成情况，综合分析绩效目标实现程度。详细评价方法的应用如下：</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属于“是”或“否”判断的单一评判定量指标：比较法，符合要求的得满分，不符合要求的不得分或者扣相应的分数。</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满意度指标：主要采用比较法，据满意度问卷统计情况计算完成比率与预期指标值对比，达成满意度预期目标的，得满分；未完成指标值的，按照完成值与预期指标值的比值计算得分；满意度小于60%不得分。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eastAsia="zh-CN"/>
        </w:rPr>
      </w:pPr>
      <w:r>
        <w:rPr>
          <w:rFonts w:hint="eastAsia"/>
          <w:color w:val="auto"/>
          <w:highlight w:val="none"/>
        </w:rPr>
        <w:t>定性指标分析环节：主要采用公众评判法，通过问卷及抽样调查等方式评价</w:t>
      </w:r>
      <w:r>
        <w:rPr>
          <w:rFonts w:hint="eastAsia"/>
          <w:color w:val="auto"/>
          <w:highlight w:val="none"/>
          <w:lang w:eastAsia="zh-CN"/>
        </w:rPr>
        <w:t>该项目</w:t>
      </w:r>
      <w:r>
        <w:rPr>
          <w:rFonts w:hint="eastAsia"/>
          <w:color w:val="auto"/>
          <w:highlight w:val="none"/>
        </w:rPr>
        <w:t>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hint="eastAsia"/>
          <w:color w:val="auto"/>
          <w:highlight w:val="none"/>
          <w:lang w:eastAsia="zh-CN"/>
        </w:rPr>
        <w:t>。</w:t>
      </w:r>
    </w:p>
    <w:p>
      <w:pPr>
        <w:pStyle w:val="2"/>
        <w:bidi w:val="0"/>
        <w:rPr>
          <w:rFonts w:hint="eastAsia"/>
          <w:color w:val="auto"/>
          <w:highlight w:val="none"/>
        </w:rPr>
      </w:pPr>
      <w:r>
        <w:rPr>
          <w:rFonts w:hint="eastAsia" w:ascii="仿宋_GB2312" w:hAnsi="仿宋_GB2312" w:eastAsia="仿宋_GB2312" w:cs="仿宋_GB2312"/>
          <w:color w:val="auto"/>
          <w:sz w:val="28"/>
          <w:szCs w:val="28"/>
          <w:highlight w:val="none"/>
        </w:rPr>
        <w:t>4.绩效评价标准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b w:val="0"/>
          <w:bCs w:val="0"/>
          <w:color w:val="auto"/>
          <w:kern w:val="2"/>
          <w:szCs w:val="22"/>
          <w:highlight w:val="none"/>
          <w:lang w:val="en-US" w:eastAsia="zh-CN" w:bidi="ar-SA"/>
        </w:rPr>
      </w:pPr>
      <w:bookmarkStart w:id="6" w:name="_Toc68364663"/>
      <w:r>
        <w:rPr>
          <w:rFonts w:hint="eastAsia"/>
          <w:color w:val="auto"/>
          <w:highlight w:val="none"/>
          <w:lang w:val="en-US" w:eastAsia="zh-CN"/>
        </w:rPr>
        <w:t>绩效评价标准通常包括计划标准、行业标准等。本次绩效评价采用计划标准及行业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6"/>
        <w:bidi w:val="0"/>
        <w:rPr>
          <w:rFonts w:hint="eastAsia" w:ascii="仿宋_GB2312" w:hAnsi="仿宋_GB2312" w:cs="仿宋_GB2312"/>
          <w:color w:val="auto"/>
          <w:sz w:val="32"/>
          <w:highlight w:val="none"/>
        </w:rPr>
      </w:pPr>
      <w:r>
        <w:rPr>
          <w:rFonts w:hint="eastAsia" w:ascii="仿宋_GB2312" w:hAnsi="仿宋_GB2312" w:cs="仿宋_GB2312"/>
          <w:color w:val="auto"/>
          <w:sz w:val="30"/>
          <w:szCs w:val="30"/>
          <w:highlight w:val="none"/>
        </w:rPr>
        <w:t>（三）绩效评价工作过程</w:t>
      </w:r>
      <w:bookmarkEnd w:id="6"/>
    </w:p>
    <w:p>
      <w:pPr>
        <w:pStyle w:val="2"/>
        <w:bidi w:val="0"/>
        <w:rPr>
          <w:rFonts w:hint="eastAsia"/>
          <w:color w:val="auto"/>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前期准备</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val="en-US" w:eastAsia="zh-CN"/>
        </w:rPr>
        <w:t>单位于2023年2月1日，根据《项目支出绩效评价管理办法》（财预</w:t>
      </w:r>
      <w:r>
        <w:rPr>
          <w:rFonts w:hint="eastAsia"/>
          <w:color w:val="auto"/>
          <w:highlight w:val="none"/>
        </w:rPr>
        <w:t>〔20</w:t>
      </w:r>
      <w:r>
        <w:rPr>
          <w:rFonts w:hint="eastAsia"/>
          <w:color w:val="auto"/>
          <w:highlight w:val="none"/>
          <w:lang w:val="en-US" w:eastAsia="zh-CN"/>
        </w:rPr>
        <w:t>20</w:t>
      </w:r>
      <w:r>
        <w:rPr>
          <w:rFonts w:hint="eastAsia"/>
          <w:color w:val="auto"/>
          <w:highlight w:val="none"/>
        </w:rPr>
        <w:t>〕</w:t>
      </w:r>
      <w:r>
        <w:rPr>
          <w:rFonts w:hint="eastAsia"/>
          <w:color w:val="auto"/>
          <w:highlight w:val="none"/>
          <w:lang w:val="en-US" w:eastAsia="zh-CN"/>
        </w:rPr>
        <w:t>10号）等文件</w:t>
      </w:r>
      <w:r>
        <w:rPr>
          <w:rFonts w:hint="eastAsia"/>
          <w:color w:val="auto"/>
          <w:highlight w:val="none"/>
        </w:rPr>
        <w:t>相关要求与规定，</w:t>
      </w:r>
      <w:r>
        <w:rPr>
          <w:rFonts w:hint="eastAsia"/>
          <w:color w:val="auto"/>
          <w:highlight w:val="none"/>
          <w:lang w:val="en-US" w:eastAsia="zh-CN"/>
        </w:rPr>
        <w:t>确定绩效评价工作小组，正式开始前期准备工作，通过对评价对象前期调研，确定了评价的目的、方法以及评价的原则，根据项目的内容和特征制定了评价指标体系及评价标准</w:t>
      </w:r>
      <w:r>
        <w:rPr>
          <w:rFonts w:hint="eastAsia"/>
          <w:color w:val="auto"/>
          <w:highlight w:val="none"/>
        </w:rPr>
        <w:t>。成员构成如下：</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val="en-US" w:eastAsia="zh-CN"/>
        </w:rPr>
        <w:t>关树青</w:t>
      </w:r>
      <w:r>
        <w:rPr>
          <w:rFonts w:hint="eastAsia"/>
          <w:color w:val="auto"/>
          <w:highlight w:val="none"/>
        </w:rPr>
        <w:t>任评价组组长，主要负责</w:t>
      </w:r>
      <w:r>
        <w:rPr>
          <w:rFonts w:hint="eastAsia"/>
          <w:color w:val="auto"/>
          <w:highlight w:val="none"/>
          <w:lang w:val="en-US" w:eastAsia="zh-CN"/>
        </w:rPr>
        <w:t>确定绩效评价模板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val="en-US" w:eastAsia="zh-CN"/>
        </w:rPr>
        <w:t>茜华</w:t>
      </w:r>
      <w:r>
        <w:rPr>
          <w:rFonts w:hint="eastAsia"/>
          <w:color w:val="auto"/>
          <w:highlight w:val="none"/>
        </w:rPr>
        <w:t>任评价组副组长，主要负责绩效评价现场督导，对评价组成员的评价检查工作提供技术指导与支持，对实效评价工作质量把关。</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val="en-US" w:eastAsia="zh-CN"/>
        </w:rPr>
        <w:t>努丽亚、肖克来提、常磊、玉努斯、徐宝刚</w:t>
      </w:r>
      <w:r>
        <w:rPr>
          <w:rFonts w:hint="eastAsia"/>
          <w:color w:val="auto"/>
          <w:highlight w:val="none"/>
        </w:rPr>
        <w:t>任评价组成员，主要负责现场调研工作，完成收集整理资料、审核数据、填报绩效评价内容等工作。</w:t>
      </w:r>
    </w:p>
    <w:p>
      <w:pPr>
        <w:pStyle w:val="2"/>
        <w:bidi w:val="0"/>
        <w:rPr>
          <w:rFonts w:hint="eastAsia"/>
          <w:color w:val="auto"/>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组织实施</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lang w:eastAsia="zh-CN"/>
        </w:rPr>
        <w:t>月</w:t>
      </w:r>
      <w:r>
        <w:rPr>
          <w:rFonts w:hint="eastAsia"/>
          <w:color w:val="auto"/>
          <w:highlight w:val="none"/>
          <w:lang w:val="en-US" w:eastAsia="zh-CN"/>
        </w:rPr>
        <w:t>2</w:t>
      </w:r>
      <w:r>
        <w:rPr>
          <w:rFonts w:hint="eastAsia"/>
          <w:color w:val="auto"/>
          <w:highlight w:val="none"/>
          <w:lang w:eastAsia="zh-CN"/>
        </w:rPr>
        <w:t>日-</w:t>
      </w:r>
      <w:r>
        <w:rPr>
          <w:rFonts w:hint="eastAsia"/>
          <w:color w:val="auto"/>
          <w:highlight w:val="none"/>
          <w:lang w:val="en-US" w:eastAsia="zh-CN"/>
        </w:rPr>
        <w:t>2</w:t>
      </w:r>
      <w:r>
        <w:rPr>
          <w:rFonts w:hint="eastAsia"/>
          <w:color w:val="auto"/>
          <w:highlight w:val="none"/>
          <w:lang w:eastAsia="zh-CN"/>
        </w:rPr>
        <w:t>月</w:t>
      </w:r>
      <w:r>
        <w:rPr>
          <w:rFonts w:hint="eastAsia"/>
          <w:color w:val="auto"/>
          <w:highlight w:val="none"/>
          <w:lang w:val="en-US" w:eastAsia="zh-CN"/>
        </w:rPr>
        <w:t>4</w:t>
      </w:r>
      <w:r>
        <w:rPr>
          <w:rFonts w:hint="eastAsia"/>
          <w:color w:val="auto"/>
          <w:highlight w:val="none"/>
          <w:lang w:eastAsia="zh-CN"/>
        </w:rPr>
        <w:t>日，评价工作进入实施阶段。</w:t>
      </w:r>
      <w:r>
        <w:rPr>
          <w:rFonts w:hint="eastAsia"/>
          <w:color w:val="auto"/>
          <w:highlight w:val="none"/>
        </w:rPr>
        <w:t>经评价组通过</w:t>
      </w:r>
      <w:r>
        <w:rPr>
          <w:rFonts w:hint="eastAsia"/>
          <w:color w:val="auto"/>
          <w:highlight w:val="none"/>
          <w:lang w:eastAsia="zh-CN"/>
        </w:rPr>
        <w:t>整理单位前期提交的资料，与项目实施负责人沟通，了解资金的内容、操作流程、管理机制、资金使用方向等情况，进行信息采集，了解项目设置背景及资金使用等情况，</w:t>
      </w:r>
      <w:r>
        <w:rPr>
          <w:rFonts w:hint="eastAsia"/>
          <w:color w:val="auto"/>
          <w:highlight w:val="none"/>
        </w:rPr>
        <w:t>采用综合分析法对项目的决策、管理、绩效进行综合评价分析。</w:t>
      </w:r>
    </w:p>
    <w:p>
      <w:pPr>
        <w:pStyle w:val="2"/>
        <w:bidi w:val="0"/>
        <w:rPr>
          <w:rFonts w:hint="eastAsia"/>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3.分析评价</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lang w:eastAsia="zh-CN"/>
        </w:rPr>
        <w:t>月</w:t>
      </w:r>
      <w:r>
        <w:rPr>
          <w:rFonts w:hint="eastAsia"/>
          <w:color w:val="auto"/>
          <w:highlight w:val="none"/>
          <w:lang w:val="en-US" w:eastAsia="zh-CN"/>
        </w:rPr>
        <w:t>5</w:t>
      </w:r>
      <w:r>
        <w:rPr>
          <w:rFonts w:hint="eastAsia"/>
          <w:color w:val="auto"/>
          <w:highlight w:val="none"/>
          <w:lang w:eastAsia="zh-CN"/>
        </w:rPr>
        <w:t>日-</w:t>
      </w:r>
      <w:r>
        <w:rPr>
          <w:rFonts w:hint="eastAsia"/>
          <w:color w:val="auto"/>
          <w:highlight w:val="none"/>
          <w:lang w:val="en-US" w:eastAsia="zh-CN"/>
        </w:rPr>
        <w:t>2</w:t>
      </w:r>
      <w:r>
        <w:rPr>
          <w:rFonts w:hint="eastAsia"/>
          <w:color w:val="auto"/>
          <w:highlight w:val="none"/>
          <w:lang w:eastAsia="zh-CN"/>
        </w:rPr>
        <w:t>月</w:t>
      </w:r>
      <w:r>
        <w:rPr>
          <w:rFonts w:hint="eastAsia"/>
          <w:color w:val="auto"/>
          <w:highlight w:val="none"/>
          <w:lang w:val="en-US" w:eastAsia="zh-CN"/>
        </w:rPr>
        <w:t>6</w:t>
      </w:r>
      <w:r>
        <w:rPr>
          <w:rFonts w:hint="eastAsia"/>
          <w:color w:val="auto"/>
          <w:highlight w:val="none"/>
          <w:lang w:eastAsia="zh-CN"/>
        </w:rPr>
        <w:t>日，评价小组按照绩效评价的原则和规范，对取得的资料进行审查核实，对采集的数据进行分析，按照绩效评价指标评分表逐项进行打分、分析，汇总各方评价结果，</w:t>
      </w:r>
      <w:r>
        <w:rPr>
          <w:rFonts w:hint="eastAsia"/>
          <w:color w:val="auto"/>
          <w:highlight w:val="none"/>
          <w:lang w:val="en-US" w:eastAsia="zh-CN"/>
        </w:rPr>
        <w:t>进行</w:t>
      </w:r>
      <w:r>
        <w:rPr>
          <w:rFonts w:hint="eastAsia"/>
          <w:color w:val="auto"/>
          <w:highlight w:val="none"/>
          <w:lang w:eastAsia="zh-CN"/>
        </w:rPr>
        <w:t>综合分析并形成评价结论</w:t>
      </w:r>
      <w:r>
        <w:rPr>
          <w:rFonts w:hint="eastAsia"/>
          <w:color w:val="auto"/>
          <w:highlight w:val="none"/>
        </w:rPr>
        <w:t>。</w:t>
      </w:r>
    </w:p>
    <w:p>
      <w:pPr>
        <w:pStyle w:val="2"/>
        <w:bidi w:val="0"/>
        <w:rPr>
          <w:rFonts w:hint="eastAsia"/>
          <w:color w:val="auto"/>
          <w:highlight w:val="none"/>
          <w:lang w:val="en-US" w:eastAsia="zh-CN"/>
        </w:rPr>
      </w:pPr>
      <w:bookmarkStart w:id="7" w:name="_Toc2618"/>
      <w:r>
        <w:rPr>
          <w:rFonts w:hint="eastAsia" w:ascii="仿宋_GB2312" w:hAnsi="仿宋_GB2312" w:eastAsia="仿宋_GB2312" w:cs="仿宋_GB2312"/>
          <w:color w:val="auto"/>
          <w:sz w:val="28"/>
          <w:szCs w:val="28"/>
          <w:highlight w:val="none"/>
          <w:lang w:val="en-US" w:eastAsia="zh-CN"/>
        </w:rPr>
        <w:t>4.撰写与提交评价报告</w:t>
      </w:r>
      <w:bookmarkEnd w:id="7"/>
    </w:p>
    <w:p>
      <w:pPr>
        <w:keepNext w:val="0"/>
        <w:keepLines w:val="0"/>
        <w:pageBreakBefore w:val="0"/>
        <w:widowControl w:val="0"/>
        <w:kinsoku/>
        <w:wordWrap/>
        <w:overflowPunct/>
        <w:topLinePunct w:val="0"/>
        <w:autoSpaceDE/>
        <w:autoSpaceDN/>
        <w:bidi w:val="0"/>
        <w:adjustRightInd w:val="0"/>
        <w:snapToGrid w:val="0"/>
        <w:ind w:firstLine="560"/>
        <w:textAlignment w:val="auto"/>
        <w:rPr>
          <w:rFonts w:hint="eastAsia"/>
          <w:color w:val="auto"/>
          <w:highlight w:val="none"/>
        </w:rPr>
      </w:pPr>
      <w:bookmarkStart w:id="8" w:name="_Toc5055"/>
      <w:r>
        <w:rPr>
          <w:rFonts w:hint="eastAsia"/>
          <w:color w:val="auto"/>
          <w:highlight w:val="none"/>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7</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10</w:t>
      </w:r>
      <w:r>
        <w:rPr>
          <w:rFonts w:hint="eastAsia"/>
          <w:color w:val="auto"/>
          <w:highlight w:val="none"/>
        </w:rPr>
        <w:t>日</w:t>
      </w:r>
      <w:r>
        <w:rPr>
          <w:rFonts w:hint="eastAsia"/>
          <w:color w:val="auto"/>
          <w:highlight w:val="none"/>
          <w:lang w:eastAsia="zh-CN"/>
        </w:rPr>
        <w:t>，</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lang w:eastAsia="zh-CN"/>
        </w:rPr>
        <w:t>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bidi w:val="0"/>
        <w:rPr>
          <w:rFonts w:hint="eastAsia" w:cs="Times New Roman"/>
          <w:bCs/>
          <w:color w:val="auto"/>
          <w:highlight w:val="none"/>
          <w:lang w:val="en-US" w:eastAsia="zh-CN"/>
        </w:rPr>
      </w:pPr>
      <w:r>
        <w:rPr>
          <w:rFonts w:hint="eastAsia" w:ascii="仿宋_GB2312" w:hAnsi="仿宋_GB2312" w:eastAsia="仿宋_GB2312" w:cs="仿宋_GB2312"/>
          <w:bCs/>
          <w:color w:val="auto"/>
          <w:sz w:val="28"/>
          <w:szCs w:val="28"/>
          <w:highlight w:val="none"/>
          <w:lang w:val="en-US" w:eastAsia="zh-CN"/>
        </w:rPr>
        <w:t>5.问题整改</w:t>
      </w:r>
    </w:p>
    <w:p>
      <w:pPr>
        <w:keepNext w:val="0"/>
        <w:keepLines w:val="0"/>
        <w:pageBreakBefore w:val="0"/>
        <w:widowControl w:val="0"/>
        <w:kinsoku/>
        <w:wordWrap/>
        <w:overflowPunct/>
        <w:topLinePunct w:val="0"/>
        <w:autoSpaceDE/>
        <w:autoSpaceDN/>
        <w:bidi w:val="0"/>
        <w:adjustRightInd w:val="0"/>
        <w:snapToGrid w:val="0"/>
        <w:ind w:firstLine="560"/>
        <w:textAlignment w:val="auto"/>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bidi w:val="0"/>
        <w:rPr>
          <w:rFonts w:hint="eastAsia"/>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6.归集档案</w:t>
      </w:r>
      <w:bookmarkEnd w:id="8"/>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val="en-US" w:eastAsia="zh-CN"/>
        </w:rPr>
        <w:t>我单位项目负责人</w:t>
      </w:r>
      <w:r>
        <w:rPr>
          <w:rFonts w:hint="eastAsia"/>
          <w:color w:val="auto"/>
          <w:highlight w:val="none"/>
        </w:rPr>
        <w:t>落实档案管理制度，将项目相关资料存档，包括但不限于：评价项目基本情况和相关文件、评价实施方案、项目支付资料等相关档案。</w:t>
      </w:r>
    </w:p>
    <w:p>
      <w:pPr>
        <w:pStyle w:val="3"/>
        <w:bidi w:val="0"/>
        <w:rPr>
          <w:rFonts w:hint="eastAsia"/>
          <w:color w:val="auto"/>
          <w:highlight w:val="none"/>
        </w:rPr>
      </w:pPr>
      <w:bookmarkStart w:id="9" w:name="_Toc68364664"/>
      <w:r>
        <w:rPr>
          <w:rFonts w:hint="eastAsia"/>
          <w:color w:val="auto"/>
          <w:highlight w:val="none"/>
        </w:rPr>
        <w:t>三、综合评价情况及评价结论</w:t>
      </w:r>
      <w:bookmarkEnd w:id="9"/>
    </w:p>
    <w:p>
      <w:pPr>
        <w:pStyle w:val="6"/>
        <w:bidi w:val="0"/>
        <w:rPr>
          <w:rFonts w:hint="eastAsia" w:ascii="仿宋_GB2312" w:hAnsi="仿宋_GB2312" w:cs="仿宋_GB2312"/>
          <w:color w:val="auto"/>
          <w:highlight w:val="none"/>
        </w:rPr>
      </w:pPr>
      <w:bookmarkStart w:id="10" w:name="_Toc68364665"/>
      <w:r>
        <w:rPr>
          <w:rFonts w:hint="eastAsia" w:ascii="仿宋_GB2312" w:hAnsi="仿宋_GB2312" w:eastAsia="仿宋_GB2312" w:cs="仿宋_GB2312"/>
          <w:color w:val="auto"/>
          <w:highlight w:val="none"/>
        </w:rPr>
        <w:t>（一）综合评价情况</w:t>
      </w:r>
      <w:bookmarkEnd w:id="10"/>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eastAsia="zh-CN"/>
        </w:rPr>
      </w:pPr>
      <w:bookmarkStart w:id="11" w:name="_Toc68364666"/>
      <w:r>
        <w:rPr>
          <w:rFonts w:hint="eastAsia"/>
          <w:color w:val="auto"/>
          <w:highlight w:val="none"/>
          <w:lang w:eastAsia="zh-CN"/>
        </w:rPr>
        <w:t>经评价，该项目达到了年初设立的绩效目标，</w:t>
      </w:r>
      <w:r>
        <w:rPr>
          <w:rFonts w:hint="eastAsia"/>
          <w:color w:val="auto"/>
          <w:highlight w:val="none"/>
          <w:lang w:val="en-US" w:eastAsia="zh-CN"/>
        </w:rPr>
        <w:t>中央重大传染病防控补助资金项目</w:t>
      </w:r>
      <w:r>
        <w:rPr>
          <w:rFonts w:hint="eastAsia"/>
          <w:color w:val="auto"/>
          <w:highlight w:val="none"/>
        </w:rPr>
        <w:t>总体组织规范，完成了</w:t>
      </w:r>
      <w:r>
        <w:rPr>
          <w:rFonts w:hint="eastAsia"/>
          <w:color w:val="auto"/>
          <w:highlight w:val="none"/>
          <w:lang w:val="en-US" w:eastAsia="zh-CN"/>
        </w:rPr>
        <w:t>中央重大传染病防控补助资金项目</w:t>
      </w:r>
      <w:r>
        <w:rPr>
          <w:rFonts w:hint="eastAsia"/>
          <w:color w:val="auto"/>
          <w:highlight w:val="none"/>
        </w:rPr>
        <w:t>的工作目标，</w:t>
      </w:r>
      <w:r>
        <w:rPr>
          <w:rFonts w:hint="eastAsia"/>
          <w:color w:val="auto"/>
          <w:highlight w:val="none"/>
          <w:lang w:eastAsia="zh-CN"/>
        </w:rPr>
        <w:t>在实施过程中取得了良好的成效，具体表现在以下</w:t>
      </w:r>
      <w:r>
        <w:rPr>
          <w:rFonts w:hint="eastAsia"/>
          <w:color w:val="auto"/>
          <w:highlight w:val="none"/>
          <w:lang w:val="en-US" w:eastAsia="zh-CN"/>
        </w:rPr>
        <w:t>四</w:t>
      </w:r>
      <w:r>
        <w:rPr>
          <w:rFonts w:hint="eastAsia"/>
          <w:color w:val="auto"/>
          <w:highlight w:val="none"/>
          <w:lang w:eastAsia="zh-CN"/>
        </w:rPr>
        <w:t>方面：</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eastAsia"/>
          <w:color w:val="auto"/>
          <w:highlight w:val="none"/>
          <w:lang w:val="en-US" w:eastAsia="zh-CN"/>
        </w:rPr>
        <w:t>在项目决策方面：我单位根据《关于印发“十四五”国民健康规划》和《关于提前下达2022年中央重大传染病防控经费预算的通知》（伊州财社（2022）10号）等文件通知制定了重大传染病防控专项管理方案和绩效考核实施方案，细化资金使用、明确各科室责任及2022年项目工作内容、工作目标和工作要求，并组织开展项目工作。</w:t>
      </w:r>
    </w:p>
    <w:p>
      <w:pPr>
        <w:bidi w:val="0"/>
        <w:rPr>
          <w:rFonts w:hint="eastAsia"/>
          <w:color w:val="auto"/>
          <w:highlight w:val="none"/>
          <w:lang w:val="en-US" w:eastAsia="zh-CN"/>
        </w:rPr>
      </w:pPr>
      <w:r>
        <w:rPr>
          <w:rFonts w:hint="eastAsia"/>
          <w:color w:val="auto"/>
          <w:highlight w:val="none"/>
          <w:lang w:val="en-US" w:eastAsia="zh-CN"/>
        </w:rPr>
        <w:t>项目管理方面：我单位</w:t>
      </w:r>
      <w:r>
        <w:rPr>
          <w:rFonts w:hint="default"/>
          <w:color w:val="auto"/>
          <w:highlight w:val="none"/>
          <w:lang w:val="en-US" w:eastAsia="zh-CN"/>
        </w:rPr>
        <w:t>领导高度重视财政支出</w:t>
      </w:r>
      <w:r>
        <w:rPr>
          <w:rFonts w:hint="eastAsia"/>
          <w:color w:val="auto"/>
          <w:highlight w:val="none"/>
          <w:lang w:val="en-US" w:eastAsia="zh-CN"/>
        </w:rPr>
        <w:t>评价</w:t>
      </w:r>
      <w:r>
        <w:rPr>
          <w:rFonts w:hint="default"/>
          <w:color w:val="auto"/>
          <w:highlight w:val="none"/>
          <w:lang w:val="en-US" w:eastAsia="zh-CN"/>
        </w:rPr>
        <w:t>工作，及时部署，安排专人负责开展</w:t>
      </w:r>
      <w:r>
        <w:rPr>
          <w:rFonts w:hint="eastAsia"/>
          <w:color w:val="auto"/>
          <w:highlight w:val="none"/>
          <w:lang w:val="en-US" w:eastAsia="zh-CN"/>
        </w:rPr>
        <w:t>监管</w:t>
      </w:r>
      <w:r>
        <w:rPr>
          <w:rFonts w:hint="default"/>
          <w:color w:val="auto"/>
          <w:highlight w:val="none"/>
          <w:lang w:val="en-US" w:eastAsia="zh-CN"/>
        </w:rPr>
        <w:t>工作</w:t>
      </w:r>
      <w:r>
        <w:rPr>
          <w:rFonts w:hint="eastAsia"/>
          <w:color w:val="auto"/>
          <w:highlight w:val="none"/>
          <w:lang w:val="en-US" w:eastAsia="zh-CN"/>
        </w:rPr>
        <w:t>检查</w:t>
      </w:r>
      <w:r>
        <w:rPr>
          <w:rFonts w:hint="eastAsia" w:ascii="仿宋_GB2312" w:hAnsi="仿宋_GB2312" w:eastAsia="仿宋_GB2312" w:cs="仿宋_GB2312"/>
          <w:color w:val="auto"/>
          <w:kern w:val="0"/>
          <w:sz w:val="28"/>
          <w:szCs w:val="28"/>
          <w:highlight w:val="none"/>
          <w:lang w:val="en-US" w:eastAsia="zh-CN" w:bidi="ar-SA"/>
        </w:rPr>
        <w:t>安排专人进行项目管理，对项目开展按照规定严格执行</w:t>
      </w:r>
      <w:r>
        <w:rPr>
          <w:rFonts w:hint="eastAsia" w:cs="仿宋_GB2312"/>
          <w:color w:val="auto"/>
          <w:kern w:val="0"/>
          <w:sz w:val="28"/>
          <w:szCs w:val="28"/>
          <w:highlight w:val="none"/>
          <w:lang w:val="en-US" w:eastAsia="zh-CN" w:bidi="ar-SA"/>
        </w:rPr>
        <w:t>并接受伊犁哈萨克自治州疾病预防控制中心</w:t>
      </w:r>
      <w:r>
        <w:rPr>
          <w:rFonts w:hint="eastAsia" w:ascii="仿宋_GB2312" w:hAnsi="仿宋_GB2312" w:eastAsia="仿宋_GB2312" w:cs="仿宋_GB2312"/>
          <w:color w:val="auto"/>
          <w:kern w:val="0"/>
          <w:sz w:val="28"/>
          <w:szCs w:val="28"/>
          <w:highlight w:val="none"/>
          <w:lang w:val="en-US" w:eastAsia="zh-CN" w:bidi="ar-SA"/>
        </w:rPr>
        <w:t>验收。</w:t>
      </w:r>
      <w:r>
        <w:rPr>
          <w:rFonts w:hint="eastAsia" w:cs="仿宋_GB2312"/>
          <w:color w:val="auto"/>
          <w:kern w:val="0"/>
          <w:sz w:val="28"/>
          <w:szCs w:val="28"/>
          <w:highlight w:val="none"/>
          <w:lang w:val="en-US" w:eastAsia="zh-CN" w:bidi="ar-SA"/>
        </w:rPr>
        <w:t>我单位</w:t>
      </w:r>
      <w:r>
        <w:rPr>
          <w:rFonts w:hint="eastAsia"/>
          <w:color w:val="auto"/>
          <w:highlight w:val="none"/>
          <w:lang w:val="en-US" w:eastAsia="zh-CN"/>
        </w:rPr>
        <w:t>根据项目绩效相关政策要求及单位相关项目管理制度的规定，项目实施过程中严格执行相关制度，认真履行管理职能，力争通过管理等环节，在质量有保证的前提下，节约项目资金投入，通过绩效管理全过程监控，确保项目按计划实施和正常运转，保证各项目标和指标如期完成，发挥长期效益。</w:t>
      </w:r>
    </w:p>
    <w:p>
      <w:pPr>
        <w:bidi w:val="0"/>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在资金管理方面，本单位统筹使用，依照国家有关法律、法规和财务规章，加强项目管理，做到专账管理、专项核算、专款专用，任何人不以任何形式滞留或挪用资金，严禁将项目资金用于基本设施建设。根据有关专项资金管理规定和财务制度，该项目资金做到了专款专用，使用支付合法合规，资金管理到位，没有虚列、截留、挤占、挪用等问题。</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项目产出方面：我单位开展绩效评价的1个项目实现了2022年度的总体目标。艾滋病免费抗病毒治疗</w:t>
      </w:r>
      <w:r>
        <w:rPr>
          <w:rFonts w:hint="eastAsia" w:ascii="仿宋_GB2312" w:hAnsi="仿宋_GB2312" w:cs="仿宋_GB2312"/>
          <w:color w:val="auto"/>
          <w:kern w:val="0"/>
          <w:sz w:val="28"/>
          <w:szCs w:val="28"/>
          <w:highlight w:val="none"/>
          <w:lang w:val="en-US" w:eastAsia="zh-CN" w:bidi="ar-SA"/>
        </w:rPr>
        <w:t>率</w:t>
      </w:r>
      <w:r>
        <w:rPr>
          <w:rFonts w:hint="eastAsia" w:ascii="仿宋_GB2312" w:hAnsi="仿宋_GB2312" w:eastAsia="仿宋_GB2312" w:cs="仿宋_GB2312"/>
          <w:color w:val="auto"/>
          <w:kern w:val="0"/>
          <w:sz w:val="28"/>
          <w:szCs w:val="28"/>
          <w:highlight w:val="none"/>
          <w:lang w:val="en-US" w:eastAsia="zh-CN" w:bidi="ar-SA"/>
        </w:rPr>
        <w:t>达到了100</w:t>
      </w:r>
      <w:r>
        <w:rPr>
          <w:rFonts w:hint="eastAsia" w:ascii="仿宋_GB2312" w:hAnsi="仿宋_GB2312" w:cs="仿宋_GB2312"/>
          <w:color w:val="auto"/>
          <w:kern w:val="0"/>
          <w:sz w:val="28"/>
          <w:szCs w:val="28"/>
          <w:highlight w:val="none"/>
          <w:lang w:val="en-US" w:eastAsia="zh-CN" w:bidi="ar-SA"/>
        </w:rPr>
        <w:t>.00</w:t>
      </w:r>
      <w:r>
        <w:rPr>
          <w:rFonts w:hint="eastAsia" w:ascii="仿宋_GB2312" w:hAnsi="仿宋_GB2312" w:eastAsia="仿宋_GB2312" w:cs="仿宋_GB2312"/>
          <w:color w:val="auto"/>
          <w:kern w:val="0"/>
          <w:sz w:val="28"/>
          <w:szCs w:val="28"/>
          <w:highlight w:val="none"/>
          <w:lang w:val="en-US" w:eastAsia="zh-CN" w:bidi="ar-SA"/>
        </w:rPr>
        <w:t>%；</w:t>
      </w:r>
      <w:r>
        <w:rPr>
          <w:rFonts w:hint="default" w:ascii="仿宋_GB2312" w:hAnsi="仿宋_GB2312" w:eastAsia="仿宋_GB2312" w:cs="仿宋_GB2312"/>
          <w:color w:val="auto"/>
          <w:kern w:val="0"/>
          <w:sz w:val="28"/>
          <w:szCs w:val="28"/>
          <w:highlight w:val="none"/>
          <w:lang w:val="en-US" w:eastAsia="zh-CN" w:bidi="ar-SA"/>
        </w:rPr>
        <w:t>规范治疗和随访检查的肺结核患者任务完成率</w:t>
      </w:r>
      <w:r>
        <w:rPr>
          <w:rFonts w:hint="eastAsia" w:ascii="仿宋_GB2312" w:hAnsi="仿宋_GB2312" w:cs="仿宋_GB2312"/>
          <w:color w:val="auto"/>
          <w:kern w:val="0"/>
          <w:sz w:val="28"/>
          <w:szCs w:val="28"/>
          <w:highlight w:val="none"/>
          <w:lang w:val="en-US" w:eastAsia="zh-CN" w:bidi="ar-SA"/>
        </w:rPr>
        <w:t>达到</w:t>
      </w:r>
      <w:r>
        <w:rPr>
          <w:rFonts w:hint="eastAsia" w:ascii="仿宋_GB2312" w:hAnsi="仿宋_GB2312" w:eastAsia="仿宋_GB2312" w:cs="仿宋_GB2312"/>
          <w:color w:val="auto"/>
          <w:kern w:val="0"/>
          <w:sz w:val="28"/>
          <w:szCs w:val="28"/>
          <w:highlight w:val="none"/>
          <w:lang w:val="en-US" w:eastAsia="zh-CN" w:bidi="ar-SA"/>
        </w:rPr>
        <w:t>8</w:t>
      </w:r>
      <w:r>
        <w:rPr>
          <w:rFonts w:hint="eastAsia" w:ascii="仿宋_GB2312" w:hAnsi="仿宋_GB2312" w:cs="仿宋_GB2312"/>
          <w:color w:val="auto"/>
          <w:kern w:val="0"/>
          <w:sz w:val="28"/>
          <w:szCs w:val="28"/>
          <w:highlight w:val="none"/>
          <w:lang w:val="en-US" w:eastAsia="zh-CN" w:bidi="ar-SA"/>
        </w:rPr>
        <w:t>8.00</w:t>
      </w:r>
      <w:r>
        <w:rPr>
          <w:rFonts w:hint="eastAsia" w:ascii="仿宋_GB2312" w:hAnsi="仿宋_GB2312" w:eastAsia="仿宋_GB2312" w:cs="仿宋_GB2312"/>
          <w:color w:val="auto"/>
          <w:kern w:val="0"/>
          <w:sz w:val="28"/>
          <w:szCs w:val="28"/>
          <w:highlight w:val="none"/>
          <w:lang w:val="en-US" w:eastAsia="zh-CN" w:bidi="ar-SA"/>
        </w:rPr>
        <w:t>%；包虫病人群主动筛查任务完成率为</w:t>
      </w:r>
      <w:r>
        <w:rPr>
          <w:rFonts w:hint="eastAsia" w:ascii="仿宋_GB2312" w:hAnsi="仿宋_GB2312" w:cs="仿宋_GB2312"/>
          <w:color w:val="auto"/>
          <w:kern w:val="0"/>
          <w:sz w:val="28"/>
          <w:szCs w:val="28"/>
          <w:highlight w:val="none"/>
          <w:lang w:val="en-US" w:eastAsia="zh-CN" w:bidi="ar-SA"/>
        </w:rPr>
        <w:t>达到</w:t>
      </w:r>
      <w:r>
        <w:rPr>
          <w:rFonts w:hint="eastAsia" w:ascii="仿宋_GB2312" w:hAnsi="仿宋_GB2312" w:eastAsia="仿宋_GB2312" w:cs="仿宋_GB2312"/>
          <w:color w:val="auto"/>
          <w:kern w:val="0"/>
          <w:sz w:val="28"/>
          <w:szCs w:val="28"/>
          <w:highlight w:val="none"/>
          <w:lang w:val="en-US" w:eastAsia="zh-CN" w:bidi="ar-SA"/>
        </w:rPr>
        <w:t>8</w:t>
      </w:r>
      <w:r>
        <w:rPr>
          <w:rFonts w:hint="eastAsia" w:ascii="仿宋_GB2312" w:hAnsi="仿宋_GB2312" w:cs="仿宋_GB2312"/>
          <w:color w:val="auto"/>
          <w:kern w:val="0"/>
          <w:sz w:val="28"/>
          <w:szCs w:val="28"/>
          <w:highlight w:val="none"/>
          <w:lang w:val="en-US" w:eastAsia="zh-CN" w:bidi="ar-SA"/>
        </w:rPr>
        <w:t>7.00</w:t>
      </w:r>
      <w:r>
        <w:rPr>
          <w:rFonts w:hint="eastAsia" w:ascii="仿宋_GB2312" w:hAnsi="仿宋_GB2312" w:eastAsia="仿宋_GB2312" w:cs="仿宋_GB2312"/>
          <w:color w:val="auto"/>
          <w:kern w:val="0"/>
          <w:sz w:val="28"/>
          <w:szCs w:val="28"/>
          <w:highlight w:val="none"/>
          <w:lang w:val="en-US" w:eastAsia="zh-CN" w:bidi="ar-SA"/>
        </w:rPr>
        <w:t>%；重大慢性病筛查任务完成率为100</w:t>
      </w:r>
      <w:r>
        <w:rPr>
          <w:rFonts w:hint="eastAsia" w:ascii="仿宋_GB2312" w:hAnsi="仿宋_GB2312" w:cs="仿宋_GB2312"/>
          <w:color w:val="auto"/>
          <w:kern w:val="0"/>
          <w:sz w:val="28"/>
          <w:szCs w:val="28"/>
          <w:highlight w:val="none"/>
          <w:lang w:val="en-US" w:eastAsia="zh-CN" w:bidi="ar-SA"/>
        </w:rPr>
        <w:t>.00</w:t>
      </w:r>
      <w:r>
        <w:rPr>
          <w:rFonts w:hint="eastAsia" w:ascii="仿宋_GB2312" w:hAnsi="仿宋_GB2312" w:eastAsia="仿宋_GB2312" w:cs="仿宋_GB2312"/>
          <w:color w:val="auto"/>
          <w:kern w:val="0"/>
          <w:sz w:val="28"/>
          <w:szCs w:val="28"/>
          <w:highlight w:val="none"/>
          <w:lang w:val="en-US" w:eastAsia="zh-CN" w:bidi="ar-SA"/>
        </w:rPr>
        <w:t>%；严重精神障碍患者筛查任务完成率为100</w:t>
      </w:r>
      <w:r>
        <w:rPr>
          <w:rFonts w:hint="eastAsia" w:ascii="仿宋_GB2312" w:hAnsi="仿宋_GB2312" w:cs="仿宋_GB2312"/>
          <w:color w:val="auto"/>
          <w:kern w:val="0"/>
          <w:sz w:val="28"/>
          <w:szCs w:val="28"/>
          <w:highlight w:val="none"/>
          <w:lang w:val="en-US" w:eastAsia="zh-CN" w:bidi="ar-SA"/>
        </w:rPr>
        <w:t>.00</w:t>
      </w:r>
      <w:r>
        <w:rPr>
          <w:rFonts w:hint="eastAsia" w:ascii="仿宋_GB2312" w:hAnsi="仿宋_GB2312" w:eastAsia="仿宋_GB2312" w:cs="仿宋_GB2312"/>
          <w:color w:val="auto"/>
          <w:kern w:val="0"/>
          <w:sz w:val="28"/>
          <w:szCs w:val="28"/>
          <w:highlight w:val="none"/>
          <w:lang w:val="en-US" w:eastAsia="zh-CN" w:bidi="ar-SA"/>
        </w:rPr>
        <w:t>%；新冠肺炎网络实验室建设任务完成率为</w:t>
      </w:r>
      <w:r>
        <w:rPr>
          <w:rFonts w:hint="eastAsia" w:ascii="仿宋_GB2312" w:hAnsi="仿宋_GB2312" w:cs="仿宋_GB2312"/>
          <w:color w:val="auto"/>
          <w:kern w:val="0"/>
          <w:sz w:val="28"/>
          <w:szCs w:val="28"/>
          <w:highlight w:val="none"/>
          <w:lang w:val="en-US" w:eastAsia="zh-CN" w:bidi="ar-SA"/>
        </w:rPr>
        <w:t>90.00</w:t>
      </w:r>
      <w:r>
        <w:rPr>
          <w:rFonts w:hint="eastAsia" w:ascii="仿宋_GB2312" w:hAnsi="仿宋_GB2312" w:eastAsia="仿宋_GB2312" w:cs="仿宋_GB2312"/>
          <w:color w:val="auto"/>
          <w:kern w:val="0"/>
          <w:sz w:val="28"/>
          <w:szCs w:val="28"/>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项目效益方面：</w:t>
      </w:r>
      <w:r>
        <w:rPr>
          <w:rFonts w:hint="eastAsia" w:cs="仿宋_GB2312"/>
          <w:color w:val="auto"/>
          <w:kern w:val="0"/>
          <w:sz w:val="28"/>
          <w:szCs w:val="28"/>
          <w:highlight w:val="none"/>
          <w:lang w:val="en-US" w:eastAsia="zh-CN" w:bidi="ar-SA"/>
        </w:rPr>
        <w:t>该项目的实施，</w:t>
      </w:r>
      <w:r>
        <w:rPr>
          <w:rFonts w:hint="eastAsia" w:ascii="仿宋_GB2312" w:hAnsi="仿宋_GB2312" w:cs="仿宋_GB2312"/>
          <w:color w:val="auto"/>
          <w:sz w:val="28"/>
          <w:szCs w:val="28"/>
          <w:highlight w:val="none"/>
          <w:lang w:val="en-US" w:eastAsia="zh-CN"/>
        </w:rPr>
        <w:t>有效控制</w:t>
      </w:r>
      <w:r>
        <w:rPr>
          <w:rFonts w:hint="eastAsia" w:cs="仿宋_GB2312"/>
          <w:color w:val="auto"/>
          <w:sz w:val="28"/>
          <w:szCs w:val="28"/>
          <w:highlight w:val="none"/>
          <w:lang w:val="en-US" w:eastAsia="zh-CN"/>
        </w:rPr>
        <w:t>了</w:t>
      </w:r>
      <w:r>
        <w:rPr>
          <w:rFonts w:hint="eastAsia" w:ascii="仿宋_GB2312" w:hAnsi="仿宋_GB2312" w:cs="仿宋_GB2312"/>
          <w:color w:val="auto"/>
          <w:sz w:val="28"/>
          <w:szCs w:val="28"/>
          <w:highlight w:val="none"/>
          <w:lang w:val="en-US" w:eastAsia="zh-CN"/>
        </w:rPr>
        <w:t>艾滋病疫情</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居民健康水平</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公共卫生均等化水平</w:t>
      </w:r>
      <w:r>
        <w:rPr>
          <w:rFonts w:hint="eastAsia" w:cs="仿宋_GB2312"/>
          <w:color w:val="auto"/>
          <w:sz w:val="28"/>
          <w:szCs w:val="28"/>
          <w:highlight w:val="none"/>
          <w:lang w:val="en-US" w:eastAsia="zh-CN"/>
        </w:rPr>
        <w:t>不断</w:t>
      </w:r>
      <w:r>
        <w:rPr>
          <w:rFonts w:hint="eastAsia" w:ascii="仿宋_GB2312" w:hAnsi="仿宋_GB2312" w:cs="仿宋_GB2312"/>
          <w:color w:val="auto"/>
          <w:sz w:val="28"/>
          <w:szCs w:val="28"/>
          <w:highlight w:val="none"/>
          <w:lang w:val="en-US" w:eastAsia="zh-CN"/>
        </w:rPr>
        <w:t>提高</w:t>
      </w:r>
      <w:r>
        <w:rPr>
          <w:rFonts w:hint="eastAsia" w:cs="仿宋_GB2312"/>
          <w:color w:val="auto"/>
          <w:sz w:val="28"/>
          <w:szCs w:val="28"/>
          <w:highlight w:val="none"/>
          <w:lang w:val="en-US" w:eastAsia="zh-CN"/>
        </w:rPr>
        <w:t>。</w:t>
      </w:r>
      <w:r>
        <w:rPr>
          <w:rFonts w:hint="eastAsia" w:ascii="仿宋_GB2312" w:hAnsi="仿宋_GB2312" w:eastAsia="仿宋_GB2312" w:cs="仿宋_GB2312"/>
          <w:color w:val="auto"/>
          <w:kern w:val="0"/>
          <w:sz w:val="28"/>
          <w:szCs w:val="28"/>
          <w:highlight w:val="none"/>
          <w:lang w:val="en-US" w:eastAsia="zh-CN" w:bidi="ar-SA"/>
        </w:rPr>
        <w:t>项目内容</w:t>
      </w:r>
      <w:r>
        <w:rPr>
          <w:rFonts w:hint="eastAsia" w:cs="仿宋_GB2312"/>
          <w:color w:val="auto"/>
          <w:kern w:val="0"/>
          <w:sz w:val="28"/>
          <w:szCs w:val="28"/>
          <w:highlight w:val="none"/>
          <w:lang w:val="en-US" w:eastAsia="zh-CN" w:bidi="ar-SA"/>
        </w:rPr>
        <w:t>与</w:t>
      </w:r>
      <w:r>
        <w:rPr>
          <w:rFonts w:hint="eastAsia" w:ascii="仿宋_GB2312" w:hAnsi="仿宋_GB2312" w:eastAsia="仿宋_GB2312" w:cs="仿宋_GB2312"/>
          <w:color w:val="auto"/>
          <w:kern w:val="0"/>
          <w:sz w:val="28"/>
          <w:szCs w:val="28"/>
          <w:highlight w:val="none"/>
          <w:lang w:val="en-US" w:eastAsia="zh-CN" w:bidi="ar-SA"/>
        </w:rPr>
        <w:t>目标已</w:t>
      </w:r>
      <w:r>
        <w:rPr>
          <w:rFonts w:hint="eastAsia" w:cs="仿宋_GB2312"/>
          <w:color w:val="auto"/>
          <w:kern w:val="0"/>
          <w:sz w:val="28"/>
          <w:szCs w:val="28"/>
          <w:highlight w:val="none"/>
          <w:lang w:val="en-US" w:eastAsia="zh-CN" w:bidi="ar-SA"/>
        </w:rPr>
        <w:t>全部</w:t>
      </w:r>
      <w:r>
        <w:rPr>
          <w:rFonts w:hint="eastAsia" w:ascii="仿宋_GB2312" w:hAnsi="仿宋_GB2312" w:eastAsia="仿宋_GB2312" w:cs="仿宋_GB2312"/>
          <w:color w:val="auto"/>
          <w:kern w:val="0"/>
          <w:sz w:val="28"/>
          <w:szCs w:val="28"/>
          <w:highlight w:val="none"/>
          <w:lang w:val="en-US" w:eastAsia="zh-CN" w:bidi="ar-SA"/>
        </w:rPr>
        <w:t>完成，取得了显著成效。</w:t>
      </w:r>
    </w:p>
    <w:p>
      <w:pPr>
        <w:pStyle w:val="6"/>
        <w:bidi w:val="0"/>
        <w:rPr>
          <w:rFonts w:hint="eastAsia"/>
          <w:color w:val="auto"/>
          <w:highlight w:val="none"/>
        </w:rPr>
      </w:pPr>
      <w:r>
        <w:rPr>
          <w:rFonts w:hint="eastAsia"/>
          <w:color w:val="auto"/>
          <w:highlight w:val="none"/>
        </w:rPr>
        <w:t>（二）综合评价结论</w:t>
      </w:r>
    </w:p>
    <w:bookmarkEnd w:id="11"/>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kern w:val="0"/>
          <w:sz w:val="28"/>
          <w:szCs w:val="28"/>
          <w:highlight w:val="none"/>
          <w:lang w:val="en-US" w:eastAsia="zh-CN" w:bidi="ar-SA"/>
        </w:rPr>
      </w:pPr>
      <w:bookmarkStart w:id="12" w:name="_Toc68364667"/>
      <w:r>
        <w:rPr>
          <w:rFonts w:hint="eastAsia" w:ascii="仿宋_GB2312" w:hAnsi="仿宋_GB2312" w:eastAsia="仿宋_GB2312" w:cs="仿宋_GB2312"/>
          <w:color w:val="auto"/>
          <w:kern w:val="0"/>
          <w:sz w:val="28"/>
          <w:szCs w:val="28"/>
          <w:highlight w:val="none"/>
          <w:lang w:val="en-US" w:eastAsia="zh-CN" w:bidi="ar-SA"/>
        </w:rPr>
        <w:t>此次绩效评价通过绩效评价小组论证的评价指标体系及评分标准，采用比较法、公众评判法、因素分析法等对该项目绩效进行客观评价，最终评分结果：总分为100</w:t>
      </w:r>
      <w:r>
        <w:rPr>
          <w:rFonts w:hint="eastAsia" w:cs="仿宋_GB2312"/>
          <w:color w:val="auto"/>
          <w:kern w:val="0"/>
          <w:sz w:val="28"/>
          <w:szCs w:val="28"/>
          <w:highlight w:val="none"/>
          <w:lang w:val="en-US" w:eastAsia="zh-CN" w:bidi="ar-SA"/>
        </w:rPr>
        <w:t>.00</w:t>
      </w:r>
      <w:r>
        <w:rPr>
          <w:rFonts w:hint="eastAsia" w:ascii="仿宋_GB2312" w:hAnsi="仿宋_GB2312" w:eastAsia="仿宋_GB2312" w:cs="仿宋_GB2312"/>
          <w:color w:val="auto"/>
          <w:kern w:val="0"/>
          <w:sz w:val="28"/>
          <w:szCs w:val="28"/>
          <w:highlight w:val="none"/>
          <w:lang w:val="en-US" w:eastAsia="zh-CN" w:bidi="ar-SA"/>
        </w:rPr>
        <w:t>分，绩效评级为“优”。综合评价结论如下：该项目共设置绩效目标</w:t>
      </w:r>
      <w:r>
        <w:rPr>
          <w:rFonts w:hint="eastAsia" w:cs="仿宋_GB2312"/>
          <w:color w:val="auto"/>
          <w:kern w:val="0"/>
          <w:sz w:val="28"/>
          <w:szCs w:val="28"/>
          <w:highlight w:val="none"/>
          <w:lang w:val="en-US" w:eastAsia="zh-CN" w:bidi="ar-SA"/>
        </w:rPr>
        <w:t>37</w:t>
      </w:r>
      <w:r>
        <w:rPr>
          <w:rFonts w:hint="eastAsia" w:ascii="仿宋_GB2312" w:hAnsi="仿宋_GB2312" w:eastAsia="仿宋_GB2312" w:cs="仿宋_GB2312"/>
          <w:color w:val="auto"/>
          <w:kern w:val="0"/>
          <w:sz w:val="28"/>
          <w:szCs w:val="28"/>
          <w:highlight w:val="none"/>
          <w:lang w:val="en-US" w:eastAsia="zh-CN" w:bidi="ar-SA"/>
        </w:rPr>
        <w:t>个，实现目标</w:t>
      </w:r>
      <w:r>
        <w:rPr>
          <w:rFonts w:hint="eastAsia" w:cs="仿宋_GB2312"/>
          <w:color w:val="auto"/>
          <w:kern w:val="0"/>
          <w:sz w:val="28"/>
          <w:szCs w:val="28"/>
          <w:highlight w:val="none"/>
          <w:lang w:val="en-US" w:eastAsia="zh-CN" w:bidi="ar-SA"/>
        </w:rPr>
        <w:t>37</w:t>
      </w:r>
      <w:r>
        <w:rPr>
          <w:rFonts w:hint="eastAsia" w:ascii="仿宋_GB2312" w:hAnsi="仿宋_GB2312" w:eastAsia="仿宋_GB2312" w:cs="仿宋_GB2312"/>
          <w:color w:val="auto"/>
          <w:kern w:val="0"/>
          <w:sz w:val="28"/>
          <w:szCs w:val="28"/>
          <w:highlight w:val="none"/>
          <w:lang w:val="en-US" w:eastAsia="zh-CN" w:bidi="ar-SA"/>
        </w:rPr>
        <w:t>个，完成率100.00%。项目决策指标共设置6个，满分指标6个，得分率100.00%；项目过程指标共设置5个，满分指标5个，得分率100.00%；项目产出指标共设置22个，满分指标22个，得分率100.00%；项目效益指标共设置4个，满分指标4个，得分率100.00%。</w:t>
      </w:r>
    </w:p>
    <w:p>
      <w:pPr>
        <w:pStyle w:val="3"/>
        <w:pageBreakBefore w:val="0"/>
        <w:widowControl w:val="0"/>
        <w:kinsoku/>
        <w:wordWrap/>
        <w:overflowPunct/>
        <w:topLinePunct w:val="0"/>
        <w:autoSpaceDE/>
        <w:autoSpaceDN/>
        <w:bidi w:val="0"/>
        <w:adjustRightInd w:val="0"/>
        <w:snapToGrid w:val="0"/>
        <w:spacing w:before="0"/>
        <w:textAlignment w:val="auto"/>
        <w:rPr>
          <w:rFonts w:hint="eastAsia"/>
          <w:color w:val="auto"/>
          <w:highlight w:val="none"/>
        </w:rPr>
      </w:pPr>
      <w:r>
        <w:rPr>
          <w:rFonts w:hint="eastAsia"/>
          <w:color w:val="auto"/>
          <w:highlight w:val="none"/>
        </w:rPr>
        <w:t>四、绩效评价指标分析</w:t>
      </w:r>
      <w:bookmarkEnd w:id="12"/>
    </w:p>
    <w:p>
      <w:pPr>
        <w:pStyle w:val="6"/>
        <w:pageBreakBefore w:val="0"/>
        <w:widowControl w:val="0"/>
        <w:kinsoku/>
        <w:wordWrap/>
        <w:overflowPunct/>
        <w:topLinePunct w:val="0"/>
        <w:autoSpaceDE/>
        <w:autoSpaceDN/>
        <w:bidi w:val="0"/>
        <w:adjustRightInd w:val="0"/>
        <w:snapToGrid w:val="0"/>
        <w:spacing w:before="0"/>
        <w:textAlignment w:val="auto"/>
        <w:rPr>
          <w:rFonts w:hint="eastAsia" w:ascii="仿宋_GB2312" w:hAnsi="仿宋_GB2312" w:cs="仿宋_GB2312"/>
          <w:color w:val="auto"/>
          <w:sz w:val="32"/>
          <w:highlight w:val="none"/>
        </w:rPr>
      </w:pPr>
      <w:bookmarkStart w:id="13" w:name="_Toc68364668"/>
      <w:r>
        <w:rPr>
          <w:rFonts w:hint="eastAsia" w:ascii="仿宋_GB2312" w:hAnsi="仿宋_GB2312" w:cs="仿宋_GB2312"/>
          <w:color w:val="auto"/>
          <w:sz w:val="30"/>
          <w:szCs w:val="30"/>
          <w:highlight w:val="none"/>
        </w:rPr>
        <w:t>（一）项目决策情况</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项目决策类指标包括项目立项、绩效目标和资金投入三方面的内容，由3个二级指标和6个三级指标构成，权重分为21.00分，实际得分21.00分，得分率为100.00%。</w:t>
      </w:r>
    </w:p>
    <w:p>
      <w:pPr>
        <w:pStyle w:val="2"/>
        <w:bidi w:val="0"/>
        <w:rPr>
          <w:rFonts w:hint="eastAsia"/>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1.项目立项情况分析</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（1）立项依据充分性：</w:t>
      </w:r>
    </w:p>
    <w:p>
      <w:pPr>
        <w:pStyle w:val="24"/>
        <w:keepNext w:val="0"/>
        <w:keepLines w:val="0"/>
        <w:widowControl/>
        <w:suppressLineNumbers w:val="0"/>
        <w:spacing w:before="0" w:beforeAutospacing="0" w:after="0" w:afterAutospacing="0"/>
        <w:jc w:val="left"/>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项目立项符合《中华人民共和国传染病防治法》及国务院办公厅关于印发《“十四五”国民健康规划的通知》（国办发〔2022〕11号）等国家法律法规关于“重大传染病”的国民经济发展规划和相关政策；</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项目立项与巩留县疾病预防控制中心“开展流感监测、扩大国家免疫规划、结核病防治、艾滋病防治、包虫病等重点寄生虫病防治、地方病防治、严重精神障碍管理治疗、慢性病综合防控等疾病控制项</w:t>
      </w:r>
      <w:r>
        <w:rPr>
          <w:rFonts w:hint="eastAsia" w:ascii="仿宋_GB2312" w:hAnsi="仿宋_GB2312" w:eastAsia="仿宋_GB2312" w:cs="仿宋_GB2312"/>
          <w:color w:val="auto"/>
          <w:sz w:val="28"/>
          <w:szCs w:val="28"/>
          <w:highlight w:val="none"/>
          <w:lang w:val="en-US" w:eastAsia="zh-CN"/>
        </w:rPr>
        <w:t>目</w:t>
      </w:r>
      <w:r>
        <w:rPr>
          <w:rFonts w:hint="eastAsia" w:ascii="仿宋_GB2312" w:hAnsi="仿宋_GB2312" w:eastAsia="仿宋_GB2312" w:cs="仿宋_GB2312"/>
          <w:color w:val="auto"/>
          <w:kern w:val="0"/>
          <w:sz w:val="28"/>
          <w:szCs w:val="28"/>
          <w:highlight w:val="none"/>
          <w:lang w:val="en-US" w:eastAsia="zh-CN" w:bidi="ar-SA"/>
        </w:rPr>
        <w:t>工作”这一部门职责范围相符，属于部门履职所需；</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根据《</w:t>
      </w:r>
      <w:r>
        <w:rPr>
          <w:rFonts w:hint="eastAsia" w:cs="仿宋_GB2312"/>
          <w:color w:val="auto"/>
          <w:kern w:val="0"/>
          <w:sz w:val="28"/>
          <w:szCs w:val="28"/>
          <w:highlight w:val="none"/>
          <w:lang w:val="en-US" w:eastAsia="zh-CN" w:bidi="ar-SA"/>
        </w:rPr>
        <w:t>单位支付申请</w:t>
      </w:r>
      <w:r>
        <w:rPr>
          <w:rFonts w:hint="eastAsia" w:ascii="仿宋_GB2312" w:hAnsi="仿宋_GB2312" w:eastAsia="仿宋_GB2312" w:cs="仿宋_GB2312"/>
          <w:color w:val="auto"/>
          <w:kern w:val="0"/>
          <w:sz w:val="28"/>
          <w:szCs w:val="28"/>
          <w:highlight w:val="none"/>
          <w:lang w:val="en-US" w:eastAsia="zh-CN" w:bidi="ar-SA"/>
        </w:rPr>
        <w:t>》，该项目资金性质为“中央资金”，功能分类为“重大公共卫生”，经济分类为“商品服务支出”，根据《中华人民共和国预算法》属于公共财政支持范围，符合中央、地方事权支出责任划分原则。</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该指标佐证材料：《中华人民共和国传染病防治法》《“十四五”国民健康规划》《</w:t>
      </w:r>
      <w:r>
        <w:rPr>
          <w:rFonts w:hint="eastAsia" w:cs="仿宋_GB2312"/>
          <w:color w:val="auto"/>
          <w:kern w:val="0"/>
          <w:sz w:val="28"/>
          <w:szCs w:val="28"/>
          <w:highlight w:val="none"/>
          <w:lang w:val="en-US" w:eastAsia="zh-CN" w:bidi="ar-SA"/>
        </w:rPr>
        <w:t>单位支付申请</w:t>
      </w:r>
      <w:r>
        <w:rPr>
          <w:rFonts w:hint="eastAsia" w:ascii="仿宋_GB2312" w:hAnsi="仿宋_GB2312" w:eastAsia="仿宋_GB2312" w:cs="仿宋_GB2312"/>
          <w:color w:val="auto"/>
          <w:kern w:val="0"/>
          <w:sz w:val="28"/>
          <w:szCs w:val="28"/>
          <w:highlight w:val="none"/>
          <w:lang w:val="en-US" w:eastAsia="zh-CN" w:bidi="ar-SA"/>
        </w:rPr>
        <w:t>》</w:t>
      </w:r>
      <w:r>
        <w:rPr>
          <w:rFonts w:hint="eastAsia" w:cs="仿宋_GB2312"/>
          <w:color w:val="auto"/>
          <w:kern w:val="0"/>
          <w:sz w:val="28"/>
          <w:szCs w:val="28"/>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综上</w:t>
      </w:r>
      <w:r>
        <w:rPr>
          <w:rFonts w:hint="eastAsia" w:cs="仿宋_GB2312"/>
          <w:color w:val="auto"/>
          <w:kern w:val="0"/>
          <w:sz w:val="28"/>
          <w:szCs w:val="28"/>
          <w:highlight w:val="none"/>
          <w:lang w:val="en-US" w:eastAsia="zh-CN" w:bidi="ar-SA"/>
        </w:rPr>
        <w:t>所述</w:t>
      </w:r>
      <w:r>
        <w:rPr>
          <w:rFonts w:hint="eastAsia" w:ascii="仿宋_GB2312" w:hAnsi="仿宋_GB2312" w:eastAsia="仿宋_GB2312" w:cs="仿宋_GB2312"/>
          <w:color w:val="auto"/>
          <w:kern w:val="0"/>
          <w:sz w:val="28"/>
          <w:szCs w:val="28"/>
          <w:highlight w:val="none"/>
          <w:lang w:val="en-US" w:eastAsia="zh-CN" w:bidi="ar-SA"/>
        </w:rPr>
        <w:t>，该指标满分</w:t>
      </w:r>
      <w:r>
        <w:rPr>
          <w:rFonts w:hint="eastAsia" w:cs="仿宋_GB2312"/>
          <w:color w:val="auto"/>
          <w:kern w:val="0"/>
          <w:sz w:val="28"/>
          <w:szCs w:val="28"/>
          <w:highlight w:val="none"/>
          <w:lang w:val="en-US" w:eastAsia="zh-CN" w:bidi="ar-SA"/>
        </w:rPr>
        <w:t>5.00</w:t>
      </w:r>
      <w:r>
        <w:rPr>
          <w:rFonts w:hint="eastAsia" w:ascii="仿宋_GB2312" w:hAnsi="仿宋_GB2312" w:eastAsia="仿宋_GB2312" w:cs="仿宋_GB2312"/>
          <w:color w:val="auto"/>
          <w:kern w:val="0"/>
          <w:sz w:val="28"/>
          <w:szCs w:val="28"/>
          <w:highlight w:val="none"/>
          <w:lang w:val="en-US" w:eastAsia="zh-CN" w:bidi="ar-SA"/>
        </w:rPr>
        <w:t>分，根据评分标准得</w:t>
      </w:r>
      <w:r>
        <w:rPr>
          <w:rFonts w:hint="eastAsia" w:cs="仿宋_GB2312"/>
          <w:color w:val="auto"/>
          <w:kern w:val="0"/>
          <w:sz w:val="28"/>
          <w:szCs w:val="28"/>
          <w:highlight w:val="none"/>
          <w:lang w:val="en-US" w:eastAsia="zh-CN" w:bidi="ar-SA"/>
        </w:rPr>
        <w:t>5.00</w:t>
      </w:r>
      <w:r>
        <w:rPr>
          <w:rFonts w:hint="eastAsia" w:ascii="仿宋_GB2312" w:hAnsi="仿宋_GB2312" w:eastAsia="仿宋_GB2312" w:cs="仿宋_GB2312"/>
          <w:color w:val="auto"/>
          <w:kern w:val="0"/>
          <w:sz w:val="28"/>
          <w:szCs w:val="28"/>
          <w:highlight w:val="none"/>
          <w:lang w:val="en-US" w:eastAsia="zh-CN" w:bidi="ar-SA"/>
        </w:rPr>
        <w:t>分，该项目立项依据充分。</w:t>
      </w:r>
    </w:p>
    <w:p>
      <w:pPr>
        <w:pageBreakBefore w:val="0"/>
        <w:widowControl w:val="0"/>
        <w:kinsoku/>
        <w:wordWrap/>
        <w:overflowPunct/>
        <w:topLinePunct w:val="0"/>
        <w:autoSpaceDE/>
        <w:autoSpaceDN/>
        <w:bidi w:val="0"/>
        <w:adjustRightInd w:val="0"/>
        <w:snapToGrid w:val="0"/>
        <w:spacing w:line="360" w:lineRule="auto"/>
        <w:ind w:right="0" w:rightChars="0" w:firstLine="643"/>
        <w:jc w:val="both"/>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（2）立项程序规范性：</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本单位该项目按规定的程序申请设立，提交的</w:t>
      </w:r>
      <w:r>
        <w:rPr>
          <w:rFonts w:hint="eastAsia" w:cs="仿宋_GB2312"/>
          <w:color w:val="auto"/>
          <w:kern w:val="0"/>
          <w:sz w:val="28"/>
          <w:szCs w:val="28"/>
          <w:highlight w:val="none"/>
          <w:lang w:val="en-US" w:eastAsia="zh-CN" w:bidi="ar-SA"/>
        </w:rPr>
        <w:t>项目实施方案等</w:t>
      </w:r>
      <w:r>
        <w:rPr>
          <w:rFonts w:hint="eastAsia" w:ascii="仿宋_GB2312" w:hAnsi="仿宋_GB2312" w:eastAsia="仿宋_GB2312" w:cs="仿宋_GB2312"/>
          <w:color w:val="auto"/>
          <w:kern w:val="0"/>
          <w:sz w:val="28"/>
          <w:szCs w:val="28"/>
          <w:highlight w:val="none"/>
          <w:lang w:val="en-US" w:eastAsia="zh-CN" w:bidi="ar-SA"/>
        </w:rPr>
        <w:t>文件资料符合相关要求</w:t>
      </w:r>
      <w:r>
        <w:rPr>
          <w:rFonts w:hint="eastAsia" w:cs="仿宋_GB2312"/>
          <w:color w:val="auto"/>
          <w:kern w:val="0"/>
          <w:sz w:val="28"/>
          <w:szCs w:val="28"/>
          <w:highlight w:val="none"/>
          <w:lang w:val="en-US" w:eastAsia="zh-CN" w:bidi="ar-SA"/>
        </w:rPr>
        <w:t>。项目开展前经单位党组会议讨论通过后实施。项目开展前</w:t>
      </w:r>
      <w:r>
        <w:rPr>
          <w:rFonts w:hint="eastAsia" w:ascii="仿宋_GB2312" w:hAnsi="仿宋_GB2312" w:eastAsia="仿宋_GB2312" w:cs="仿宋_GB2312"/>
          <w:color w:val="auto"/>
          <w:kern w:val="0"/>
          <w:sz w:val="28"/>
          <w:szCs w:val="28"/>
          <w:highlight w:val="none"/>
          <w:lang w:val="en-US" w:eastAsia="zh-CN" w:bidi="ar-SA"/>
        </w:rPr>
        <w:t>经过</w:t>
      </w:r>
      <w:r>
        <w:rPr>
          <w:rFonts w:hint="eastAsia" w:cs="仿宋_GB2312"/>
          <w:color w:val="auto"/>
          <w:kern w:val="0"/>
          <w:sz w:val="28"/>
          <w:szCs w:val="28"/>
          <w:highlight w:val="none"/>
          <w:lang w:val="en-US" w:eastAsia="zh-CN" w:bidi="ar-SA"/>
        </w:rPr>
        <w:t>了</w:t>
      </w:r>
      <w:r>
        <w:rPr>
          <w:rFonts w:hint="eastAsia" w:ascii="仿宋_GB2312" w:hAnsi="仿宋_GB2312" w:eastAsia="仿宋_GB2312" w:cs="仿宋_GB2312"/>
          <w:color w:val="auto"/>
          <w:kern w:val="0"/>
          <w:sz w:val="28"/>
          <w:szCs w:val="28"/>
          <w:highlight w:val="none"/>
          <w:lang w:val="en-US" w:eastAsia="zh-CN" w:bidi="ar-SA"/>
        </w:rPr>
        <w:t>必要的集体决策</w:t>
      </w:r>
      <w:r>
        <w:rPr>
          <w:rFonts w:hint="eastAsia" w:cs="仿宋_GB2312"/>
          <w:color w:val="auto"/>
          <w:kern w:val="0"/>
          <w:sz w:val="28"/>
          <w:szCs w:val="28"/>
          <w:highlight w:val="none"/>
          <w:lang w:val="en-US" w:eastAsia="zh-CN" w:bidi="ar-SA"/>
        </w:rPr>
        <w:t>。相关</w:t>
      </w:r>
      <w:r>
        <w:rPr>
          <w:rFonts w:hint="eastAsia" w:ascii="仿宋_GB2312" w:hAnsi="仿宋_GB2312" w:eastAsia="仿宋_GB2312" w:cs="仿宋_GB2312"/>
          <w:color w:val="auto"/>
          <w:kern w:val="0"/>
          <w:sz w:val="28"/>
          <w:szCs w:val="28"/>
          <w:highlight w:val="none"/>
          <w:lang w:val="en-US" w:eastAsia="zh-CN" w:bidi="ar-SA"/>
        </w:rPr>
        <w:t>审批文件和材料合规完整。</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该指标佐证材料：</w:t>
      </w:r>
      <w:r>
        <w:rPr>
          <w:rFonts w:hint="eastAsia" w:ascii="仿宋_GB2312" w:cs="仿宋_GB2312"/>
          <w:color w:val="auto"/>
          <w:sz w:val="28"/>
          <w:szCs w:val="28"/>
          <w:highlight w:val="none"/>
        </w:rPr>
        <w:t>《</w:t>
      </w:r>
      <w:r>
        <w:rPr>
          <w:rFonts w:hint="eastAsia" w:cs="仿宋_GB2312"/>
          <w:color w:val="auto"/>
          <w:sz w:val="28"/>
          <w:szCs w:val="28"/>
          <w:highlight w:val="none"/>
          <w:lang w:val="en-US" w:eastAsia="zh-CN"/>
        </w:rPr>
        <w:t>中央重大传染病防控</w:t>
      </w:r>
      <w:r>
        <w:rPr>
          <w:rFonts w:hint="eastAsia" w:ascii="仿宋_GB2312" w:cs="仿宋_GB2312"/>
          <w:color w:val="auto"/>
          <w:sz w:val="28"/>
          <w:szCs w:val="28"/>
          <w:highlight w:val="none"/>
        </w:rPr>
        <w:t>项目实施方案》</w:t>
      </w:r>
      <w:r>
        <w:rPr>
          <w:rFonts w:hint="eastAsia" w:ascii="仿宋_GB2312" w:hAnsi="仿宋_GB2312" w:eastAsia="仿宋_GB2312" w:cs="仿宋_GB2312"/>
          <w:color w:val="auto"/>
          <w:kern w:val="0"/>
          <w:sz w:val="28"/>
          <w:szCs w:val="28"/>
          <w:highlight w:val="none"/>
          <w:lang w:val="en-US" w:eastAsia="zh-CN" w:bidi="ar-SA"/>
        </w:rPr>
        <w:t>《关于提前下达2022年中央重大传染病防控经费预算的通知》</w:t>
      </w:r>
      <w:r>
        <w:rPr>
          <w:rFonts w:hint="eastAsia" w:cs="仿宋_GB2312"/>
          <w:color w:val="auto"/>
          <w:kern w:val="0"/>
          <w:sz w:val="28"/>
          <w:szCs w:val="28"/>
          <w:highlight w:val="none"/>
          <w:lang w:val="en-US" w:eastAsia="zh-CN" w:bidi="ar-SA"/>
        </w:rPr>
        <w:t>（</w:t>
      </w:r>
      <w:r>
        <w:rPr>
          <w:rFonts w:hint="eastAsia" w:ascii="仿宋_GB2312" w:hAnsi="仿宋_GB2312" w:eastAsia="仿宋_GB2312" w:cs="仿宋_GB2312"/>
          <w:color w:val="auto"/>
          <w:kern w:val="0"/>
          <w:sz w:val="28"/>
          <w:szCs w:val="28"/>
          <w:highlight w:val="none"/>
          <w:lang w:val="en-US" w:eastAsia="zh-CN" w:bidi="ar-SA"/>
        </w:rPr>
        <w:t>伊州财社（2022）10号</w:t>
      </w:r>
      <w:r>
        <w:rPr>
          <w:rFonts w:hint="eastAsia" w:cs="仿宋_GB2312"/>
          <w:color w:val="auto"/>
          <w:kern w:val="0"/>
          <w:sz w:val="28"/>
          <w:szCs w:val="28"/>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kern w:val="0"/>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SA"/>
        </w:rPr>
        <w:t>综上</w:t>
      </w:r>
      <w:r>
        <w:rPr>
          <w:rFonts w:hint="eastAsia" w:cs="仿宋_GB2312"/>
          <w:color w:val="auto"/>
          <w:kern w:val="0"/>
          <w:sz w:val="28"/>
          <w:szCs w:val="28"/>
          <w:highlight w:val="none"/>
          <w:lang w:val="en-US" w:eastAsia="zh-CN" w:bidi="ar-SA"/>
        </w:rPr>
        <w:t>所述</w:t>
      </w:r>
      <w:r>
        <w:rPr>
          <w:rFonts w:hint="eastAsia" w:ascii="仿宋_GB2312" w:hAnsi="仿宋_GB2312" w:eastAsia="仿宋_GB2312" w:cs="仿宋_GB2312"/>
          <w:color w:val="auto"/>
          <w:kern w:val="0"/>
          <w:sz w:val="28"/>
          <w:szCs w:val="28"/>
          <w:highlight w:val="none"/>
          <w:lang w:val="en-US" w:eastAsia="zh-CN" w:bidi="ar-SA"/>
        </w:rPr>
        <w:t>，该指标满分3.00分，根据评分标准得3.00分，该项目立项程序合规。</w:t>
      </w:r>
    </w:p>
    <w:p>
      <w:pPr>
        <w:pStyle w:val="2"/>
        <w:bidi w:val="0"/>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2.绩效目标情况分析</w:t>
      </w:r>
    </w:p>
    <w:p>
      <w:pPr>
        <w:pageBreakBefore w:val="0"/>
        <w:widowControl w:val="0"/>
        <w:kinsoku/>
        <w:wordWrap/>
        <w:overflowPunct/>
        <w:topLinePunct w:val="0"/>
        <w:autoSpaceDE/>
        <w:autoSpaceDN/>
        <w:bidi w:val="0"/>
        <w:adjustRightInd w:val="0"/>
        <w:snapToGrid w:val="0"/>
        <w:spacing w:line="360" w:lineRule="auto"/>
        <w:ind w:right="0" w:rightChars="0" w:firstLine="643"/>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w:t>
      </w:r>
      <w:r>
        <w:rPr>
          <w:rFonts w:hint="eastAsia" w:ascii="仿宋_GB2312" w:hAnsi="仿宋_GB2312" w:eastAsia="仿宋_GB2312" w:cs="仿宋_GB2312"/>
          <w:b/>
          <w:bCs/>
          <w:color w:val="auto"/>
          <w:sz w:val="28"/>
          <w:szCs w:val="28"/>
          <w:highlight w:val="none"/>
          <w:lang w:val="en-US" w:eastAsia="zh-CN"/>
        </w:rPr>
        <w:t>1</w:t>
      </w:r>
      <w:r>
        <w:rPr>
          <w:rFonts w:hint="eastAsia" w:ascii="仿宋_GB2312" w:hAnsi="仿宋_GB2312" w:eastAsia="仿宋_GB2312" w:cs="仿宋_GB2312"/>
          <w:b/>
          <w:bCs/>
          <w:color w:val="auto"/>
          <w:sz w:val="28"/>
          <w:szCs w:val="28"/>
          <w:highlight w:val="none"/>
        </w:rPr>
        <w:t>）绩效目标合理性</w:t>
      </w:r>
      <w:r>
        <w:rPr>
          <w:rFonts w:hint="eastAsia" w:ascii="仿宋_GB2312" w:hAnsi="仿宋_GB2312" w:eastAsia="仿宋_GB2312" w:cs="仿宋_GB2312"/>
          <w:color w:val="auto"/>
          <w:sz w:val="28"/>
          <w:szCs w:val="28"/>
          <w:highlight w:val="none"/>
        </w:rPr>
        <w:t>：</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rPr>
        <w:t>①</w:t>
      </w:r>
      <w:r>
        <w:rPr>
          <w:rFonts w:hint="eastAsia" w:ascii="仿宋_GB2312" w:hAnsi="仿宋_GB2312" w:eastAsia="仿宋_GB2312" w:cs="仿宋_GB2312"/>
          <w:color w:val="auto"/>
          <w:highlight w:val="none"/>
          <w:lang w:eastAsia="zh-CN"/>
        </w:rPr>
        <w:t>该项目</w:t>
      </w:r>
      <w:r>
        <w:rPr>
          <w:rFonts w:hint="eastAsia" w:ascii="仿宋_GB2312" w:hAnsi="仿宋_GB2312" w:eastAsia="仿宋_GB2312" w:cs="仿宋_GB2312"/>
          <w:color w:val="auto"/>
          <w:highlight w:val="none"/>
        </w:rPr>
        <w:t>已设置年度绩效目标，具体内容为</w:t>
      </w:r>
      <w:r>
        <w:rPr>
          <w:rFonts w:hint="eastAsia" w:cs="仿宋_GB2312"/>
          <w:color w:val="auto"/>
          <w:highlight w:val="none"/>
          <w:lang w:eastAsia="zh-CN"/>
        </w:rPr>
        <w:t>：“</w:t>
      </w:r>
      <w:r>
        <w:rPr>
          <w:rFonts w:hint="eastAsia" w:ascii="仿宋_GB2312" w:hAnsi="仿宋_GB2312" w:eastAsia="仿宋_GB2312" w:cs="仿宋_GB2312"/>
          <w:color w:val="auto"/>
          <w:highlight w:val="none"/>
        </w:rPr>
        <w:t>本项目根据相关文件的区域目标及项目的实际情况，本年度完成艾滋病免费抗病毒治疗、重大慢性病筛查任务完成率、严重精神障碍患者筛查任务完成率、艾滋病规范化随访干预比例、艾滋病高危人群检测比例、艾滋病临床用血核酸检测等指标均达100</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highlight w:val="none"/>
        </w:rPr>
        <w:t>%，规范治疗和随访检查的肺结核患者任务完成率、包虫病人群主动筛查任务完成率、新冠肺炎网络实验室建设任务完成率、窝沟封闭完好率均达85</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highlight w:val="none"/>
        </w:rPr>
        <w:t>%以上，有症状的病原学阳性率肺结核患者密切接触者检查率、全区以乡（镇）为单位适龄儿童免疫规划疫苗接种率、艾滋病感染孕产妇所生儿童抗病毒药物应用比例均达90</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highlight w:val="none"/>
        </w:rPr>
        <w:t>%以上，有效控制艾滋病疫情，艾滋病疫情处于低流行水平，中长期的是居民健康水平提高，公共卫生均等化水平提高</w:t>
      </w:r>
      <w:r>
        <w:rPr>
          <w:rFonts w:hint="eastAsia" w:cs="仿宋_GB2312"/>
          <w:color w:val="auto"/>
          <w:highlight w:val="none"/>
          <w:lang w:eastAsia="zh-CN"/>
        </w:rPr>
        <w:t>”。</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highlight w:val="none"/>
        </w:rPr>
        <w:t>②</w:t>
      </w:r>
      <w:r>
        <w:rPr>
          <w:rFonts w:hint="eastAsia" w:cs="仿宋_GB2312"/>
          <w:color w:val="auto"/>
          <w:highlight w:val="none"/>
          <w:lang w:eastAsia="zh-CN"/>
        </w:rPr>
        <w:t>该项目</w:t>
      </w:r>
      <w:r>
        <w:rPr>
          <w:rFonts w:hint="eastAsia" w:ascii="仿宋_GB2312" w:hAnsi="仿宋_GB2312" w:eastAsia="仿宋_GB2312" w:cs="仿宋_GB2312"/>
          <w:color w:val="auto"/>
          <w:highlight w:val="none"/>
        </w:rPr>
        <w:t>实际工作为：</w:t>
      </w:r>
      <w:r>
        <w:rPr>
          <w:rFonts w:hint="eastAsia"/>
          <w:color w:val="auto"/>
          <w:highlight w:val="none"/>
          <w:lang w:val="en-US" w:eastAsia="zh-CN"/>
        </w:rPr>
        <w:t>全面开展了流感监测、按照《扩大国家免疫</w:t>
      </w:r>
      <w:r>
        <w:rPr>
          <w:rFonts w:hint="eastAsia" w:ascii="仿宋_GB2312" w:hAnsi="仿宋_GB2312" w:eastAsia="仿宋_GB2312" w:cs="仿宋_GB2312"/>
          <w:color w:val="auto"/>
          <w:sz w:val="28"/>
          <w:szCs w:val="28"/>
          <w:highlight w:val="none"/>
          <w:lang w:val="en-US" w:eastAsia="zh-CN"/>
        </w:rPr>
        <w:t>规划实施方案》，进行常规接种，在全县范围内计划开展两轮脊灰疫苗补充免疫活动，开展AFP病例的监测，开展麻疹、风疹、流行性腮腺炎监测工作，根据监测方案要求组织开展调查诊断，协调教育部门做入托入学查验工作培训及技术指导，做疫苗供应保障及《中华人民共和国疫苗管理法》宣传培训工作，做好免疫规划及针对传染病宣传，制作相关宣传用品及材料；完成发现结核并治疗患者，病原性阳性肺结核患者耐药筛查、密切接触者筛查、可疑患者检查等工作任务；扩大免费抗</w:t>
      </w:r>
      <w:r>
        <w:rPr>
          <w:rFonts w:hint="eastAsia" w:ascii="仿宋_GB2312" w:hAnsi="仿宋_GB2312" w:eastAsia="仿宋_GB2312" w:cs="仿宋_GB2312"/>
          <w:color w:val="auto"/>
          <w:sz w:val="28"/>
          <w:szCs w:val="28"/>
          <w:highlight w:val="none"/>
          <w:lang w:val="en" w:eastAsia="zh-CN"/>
        </w:rPr>
        <w:t>艾滋病</w:t>
      </w:r>
      <w:r>
        <w:rPr>
          <w:rFonts w:hint="eastAsia" w:ascii="仿宋_GB2312" w:hAnsi="仿宋_GB2312" w:eastAsia="仿宋_GB2312" w:cs="仿宋_GB2312"/>
          <w:color w:val="auto"/>
          <w:sz w:val="28"/>
          <w:szCs w:val="28"/>
          <w:highlight w:val="none"/>
          <w:lang w:val="en-US" w:eastAsia="zh-CN"/>
        </w:rPr>
        <w:t>病毒治疗覆盖面，提高救治质量和水平，降低</w:t>
      </w:r>
      <w:r>
        <w:rPr>
          <w:rFonts w:hint="eastAsia" w:ascii="仿宋_GB2312" w:hAnsi="仿宋_GB2312" w:eastAsia="仿宋_GB2312" w:cs="仿宋_GB2312"/>
          <w:color w:val="auto"/>
          <w:sz w:val="28"/>
          <w:szCs w:val="28"/>
          <w:highlight w:val="none"/>
          <w:lang w:val="en" w:eastAsia="zh-CN"/>
        </w:rPr>
        <w:t>艾滋病</w:t>
      </w:r>
      <w:r>
        <w:rPr>
          <w:rFonts w:hint="eastAsia" w:ascii="仿宋_GB2312" w:hAnsi="仿宋_GB2312" w:eastAsia="仿宋_GB2312" w:cs="仿宋_GB2312"/>
          <w:color w:val="auto"/>
          <w:sz w:val="28"/>
          <w:szCs w:val="28"/>
          <w:highlight w:val="none"/>
          <w:lang w:val="en-US" w:eastAsia="zh-CN"/>
        </w:rPr>
        <w:t>病死率，全面、规范落实了预防</w:t>
      </w:r>
      <w:r>
        <w:rPr>
          <w:rFonts w:hint="eastAsia" w:ascii="仿宋_GB2312" w:hAnsi="仿宋_GB2312" w:eastAsia="仿宋_GB2312" w:cs="仿宋_GB2312"/>
          <w:color w:val="auto"/>
          <w:sz w:val="28"/>
          <w:szCs w:val="28"/>
          <w:highlight w:val="none"/>
          <w:lang w:val="en" w:eastAsia="zh-CN"/>
        </w:rPr>
        <w:t>艾滋病</w:t>
      </w:r>
      <w:r>
        <w:rPr>
          <w:rFonts w:hint="eastAsia" w:ascii="仿宋_GB2312" w:hAnsi="仿宋_GB2312" w:eastAsia="仿宋_GB2312" w:cs="仿宋_GB2312"/>
          <w:color w:val="auto"/>
          <w:sz w:val="28"/>
          <w:szCs w:val="28"/>
          <w:highlight w:val="none"/>
          <w:lang w:val="en-US" w:eastAsia="zh-CN"/>
        </w:rPr>
        <w:t>、梅毒和乙肝母婴传播干预服务等疾病控制项目，项目内容和目标已全面完成已验收合格。绩效目标与实际工作内容一致，两者具有相关性。</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③该项目按照绩效目标完成数量指标、质量指标、时效指标、成本指标，有效控制了艾滋病疫情</w:t>
      </w:r>
      <w:r>
        <w:rPr>
          <w:rFonts w:hint="eastAsia" w:cs="仿宋_GB2312"/>
          <w:color w:val="auto"/>
          <w:sz w:val="28"/>
          <w:szCs w:val="28"/>
          <w:highlight w:val="none"/>
          <w:lang w:val="en-US" w:eastAsia="zh-CN"/>
        </w:rPr>
        <w:t>，将</w:t>
      </w:r>
      <w:r>
        <w:rPr>
          <w:rFonts w:hint="eastAsia" w:ascii="仿宋_GB2312" w:hAnsi="仿宋_GB2312" w:eastAsia="仿宋_GB2312" w:cs="仿宋_GB2312"/>
          <w:color w:val="auto"/>
          <w:sz w:val="28"/>
          <w:szCs w:val="28"/>
          <w:highlight w:val="none"/>
          <w:lang w:val="en-US" w:eastAsia="zh-CN"/>
        </w:rPr>
        <w:t>艾滋病疫情继续控制在低流行水平</w:t>
      </w:r>
      <w:r>
        <w:rPr>
          <w:rFonts w:hint="eastAsia"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提高了居民健康水平，结核病发病率进一步降低，寄生虫病、重点地方病和人畜共患病危害持续得到控制和消除，重大慢性病发病率上升趋势得到遏制，心理相关疾病发生的上升趋势减缓，严重精神障碍、职业病得到有效控制。2022年度绩效目标已验收合格，预期产出效益和效果符合正常的业绩水平。</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rPr>
        <w:t>④该项目批复</w:t>
      </w:r>
      <w:r>
        <w:rPr>
          <w:rFonts w:hint="eastAsia" w:ascii="仿宋_GB2312" w:hAnsi="仿宋_GB2312" w:eastAsia="仿宋_GB2312" w:cs="仿宋_GB2312"/>
          <w:color w:val="auto"/>
          <w:highlight w:val="none"/>
          <w:lang w:eastAsia="zh-CN"/>
        </w:rPr>
        <w:t>的</w:t>
      </w:r>
      <w:r>
        <w:rPr>
          <w:rFonts w:hint="eastAsia" w:ascii="仿宋_GB2312" w:hAnsi="仿宋_GB2312" w:eastAsia="仿宋_GB2312" w:cs="仿宋_GB2312"/>
          <w:color w:val="auto"/>
          <w:highlight w:val="none"/>
        </w:rPr>
        <w:t>预算金额为</w:t>
      </w:r>
      <w:r>
        <w:rPr>
          <w:rFonts w:hint="eastAsia" w:cs="仿宋_GB2312"/>
          <w:color w:val="auto"/>
          <w:highlight w:val="none"/>
          <w:lang w:val="en-US" w:eastAsia="zh-CN"/>
        </w:rPr>
        <w:t>156.10</w:t>
      </w:r>
      <w:r>
        <w:rPr>
          <w:rFonts w:hint="eastAsia" w:ascii="仿宋_GB2312" w:hAnsi="仿宋_GB2312" w:eastAsia="仿宋_GB2312" w:cs="仿宋_GB2312"/>
          <w:color w:val="auto"/>
          <w:highlight w:val="none"/>
        </w:rPr>
        <w:t>万元，《项目支出绩效目标表》中预算金额为</w:t>
      </w:r>
      <w:r>
        <w:rPr>
          <w:rFonts w:hint="eastAsia" w:cs="仿宋_GB2312"/>
          <w:color w:val="auto"/>
          <w:highlight w:val="none"/>
          <w:lang w:val="en-US" w:eastAsia="zh-CN"/>
        </w:rPr>
        <w:t>156.10</w:t>
      </w:r>
      <w:r>
        <w:rPr>
          <w:rFonts w:hint="eastAsia" w:ascii="仿宋_GB2312" w:hAnsi="仿宋_GB2312" w:eastAsia="仿宋_GB2312" w:cs="仿宋_GB2312"/>
          <w:color w:val="auto"/>
          <w:highlight w:val="none"/>
        </w:rPr>
        <w:t>万元，预算确定的项目资金与预算确定的</w:t>
      </w:r>
      <w:r>
        <w:rPr>
          <w:rFonts w:hint="eastAsia" w:ascii="仿宋_GB2312" w:hAnsi="仿宋_GB2312" w:eastAsia="仿宋_GB2312" w:cs="仿宋_GB2312"/>
          <w:color w:val="auto"/>
          <w:highlight w:val="none"/>
          <w:lang w:val="en-US" w:eastAsia="zh-CN"/>
        </w:rPr>
        <w:t>项目投资额相匹配。</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hAnsi="仿宋_GB2312" w:eastAsia="仿宋_GB2312" w:cs="仿宋_GB2312"/>
          <w:color w:val="auto"/>
          <w:highlight w:val="none"/>
          <w:lang w:val="en-US" w:eastAsia="zh-CN"/>
        </w:rPr>
      </w:pPr>
      <w:r>
        <w:rPr>
          <w:rFonts w:hint="eastAsia"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rPr>
        <w:t>《项目支出绩效目标表》</w:t>
      </w:r>
      <w:r>
        <w:rPr>
          <w:rFonts w:hint="eastAsia" w:cs="仿宋_GB2312"/>
          <w:color w:val="auto"/>
          <w:highlight w:val="none"/>
          <w:lang w:eastAsia="zh-CN"/>
        </w:rPr>
        <w:t>。</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综上所述，该指标满分</w:t>
      </w:r>
      <w:r>
        <w:rPr>
          <w:rFonts w:hint="eastAsia" w:cs="仿宋_GB2312"/>
          <w:color w:val="auto"/>
          <w:highlight w:val="none"/>
          <w:lang w:val="en-US" w:eastAsia="zh-CN"/>
        </w:rPr>
        <w:t>4.00</w:t>
      </w:r>
      <w:r>
        <w:rPr>
          <w:rFonts w:hint="eastAsia" w:ascii="仿宋_GB2312" w:hAnsi="仿宋_GB2312" w:eastAsia="仿宋_GB2312" w:cs="仿宋_GB2312"/>
          <w:color w:val="auto"/>
          <w:highlight w:val="none"/>
          <w:lang w:val="en-US" w:eastAsia="zh-CN"/>
        </w:rPr>
        <w:t>分，根据评分标准得</w:t>
      </w:r>
      <w:r>
        <w:rPr>
          <w:rFonts w:hint="eastAsia" w:cs="仿宋_GB2312"/>
          <w:color w:val="auto"/>
          <w:highlight w:val="none"/>
          <w:lang w:val="en-US" w:eastAsia="zh-CN"/>
        </w:rPr>
        <w:t>4.00</w:t>
      </w:r>
      <w:r>
        <w:rPr>
          <w:rFonts w:hint="eastAsia" w:ascii="仿宋_GB2312" w:hAnsi="仿宋_GB2312" w:eastAsia="仿宋_GB2312" w:cs="仿宋_GB2312"/>
          <w:color w:val="auto"/>
          <w:highlight w:val="none"/>
          <w:lang w:val="en-US" w:eastAsia="zh-CN"/>
        </w:rPr>
        <w:t>分，绩效目标设置合理。</w:t>
      </w:r>
    </w:p>
    <w:p>
      <w:pPr>
        <w:pageBreakBefore w:val="0"/>
        <w:widowControl w:val="0"/>
        <w:kinsoku/>
        <w:wordWrap/>
        <w:overflowPunct/>
        <w:topLinePunct w:val="0"/>
        <w:autoSpaceDE/>
        <w:autoSpaceDN/>
        <w:bidi w:val="0"/>
        <w:adjustRightInd w:val="0"/>
        <w:snapToGrid w:val="0"/>
        <w:spacing w:line="360" w:lineRule="auto"/>
        <w:ind w:right="0" w:rightChars="0" w:firstLine="643"/>
        <w:jc w:val="both"/>
        <w:textAlignment w:val="auto"/>
        <w:outlineLvl w:val="9"/>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w:t>
      </w:r>
      <w:r>
        <w:rPr>
          <w:rFonts w:hint="eastAsia" w:ascii="仿宋_GB2312" w:hAnsi="仿宋_GB2312" w:eastAsia="仿宋_GB2312" w:cs="仿宋_GB2312"/>
          <w:b/>
          <w:bCs/>
          <w:color w:val="auto"/>
          <w:sz w:val="28"/>
          <w:szCs w:val="28"/>
          <w:highlight w:val="none"/>
          <w:lang w:val="en-US" w:eastAsia="zh-CN"/>
        </w:rPr>
        <w:t>2</w:t>
      </w:r>
      <w:r>
        <w:rPr>
          <w:rFonts w:hint="eastAsia" w:ascii="仿宋_GB2312" w:hAnsi="仿宋_GB2312" w:eastAsia="仿宋_GB2312" w:cs="仿宋_GB2312"/>
          <w:b/>
          <w:bCs/>
          <w:color w:val="auto"/>
          <w:sz w:val="28"/>
          <w:szCs w:val="28"/>
          <w:highlight w:val="none"/>
        </w:rPr>
        <w:t>）绩效指标明确性：</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sz w:val="28"/>
          <w:szCs w:val="28"/>
          <w:highlight w:val="none"/>
          <w:lang w:val="en-US" w:eastAsia="zh-CN"/>
        </w:rPr>
        <w:t>经检查，我单位年初设置的《项目支出绩效目标表》，得出如下结论：该项目已将年度绩效目标进行细化为绩效指标体系，共设置一级指标3个，二级指标7个，三级指标26个，定量指标22个，定性指标4个，指标量化率为84.62%，量化率达70.00%以上。该《项目绩效目标申报表》中，数量指标指标值为艾滋病免费抗病毒治疗</w:t>
      </w:r>
      <w:r>
        <w:rPr>
          <w:rFonts w:hint="eastAsia" w:cs="仿宋_GB2312"/>
          <w:color w:val="auto"/>
          <w:sz w:val="28"/>
          <w:szCs w:val="28"/>
          <w:highlight w:val="none"/>
          <w:lang w:val="en-US" w:eastAsia="zh-CN"/>
        </w:rPr>
        <w:t>率达到</w:t>
      </w:r>
      <w:r>
        <w:rPr>
          <w:rFonts w:hint="eastAsia" w:ascii="仿宋_GB2312" w:hAnsi="仿宋_GB2312" w:eastAsia="仿宋_GB2312" w:cs="仿宋_GB2312"/>
          <w:color w:val="auto"/>
          <w:sz w:val="28"/>
          <w:szCs w:val="28"/>
          <w:highlight w:val="none"/>
          <w:lang w:val="en-US" w:eastAsia="zh-CN"/>
        </w:rPr>
        <w:t>100</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r>
        <w:rPr>
          <w:rFonts w:hint="eastAsia" w:cs="仿宋_GB2312"/>
          <w:color w:val="auto"/>
          <w:sz w:val="28"/>
          <w:szCs w:val="28"/>
          <w:highlight w:val="none"/>
          <w:lang w:val="en-US" w:eastAsia="zh-CN"/>
        </w:rPr>
        <w:t>、</w:t>
      </w:r>
      <w:r>
        <w:rPr>
          <w:rFonts w:hint="default" w:ascii="仿宋_GB2312" w:hAnsi="仿宋_GB2312" w:eastAsia="仿宋_GB2312" w:cs="仿宋_GB2312"/>
          <w:color w:val="auto"/>
          <w:sz w:val="28"/>
          <w:szCs w:val="28"/>
          <w:highlight w:val="none"/>
          <w:lang w:val="en-US" w:eastAsia="zh-CN"/>
        </w:rPr>
        <w:t>规范治疗和随访检查的肺结核患者任务完成率</w:t>
      </w:r>
      <w:r>
        <w:rPr>
          <w:rFonts w:hint="eastAsia" w:cs="仿宋_GB2312"/>
          <w:color w:val="auto"/>
          <w:sz w:val="28"/>
          <w:szCs w:val="28"/>
          <w:highlight w:val="none"/>
          <w:lang w:val="en-US" w:eastAsia="zh-CN"/>
        </w:rPr>
        <w:t>达到</w:t>
      </w:r>
      <w:r>
        <w:rPr>
          <w:rFonts w:hint="eastAsia" w:ascii="仿宋_GB2312" w:hAnsi="仿宋_GB2312" w:cs="仿宋_GB2312"/>
          <w:color w:val="auto"/>
          <w:sz w:val="28"/>
          <w:szCs w:val="28"/>
          <w:highlight w:val="none"/>
          <w:lang w:val="en-US" w:eastAsia="zh-CN"/>
        </w:rPr>
        <w:t>85</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r>
        <w:rPr>
          <w:rFonts w:hint="eastAsia"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有症状的病原学阳性率肺结核患者密切接触者检查率</w:t>
      </w:r>
      <w:r>
        <w:rPr>
          <w:rFonts w:hint="eastAsia" w:cs="仿宋_GB2312"/>
          <w:color w:val="auto"/>
          <w:sz w:val="28"/>
          <w:szCs w:val="28"/>
          <w:highlight w:val="none"/>
          <w:lang w:val="en-US" w:eastAsia="zh-CN"/>
        </w:rPr>
        <w:t>达到</w:t>
      </w:r>
      <w:r>
        <w:rPr>
          <w:rFonts w:hint="eastAsia" w:ascii="仿宋_GB2312" w:hAnsi="仿宋_GB2312" w:cs="仿宋_GB2312"/>
          <w:color w:val="auto"/>
          <w:sz w:val="28"/>
          <w:szCs w:val="28"/>
          <w:highlight w:val="none"/>
          <w:lang w:val="en-US" w:eastAsia="zh-CN"/>
        </w:rPr>
        <w:t>90</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r>
        <w:rPr>
          <w:rFonts w:hint="eastAsia"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肺结核病原学阳性患者耐药筛查率</w:t>
      </w:r>
      <w:r>
        <w:rPr>
          <w:rFonts w:hint="eastAsia" w:cs="仿宋_GB2312"/>
          <w:color w:val="auto"/>
          <w:sz w:val="28"/>
          <w:szCs w:val="28"/>
          <w:highlight w:val="none"/>
          <w:lang w:val="en-US" w:eastAsia="zh-CN"/>
        </w:rPr>
        <w:t>达到</w:t>
      </w:r>
      <w:r>
        <w:rPr>
          <w:rFonts w:hint="eastAsia" w:ascii="仿宋_GB2312" w:hAnsi="仿宋_GB2312" w:cs="仿宋_GB2312"/>
          <w:color w:val="auto"/>
          <w:sz w:val="28"/>
          <w:szCs w:val="28"/>
          <w:highlight w:val="none"/>
          <w:lang w:val="en-US" w:eastAsia="zh-CN"/>
        </w:rPr>
        <w:t>80</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r>
        <w:rPr>
          <w:rFonts w:hint="eastAsia"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包虫病人群主动筛查任务完成率</w:t>
      </w:r>
      <w:r>
        <w:rPr>
          <w:rFonts w:hint="eastAsia" w:cs="仿宋_GB2312"/>
          <w:color w:val="auto"/>
          <w:sz w:val="28"/>
          <w:szCs w:val="28"/>
          <w:highlight w:val="none"/>
          <w:lang w:val="en-US" w:eastAsia="zh-CN"/>
        </w:rPr>
        <w:t>达到</w:t>
      </w:r>
      <w:r>
        <w:rPr>
          <w:rFonts w:hint="eastAsia" w:ascii="仿宋_GB2312" w:hAnsi="仿宋_GB2312" w:eastAsia="仿宋_GB2312" w:cs="仿宋_GB2312"/>
          <w:color w:val="auto"/>
          <w:sz w:val="28"/>
          <w:szCs w:val="28"/>
          <w:highlight w:val="none"/>
          <w:lang w:val="en-US" w:eastAsia="zh-CN"/>
        </w:rPr>
        <w:t>85</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r>
        <w:rPr>
          <w:rFonts w:hint="eastAsia"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重大慢性病筛查任务完成率</w:t>
      </w:r>
      <w:r>
        <w:rPr>
          <w:rFonts w:hint="eastAsia" w:cs="仿宋_GB2312"/>
          <w:color w:val="auto"/>
          <w:sz w:val="28"/>
          <w:szCs w:val="28"/>
          <w:highlight w:val="none"/>
          <w:lang w:val="en-US" w:eastAsia="zh-CN"/>
        </w:rPr>
        <w:t>达到</w:t>
      </w:r>
      <w:r>
        <w:rPr>
          <w:rFonts w:hint="eastAsia" w:ascii="仿宋_GB2312" w:hAnsi="仿宋_GB2312" w:cs="仿宋_GB2312"/>
          <w:color w:val="auto"/>
          <w:sz w:val="28"/>
          <w:szCs w:val="28"/>
          <w:highlight w:val="none"/>
          <w:lang w:val="en-US" w:eastAsia="zh-CN"/>
        </w:rPr>
        <w:t>100</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r>
        <w:rPr>
          <w:rFonts w:hint="eastAsia"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严重精神障碍患者筛查任务完成率</w:t>
      </w:r>
      <w:r>
        <w:rPr>
          <w:rFonts w:hint="eastAsia" w:cs="仿宋_GB2312"/>
          <w:color w:val="auto"/>
          <w:sz w:val="28"/>
          <w:szCs w:val="28"/>
          <w:highlight w:val="none"/>
          <w:lang w:val="en-US" w:eastAsia="zh-CN"/>
        </w:rPr>
        <w:t>达到</w:t>
      </w:r>
      <w:r>
        <w:rPr>
          <w:rFonts w:hint="eastAsia" w:ascii="仿宋_GB2312" w:hAnsi="仿宋_GB2312" w:cs="仿宋_GB2312"/>
          <w:color w:val="auto"/>
          <w:sz w:val="28"/>
          <w:szCs w:val="28"/>
          <w:highlight w:val="none"/>
          <w:lang w:val="en-US" w:eastAsia="zh-CN"/>
        </w:rPr>
        <w:t>100</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r>
        <w:rPr>
          <w:rFonts w:hint="eastAsia"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lang w:val="en-US" w:eastAsia="zh-CN"/>
        </w:rPr>
        <w:t>新冠肺炎网络实验室建设任务完成率</w:t>
      </w:r>
      <w:r>
        <w:rPr>
          <w:rFonts w:hint="eastAsia" w:cs="仿宋_GB2312"/>
          <w:color w:val="auto"/>
          <w:sz w:val="28"/>
          <w:szCs w:val="28"/>
          <w:highlight w:val="none"/>
          <w:lang w:val="en-US" w:eastAsia="zh-CN"/>
        </w:rPr>
        <w:t>达到</w:t>
      </w:r>
      <w:r>
        <w:rPr>
          <w:rFonts w:hint="eastAsia" w:ascii="仿宋_GB2312" w:hAnsi="仿宋_GB2312" w:eastAsia="仿宋_GB2312" w:cs="仿宋_GB2312"/>
          <w:color w:val="auto"/>
          <w:sz w:val="28"/>
          <w:szCs w:val="28"/>
          <w:highlight w:val="none"/>
          <w:lang w:val="en-US" w:eastAsia="zh-CN"/>
        </w:rPr>
        <w:t>85</w:t>
      </w:r>
      <w:r>
        <w:rPr>
          <w:rFonts w:hint="eastAsia" w:cs="仿宋_GB2312"/>
          <w:color w:val="auto"/>
          <w:sz w:val="28"/>
          <w:szCs w:val="28"/>
          <w:highlight w:val="none"/>
          <w:lang w:val="en-US" w:eastAsia="zh-CN"/>
        </w:rPr>
        <w:t>.00</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highlight w:val="none"/>
          <w:lang w:eastAsia="zh-CN"/>
        </w:rPr>
        <w:t>，三级指标的年度指标值与年度绩效目标中任务数一致。</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hAnsi="仿宋_GB2312" w:eastAsia="仿宋_GB2312" w:cs="仿宋_GB2312"/>
          <w:color w:val="auto"/>
          <w:highlight w:val="none"/>
          <w:lang w:eastAsia="zh-CN"/>
        </w:rPr>
      </w:pPr>
      <w:r>
        <w:rPr>
          <w:rFonts w:hint="eastAsia"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《项目支出绩效目标表》</w:t>
      </w:r>
      <w:r>
        <w:rPr>
          <w:rFonts w:hint="eastAsia" w:cs="仿宋_GB2312"/>
          <w:color w:val="auto"/>
          <w:sz w:val="28"/>
          <w:szCs w:val="28"/>
          <w:highlight w:val="none"/>
          <w:lang w:val="en-US" w:eastAsia="zh-CN"/>
        </w:rPr>
        <w:t>。</w:t>
      </w:r>
    </w:p>
    <w:p>
      <w:pPr>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仿宋_GB2312" w:cs="仿宋_GB2312"/>
          <w:color w:val="auto"/>
          <w:szCs w:val="28"/>
          <w:highlight w:val="none"/>
        </w:rPr>
      </w:pPr>
      <w:r>
        <w:rPr>
          <w:rFonts w:hint="eastAsia" w:ascii="仿宋_GB2312" w:hAnsi="仿宋_GB2312" w:eastAsia="仿宋_GB2312" w:cs="仿宋_GB2312"/>
          <w:color w:val="auto"/>
          <w:highlight w:val="none"/>
          <w:lang w:eastAsia="zh-CN"/>
        </w:rPr>
        <w:t>综上所述，本指标满分为</w:t>
      </w:r>
      <w:r>
        <w:rPr>
          <w:rFonts w:hint="eastAsia" w:cs="仿宋_GB2312"/>
          <w:color w:val="auto"/>
          <w:highlight w:val="none"/>
          <w:lang w:val="en-US" w:eastAsia="zh-CN"/>
        </w:rPr>
        <w:t>3.00</w:t>
      </w:r>
      <w:r>
        <w:rPr>
          <w:rFonts w:hint="eastAsia" w:ascii="仿宋_GB2312" w:hAnsi="仿宋_GB2312" w:eastAsia="仿宋_GB2312" w:cs="仿宋_GB2312"/>
          <w:color w:val="auto"/>
          <w:highlight w:val="none"/>
          <w:lang w:eastAsia="zh-CN"/>
        </w:rPr>
        <w:t>分，根</w:t>
      </w:r>
      <w:r>
        <w:rPr>
          <w:rFonts w:hint="eastAsia" w:ascii="仿宋_GB2312" w:hAnsi="仿宋_GB2312" w:eastAsia="仿宋_GB2312" w:cs="仿宋_GB2312"/>
          <w:color w:val="auto"/>
          <w:szCs w:val="28"/>
          <w:highlight w:val="none"/>
          <w:lang w:eastAsia="zh-CN"/>
        </w:rPr>
        <w:t>据评分标准得</w:t>
      </w:r>
      <w:r>
        <w:rPr>
          <w:rFonts w:hint="eastAsia" w:cs="仿宋_GB2312"/>
          <w:color w:val="auto"/>
          <w:highlight w:val="none"/>
          <w:lang w:val="en-US" w:eastAsia="zh-CN"/>
        </w:rPr>
        <w:t>3.00</w:t>
      </w:r>
      <w:r>
        <w:rPr>
          <w:rFonts w:hint="eastAsia" w:ascii="仿宋_GB2312" w:hAnsi="仿宋_GB2312" w:eastAsia="仿宋_GB2312" w:cs="仿宋_GB2312"/>
          <w:color w:val="auto"/>
          <w:szCs w:val="28"/>
          <w:highlight w:val="none"/>
          <w:lang w:eastAsia="zh-CN"/>
        </w:rPr>
        <w:t>分，</w:t>
      </w:r>
      <w:r>
        <w:rPr>
          <w:rFonts w:hint="eastAsia" w:cs="仿宋_GB2312"/>
          <w:color w:val="auto"/>
          <w:szCs w:val="28"/>
          <w:highlight w:val="none"/>
          <w:lang w:eastAsia="zh-CN"/>
        </w:rPr>
        <w:t>该项目</w:t>
      </w:r>
      <w:r>
        <w:rPr>
          <w:rFonts w:hint="eastAsia" w:ascii="仿宋_GB2312" w:hAnsi="仿宋_GB2312" w:eastAsia="仿宋_GB2312" w:cs="仿宋_GB2312"/>
          <w:color w:val="auto"/>
          <w:szCs w:val="28"/>
          <w:highlight w:val="none"/>
          <w:lang w:eastAsia="zh-CN"/>
        </w:rPr>
        <w:t>所设置绩效指标明确。</w:t>
      </w:r>
    </w:p>
    <w:p>
      <w:pPr>
        <w:pStyle w:val="2"/>
        <w:bidi w:val="0"/>
        <w:rPr>
          <w:color w:val="auto"/>
          <w:highlight w:val="none"/>
        </w:rPr>
      </w:pPr>
      <w:r>
        <w:rPr>
          <w:rFonts w:hint="eastAsia" w:ascii="仿宋_GB2312" w:hAnsi="仿宋_GB2312" w:eastAsia="仿宋_GB2312" w:cs="仿宋_GB2312"/>
          <w:color w:val="auto"/>
          <w:sz w:val="28"/>
          <w:szCs w:val="28"/>
          <w:highlight w:val="none"/>
          <w:lang w:val="en-US" w:eastAsia="zh-CN"/>
        </w:rPr>
        <w:t>3.资金投入情况分析</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仿宋_GB2312" w:cs="仿宋_GB2312"/>
          <w:color w:val="auto"/>
          <w:sz w:val="28"/>
          <w:szCs w:val="28"/>
          <w:highlight w:val="none"/>
        </w:rPr>
      </w:pPr>
      <w:r>
        <w:rPr>
          <w:rFonts w:hint="eastAsia" w:ascii="仿宋_GB2312" w:cs="仿宋_GB2312"/>
          <w:b/>
          <w:bCs/>
          <w:color w:val="auto"/>
          <w:sz w:val="28"/>
          <w:szCs w:val="28"/>
          <w:highlight w:val="none"/>
        </w:rPr>
        <w:t>（</w:t>
      </w:r>
      <w:r>
        <w:rPr>
          <w:rFonts w:hint="eastAsia" w:ascii="仿宋_GB2312" w:cs="仿宋_GB2312"/>
          <w:b/>
          <w:bCs/>
          <w:color w:val="auto"/>
          <w:sz w:val="28"/>
          <w:szCs w:val="28"/>
          <w:highlight w:val="none"/>
          <w:lang w:val="en-US" w:eastAsia="zh-CN"/>
        </w:rPr>
        <w:t>1</w:t>
      </w:r>
      <w:r>
        <w:rPr>
          <w:rFonts w:hint="eastAsia" w:ascii="仿宋_GB2312" w:cs="仿宋_GB2312"/>
          <w:b/>
          <w:bCs/>
          <w:color w:val="auto"/>
          <w:sz w:val="28"/>
          <w:szCs w:val="28"/>
          <w:highlight w:val="none"/>
        </w:rPr>
        <w:t>）预算编制科学性：</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仿宋_GB2312" w:eastAsia="仿宋_GB2312" w:cs="仿宋_GB2312"/>
          <w:color w:val="auto"/>
          <w:sz w:val="28"/>
          <w:szCs w:val="28"/>
          <w:highlight w:val="none"/>
          <w:lang w:eastAsia="zh-CN"/>
        </w:rPr>
      </w:pPr>
      <w:r>
        <w:rPr>
          <w:rFonts w:hint="eastAsia" w:ascii="仿宋_GB2312" w:cs="仿宋_GB2312"/>
          <w:color w:val="auto"/>
          <w:sz w:val="28"/>
          <w:szCs w:val="28"/>
          <w:highlight w:val="none"/>
        </w:rPr>
        <w:t>①</w:t>
      </w:r>
      <w:r>
        <w:rPr>
          <w:rFonts w:hint="eastAsia" w:cs="仿宋_GB2312"/>
          <w:color w:val="auto"/>
          <w:sz w:val="28"/>
          <w:szCs w:val="28"/>
          <w:highlight w:val="none"/>
          <w:lang w:eastAsia="zh-CN"/>
        </w:rPr>
        <w:t>该项目</w:t>
      </w:r>
      <w:r>
        <w:rPr>
          <w:rFonts w:hint="eastAsia" w:cs="仿宋_GB2312"/>
          <w:color w:val="auto"/>
          <w:sz w:val="28"/>
          <w:szCs w:val="28"/>
          <w:highlight w:val="none"/>
          <w:lang w:val="en-US" w:eastAsia="zh-CN"/>
        </w:rPr>
        <w:t>属于经常性项目，项目预算按照项目实施内容、国家要求考核标准进行</w:t>
      </w:r>
      <w:r>
        <w:rPr>
          <w:rFonts w:hint="eastAsia" w:ascii="仿宋_GB2312" w:cs="仿宋_GB2312"/>
          <w:color w:val="auto"/>
          <w:sz w:val="28"/>
          <w:szCs w:val="28"/>
          <w:highlight w:val="none"/>
        </w:rPr>
        <w:t>编制，预算编制较科学且经过论证</w:t>
      </w:r>
      <w:r>
        <w:rPr>
          <w:rFonts w:hint="eastAsia" w:ascii="仿宋_GB2312" w:cs="仿宋_GB2312"/>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仿宋_GB2312" w:eastAsia="仿宋_GB2312" w:cs="仿宋_GB2312"/>
          <w:color w:val="auto"/>
          <w:sz w:val="28"/>
          <w:szCs w:val="28"/>
          <w:highlight w:val="none"/>
          <w:lang w:eastAsia="zh-CN"/>
        </w:rPr>
      </w:pPr>
      <w:r>
        <w:rPr>
          <w:rFonts w:hint="eastAsia" w:ascii="仿宋_GB2312" w:cs="仿宋_GB2312"/>
          <w:color w:val="auto"/>
          <w:sz w:val="28"/>
          <w:szCs w:val="28"/>
          <w:highlight w:val="none"/>
        </w:rPr>
        <w:t>②预算申请内容为</w:t>
      </w:r>
      <w:r>
        <w:rPr>
          <w:rFonts w:hint="eastAsia" w:cs="仿宋_GB2312"/>
          <w:color w:val="auto"/>
          <w:sz w:val="28"/>
          <w:szCs w:val="28"/>
          <w:highlight w:val="none"/>
          <w:lang w:val="en-US" w:eastAsia="zh-CN"/>
        </w:rPr>
        <w:t>156.10</w:t>
      </w:r>
      <w:r>
        <w:rPr>
          <w:rFonts w:hint="eastAsia" w:ascii="仿宋_GB2312" w:cs="仿宋_GB2312"/>
          <w:color w:val="auto"/>
          <w:sz w:val="28"/>
          <w:szCs w:val="28"/>
          <w:highlight w:val="none"/>
        </w:rPr>
        <w:t>万元，</w:t>
      </w:r>
      <w:r>
        <w:rPr>
          <w:rFonts w:hint="eastAsia" w:cs="仿宋_GB2312"/>
          <w:color w:val="auto"/>
          <w:sz w:val="28"/>
          <w:szCs w:val="28"/>
          <w:highlight w:val="none"/>
          <w:lang w:eastAsia="zh-CN"/>
        </w:rPr>
        <w:t>该项目</w:t>
      </w:r>
      <w:r>
        <w:rPr>
          <w:rFonts w:hint="eastAsia" w:ascii="仿宋_GB2312" w:cs="仿宋_GB2312"/>
          <w:color w:val="auto"/>
          <w:sz w:val="28"/>
          <w:szCs w:val="28"/>
          <w:highlight w:val="none"/>
        </w:rPr>
        <w:t>资金主要用于支付</w:t>
      </w:r>
      <w:r>
        <w:rPr>
          <w:rFonts w:hint="eastAsia" w:cs="仿宋_GB2312"/>
          <w:color w:val="auto"/>
          <w:sz w:val="28"/>
          <w:szCs w:val="28"/>
          <w:highlight w:val="none"/>
          <w:lang w:val="en-US" w:eastAsia="zh-CN"/>
        </w:rPr>
        <w:t>中央重大传染病防控项目</w:t>
      </w:r>
      <w:r>
        <w:rPr>
          <w:rFonts w:hint="eastAsia" w:ascii="仿宋_GB2312" w:cs="仿宋_GB2312"/>
          <w:color w:val="auto"/>
          <w:sz w:val="28"/>
          <w:szCs w:val="28"/>
          <w:highlight w:val="none"/>
        </w:rPr>
        <w:t>资金，预算申请与《</w:t>
      </w:r>
      <w:r>
        <w:rPr>
          <w:rFonts w:hint="eastAsia" w:cs="仿宋_GB2312"/>
          <w:color w:val="auto"/>
          <w:sz w:val="28"/>
          <w:szCs w:val="28"/>
          <w:highlight w:val="none"/>
          <w:lang w:val="en-US" w:eastAsia="zh-CN"/>
        </w:rPr>
        <w:t>中央重大传染病防控</w:t>
      </w:r>
      <w:r>
        <w:rPr>
          <w:rFonts w:hint="eastAsia" w:ascii="仿宋_GB2312" w:cs="仿宋_GB2312"/>
          <w:color w:val="auto"/>
          <w:sz w:val="28"/>
          <w:szCs w:val="28"/>
          <w:highlight w:val="none"/>
        </w:rPr>
        <w:t>项目实施方案》中涉及的项目内容匹配</w:t>
      </w:r>
      <w:r>
        <w:rPr>
          <w:rFonts w:hint="eastAsia" w:ascii="仿宋_GB2312" w:cs="仿宋_GB2312"/>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仿宋_GB2312" w:cs="仿宋_GB2312"/>
          <w:color w:val="auto"/>
          <w:sz w:val="28"/>
          <w:szCs w:val="28"/>
          <w:highlight w:val="none"/>
        </w:rPr>
      </w:pPr>
      <w:r>
        <w:rPr>
          <w:rFonts w:hint="eastAsia" w:ascii="仿宋_GB2312" w:cs="仿宋_GB2312"/>
          <w:color w:val="auto"/>
          <w:sz w:val="28"/>
          <w:szCs w:val="28"/>
          <w:highlight w:val="none"/>
        </w:rPr>
        <w:t>③</w:t>
      </w:r>
      <w:r>
        <w:rPr>
          <w:rFonts w:hint="eastAsia" w:cs="仿宋_GB2312"/>
          <w:color w:val="auto"/>
          <w:sz w:val="28"/>
          <w:szCs w:val="28"/>
          <w:highlight w:val="none"/>
          <w:lang w:eastAsia="zh-CN"/>
        </w:rPr>
        <w:t>该项目</w:t>
      </w:r>
      <w:r>
        <w:rPr>
          <w:rFonts w:hint="eastAsia" w:ascii="仿宋_GB2312" w:cs="仿宋_GB2312"/>
          <w:color w:val="auto"/>
          <w:sz w:val="28"/>
          <w:szCs w:val="28"/>
          <w:highlight w:val="none"/>
        </w:rPr>
        <w:t>预算申请资金</w:t>
      </w:r>
      <w:r>
        <w:rPr>
          <w:rFonts w:hint="eastAsia" w:cs="仿宋_GB2312"/>
          <w:color w:val="auto"/>
          <w:sz w:val="28"/>
          <w:szCs w:val="28"/>
          <w:highlight w:val="none"/>
          <w:lang w:val="en-US" w:eastAsia="zh-CN"/>
        </w:rPr>
        <w:t>156.10</w:t>
      </w:r>
      <w:r>
        <w:rPr>
          <w:rFonts w:hint="eastAsia" w:ascii="仿宋_GB2312" w:cs="仿宋_GB2312"/>
          <w:color w:val="auto"/>
          <w:sz w:val="28"/>
          <w:szCs w:val="28"/>
          <w:highlight w:val="none"/>
        </w:rPr>
        <w:t>万元，我单位在预算申请中严格按照单位标准和数量进行核算，其中：</w:t>
      </w:r>
      <w:r>
        <w:rPr>
          <w:rFonts w:hint="eastAsia"/>
          <w:color w:val="auto"/>
          <w:highlight w:val="none"/>
          <w:lang w:val="en-US" w:eastAsia="zh-CN"/>
        </w:rPr>
        <w:t>免疫规划费用41.00万元、结核病防治费用24.00万元、艾滋病防治费用23.20万元、精神卫生防治费用3.30万元、口腔综合干预费用7.10万元、包虫病防治费用47.50万元、慢病综合防控费用10.00万元。</w:t>
      </w:r>
      <w:r>
        <w:rPr>
          <w:rFonts w:hint="eastAsia" w:ascii="仿宋_GB2312" w:cs="仿宋_GB2312"/>
          <w:color w:val="auto"/>
          <w:sz w:val="28"/>
          <w:szCs w:val="28"/>
          <w:highlight w:val="none"/>
        </w:rPr>
        <w:t>预算确定资金量与实际工作任务相匹配。</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color w:val="auto"/>
          <w:highlight w:val="none"/>
          <w:lang w:val="en-US" w:eastAsia="zh-CN"/>
        </w:rPr>
      </w:pPr>
      <w:r>
        <w:rPr>
          <w:rFonts w:hint="eastAsia" w:cs="仿宋_GB2312"/>
          <w:color w:val="auto"/>
          <w:sz w:val="28"/>
          <w:szCs w:val="28"/>
          <w:highlight w:val="none"/>
          <w:lang w:val="en-US" w:eastAsia="zh-CN"/>
        </w:rPr>
        <w:t>该指标佐证材料：</w:t>
      </w:r>
      <w:r>
        <w:rPr>
          <w:rFonts w:hint="eastAsia" w:ascii="仿宋_GB2312" w:cs="仿宋_GB2312"/>
          <w:color w:val="auto"/>
          <w:sz w:val="28"/>
          <w:szCs w:val="28"/>
          <w:highlight w:val="none"/>
        </w:rPr>
        <w:t>《</w:t>
      </w:r>
      <w:r>
        <w:rPr>
          <w:rFonts w:hint="eastAsia" w:cs="仿宋_GB2312"/>
          <w:color w:val="auto"/>
          <w:sz w:val="28"/>
          <w:szCs w:val="28"/>
          <w:highlight w:val="none"/>
          <w:lang w:val="en-US" w:eastAsia="zh-CN"/>
        </w:rPr>
        <w:t>中央重大传染病防控</w:t>
      </w:r>
      <w:r>
        <w:rPr>
          <w:rFonts w:hint="eastAsia" w:ascii="仿宋_GB2312" w:cs="仿宋_GB2312"/>
          <w:color w:val="auto"/>
          <w:sz w:val="28"/>
          <w:szCs w:val="28"/>
          <w:highlight w:val="none"/>
        </w:rPr>
        <w:t>项目实施方案》</w:t>
      </w:r>
      <w:r>
        <w:rPr>
          <w:rFonts w:hint="eastAsia"/>
          <w:color w:val="auto"/>
          <w:highlight w:val="none"/>
          <w:lang w:val="en-US" w:eastAsia="zh-CN"/>
        </w:rPr>
        <w:t>《关于提前下达2022年中央重大传染病防控经费预算的通知》（伊州财社</w:t>
      </w:r>
      <w:r>
        <w:rPr>
          <w:rFonts w:hint="eastAsia"/>
          <w:color w:val="auto"/>
          <w:highlight w:val="none"/>
        </w:rPr>
        <w:t>〔20</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10号）。</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ascii="仿宋_GB2312" w:cs="仿宋_GB2312"/>
          <w:color w:val="auto"/>
          <w:sz w:val="28"/>
          <w:szCs w:val="28"/>
          <w:highlight w:val="none"/>
        </w:rPr>
      </w:pPr>
      <w:r>
        <w:rPr>
          <w:rFonts w:hint="eastAsia" w:ascii="仿宋_GB2312" w:cs="仿宋_GB2312"/>
          <w:color w:val="auto"/>
          <w:sz w:val="28"/>
          <w:szCs w:val="28"/>
          <w:highlight w:val="none"/>
          <w:lang w:eastAsia="zh-CN"/>
        </w:rPr>
        <w:t>综上所述，本指标满分为</w:t>
      </w:r>
      <w:r>
        <w:rPr>
          <w:rFonts w:hint="eastAsia" w:cs="仿宋_GB2312"/>
          <w:color w:val="auto"/>
          <w:sz w:val="28"/>
          <w:szCs w:val="28"/>
          <w:highlight w:val="none"/>
          <w:lang w:val="en-US" w:eastAsia="zh-CN"/>
        </w:rPr>
        <w:t>4.00</w:t>
      </w:r>
      <w:r>
        <w:rPr>
          <w:rFonts w:hint="eastAsia" w:ascii="仿宋_GB2312" w:cs="仿宋_GB2312"/>
          <w:color w:val="auto"/>
          <w:sz w:val="28"/>
          <w:szCs w:val="28"/>
          <w:highlight w:val="none"/>
          <w:lang w:eastAsia="zh-CN"/>
        </w:rPr>
        <w:t>分，根据评分标准得</w:t>
      </w:r>
      <w:r>
        <w:rPr>
          <w:rFonts w:hint="eastAsia" w:cs="仿宋_GB2312"/>
          <w:color w:val="auto"/>
          <w:sz w:val="28"/>
          <w:szCs w:val="28"/>
          <w:highlight w:val="none"/>
          <w:lang w:val="en-US" w:eastAsia="zh-CN"/>
        </w:rPr>
        <w:t>4.00</w:t>
      </w:r>
      <w:r>
        <w:rPr>
          <w:rFonts w:hint="eastAsia" w:ascii="仿宋_GB2312" w:cs="仿宋_GB2312"/>
          <w:color w:val="auto"/>
          <w:sz w:val="28"/>
          <w:szCs w:val="28"/>
          <w:highlight w:val="none"/>
          <w:lang w:eastAsia="zh-CN"/>
        </w:rPr>
        <w:t>分，</w:t>
      </w:r>
      <w:r>
        <w:rPr>
          <w:rFonts w:hint="eastAsia" w:cs="仿宋_GB2312"/>
          <w:color w:val="auto"/>
          <w:sz w:val="28"/>
          <w:szCs w:val="28"/>
          <w:highlight w:val="none"/>
          <w:lang w:eastAsia="zh-CN"/>
        </w:rPr>
        <w:t>该项目</w:t>
      </w:r>
      <w:r>
        <w:rPr>
          <w:rFonts w:hint="eastAsia" w:ascii="仿宋_GB2312" w:cs="仿宋_GB2312"/>
          <w:color w:val="auto"/>
          <w:sz w:val="28"/>
          <w:szCs w:val="28"/>
          <w:highlight w:val="none"/>
          <w:lang w:eastAsia="zh-CN"/>
        </w:rPr>
        <w:t>预算编制科学。</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仿宋_GB2312" w:cs="仿宋_GB2312"/>
          <w:b/>
          <w:bCs/>
          <w:color w:val="auto"/>
          <w:sz w:val="28"/>
          <w:szCs w:val="28"/>
          <w:highlight w:val="none"/>
        </w:rPr>
      </w:pPr>
      <w:r>
        <w:rPr>
          <w:rFonts w:hint="eastAsia" w:ascii="仿宋_GB2312" w:cs="仿宋_GB2312"/>
          <w:b/>
          <w:bCs/>
          <w:color w:val="auto"/>
          <w:sz w:val="28"/>
          <w:szCs w:val="28"/>
          <w:highlight w:val="none"/>
        </w:rPr>
        <w:t>（</w:t>
      </w:r>
      <w:r>
        <w:rPr>
          <w:rFonts w:hint="eastAsia" w:ascii="仿宋_GB2312" w:cs="仿宋_GB2312"/>
          <w:b/>
          <w:bCs/>
          <w:color w:val="auto"/>
          <w:sz w:val="28"/>
          <w:szCs w:val="28"/>
          <w:highlight w:val="none"/>
          <w:lang w:val="en-US" w:eastAsia="zh-CN"/>
        </w:rPr>
        <w:t>2</w:t>
      </w:r>
      <w:r>
        <w:rPr>
          <w:rFonts w:hint="eastAsia" w:ascii="仿宋_GB2312" w:cs="仿宋_GB2312"/>
          <w:b/>
          <w:bCs/>
          <w:color w:val="auto"/>
          <w:sz w:val="28"/>
          <w:szCs w:val="28"/>
          <w:highlight w:val="none"/>
        </w:rPr>
        <w:t>）资金分配合理性：</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cs="仿宋_GB2312"/>
          <w:color w:val="auto"/>
          <w:sz w:val="28"/>
          <w:szCs w:val="28"/>
          <w:highlight w:val="none"/>
          <w:lang w:eastAsia="zh-CN"/>
        </w:rPr>
      </w:pPr>
      <w:r>
        <w:rPr>
          <w:rFonts w:hint="eastAsia" w:ascii="仿宋_GB2312" w:cs="仿宋_GB2312"/>
          <w:color w:val="auto"/>
          <w:sz w:val="28"/>
          <w:szCs w:val="28"/>
          <w:highlight w:val="none"/>
        </w:rPr>
        <w:t>①</w:t>
      </w:r>
      <w:r>
        <w:rPr>
          <w:rFonts w:hint="eastAsia" w:cs="仿宋_GB2312"/>
          <w:color w:val="auto"/>
          <w:sz w:val="28"/>
          <w:szCs w:val="28"/>
          <w:highlight w:val="none"/>
          <w:lang w:eastAsia="zh-CN"/>
        </w:rPr>
        <w:t>该项目</w:t>
      </w:r>
      <w:r>
        <w:rPr>
          <w:rFonts w:hint="eastAsia" w:ascii="仿宋_GB2312" w:cs="仿宋_GB2312"/>
          <w:color w:val="auto"/>
          <w:sz w:val="28"/>
          <w:szCs w:val="28"/>
          <w:highlight w:val="none"/>
        </w:rPr>
        <w:t>实际分配资金以《</w:t>
      </w:r>
      <w:r>
        <w:rPr>
          <w:rFonts w:hint="eastAsia" w:cs="仿宋_GB2312"/>
          <w:color w:val="auto"/>
          <w:sz w:val="28"/>
          <w:szCs w:val="28"/>
          <w:highlight w:val="none"/>
          <w:lang w:val="en-US" w:eastAsia="zh-CN"/>
        </w:rPr>
        <w:t>中央重大传染病防控</w:t>
      </w:r>
      <w:r>
        <w:rPr>
          <w:rFonts w:hint="eastAsia" w:ascii="仿宋_GB2312" w:cs="仿宋_GB2312"/>
          <w:color w:val="auto"/>
          <w:sz w:val="28"/>
          <w:szCs w:val="28"/>
          <w:highlight w:val="none"/>
        </w:rPr>
        <w:t>项目实施方案》</w:t>
      </w:r>
      <w:r>
        <w:rPr>
          <w:rFonts w:hint="eastAsia"/>
          <w:color w:val="auto"/>
          <w:highlight w:val="none"/>
          <w:lang w:val="en-US" w:eastAsia="zh-CN"/>
        </w:rPr>
        <w:t>《关于提前下达2022年中央重大传染病防控经费预算的通知》（伊州财社</w:t>
      </w:r>
      <w:r>
        <w:rPr>
          <w:rFonts w:hint="eastAsia"/>
          <w:color w:val="auto"/>
          <w:highlight w:val="none"/>
        </w:rPr>
        <w:t>〔20</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10号）</w:t>
      </w:r>
      <w:r>
        <w:rPr>
          <w:rFonts w:hint="eastAsia" w:ascii="仿宋_GB2312" w:cs="仿宋_GB2312"/>
          <w:color w:val="auto"/>
          <w:sz w:val="28"/>
          <w:szCs w:val="28"/>
          <w:highlight w:val="none"/>
        </w:rPr>
        <w:t>文件为依据进行资金分配，预算资金分配依据充分</w:t>
      </w:r>
      <w:r>
        <w:rPr>
          <w:rFonts w:hint="eastAsia" w:cs="仿宋_GB2312"/>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Times New Roman" w:hAnsi="Times New Roman"/>
          <w:color w:val="auto"/>
          <w:sz w:val="28"/>
          <w:szCs w:val="28"/>
          <w:highlight w:val="none"/>
          <w:lang w:val="en-US" w:eastAsia="zh-CN"/>
        </w:rPr>
      </w:pPr>
      <w:r>
        <w:rPr>
          <w:rFonts w:hint="eastAsia" w:ascii="仿宋_GB2312" w:cs="仿宋_GB2312"/>
          <w:color w:val="auto"/>
          <w:sz w:val="28"/>
          <w:szCs w:val="28"/>
          <w:highlight w:val="none"/>
        </w:rPr>
        <w:t>②《</w:t>
      </w:r>
      <w:r>
        <w:rPr>
          <w:rFonts w:hint="eastAsia" w:cs="仿宋_GB2312"/>
          <w:color w:val="auto"/>
          <w:sz w:val="28"/>
          <w:szCs w:val="28"/>
          <w:highlight w:val="none"/>
          <w:lang w:val="en-US" w:eastAsia="zh-CN"/>
        </w:rPr>
        <w:t>中央重大传染病防控</w:t>
      </w:r>
      <w:r>
        <w:rPr>
          <w:rFonts w:hint="eastAsia" w:ascii="仿宋_GB2312" w:cs="仿宋_GB2312"/>
          <w:color w:val="auto"/>
          <w:sz w:val="28"/>
          <w:szCs w:val="28"/>
          <w:highlight w:val="none"/>
        </w:rPr>
        <w:t>项目实施方案》</w:t>
      </w:r>
      <w:r>
        <w:rPr>
          <w:rFonts w:hint="eastAsia"/>
          <w:color w:val="auto"/>
          <w:highlight w:val="none"/>
          <w:lang w:val="en-US" w:eastAsia="zh-CN"/>
        </w:rPr>
        <w:t>《关于提前下达2022年中央重大传染病防控经费预算的通知》（伊州财社</w:t>
      </w:r>
      <w:r>
        <w:rPr>
          <w:rFonts w:hint="eastAsia"/>
          <w:color w:val="auto"/>
          <w:highlight w:val="none"/>
        </w:rPr>
        <w:t>〔20</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10号）</w:t>
      </w:r>
      <w:r>
        <w:rPr>
          <w:rFonts w:hint="eastAsia" w:ascii="仿宋_GB2312" w:cs="仿宋_GB2312"/>
          <w:color w:val="auto"/>
          <w:sz w:val="28"/>
          <w:szCs w:val="28"/>
          <w:highlight w:val="none"/>
        </w:rPr>
        <w:t>文件显示，</w:t>
      </w:r>
      <w:r>
        <w:rPr>
          <w:rFonts w:hint="eastAsia" w:cs="仿宋_GB2312"/>
          <w:color w:val="auto"/>
          <w:sz w:val="28"/>
          <w:szCs w:val="28"/>
          <w:highlight w:val="none"/>
          <w:lang w:eastAsia="zh-CN"/>
        </w:rPr>
        <w:t>该项目</w:t>
      </w:r>
      <w:r>
        <w:rPr>
          <w:rFonts w:hint="eastAsia" w:ascii="仿宋_GB2312" w:cs="仿宋_GB2312"/>
          <w:color w:val="auto"/>
          <w:sz w:val="28"/>
          <w:szCs w:val="28"/>
          <w:highlight w:val="none"/>
        </w:rPr>
        <w:t>实际到位资金</w:t>
      </w:r>
      <w:r>
        <w:rPr>
          <w:rFonts w:hint="eastAsia" w:cs="仿宋_GB2312"/>
          <w:color w:val="auto"/>
          <w:sz w:val="28"/>
          <w:szCs w:val="28"/>
          <w:highlight w:val="none"/>
          <w:lang w:val="en-US" w:eastAsia="zh-CN"/>
        </w:rPr>
        <w:t>156.10</w:t>
      </w:r>
      <w:r>
        <w:rPr>
          <w:rFonts w:hint="eastAsia" w:ascii="仿宋_GB2312" w:cs="仿宋_GB2312"/>
          <w:color w:val="auto"/>
          <w:sz w:val="28"/>
          <w:szCs w:val="28"/>
          <w:highlight w:val="none"/>
        </w:rPr>
        <w:t>万元，实际分配资金与我单位提交申请的资金额度一致，资金分配额度合理，与我单位实际需求相适应</w:t>
      </w:r>
      <w:r>
        <w:rPr>
          <w:rFonts w:hint="eastAsia" w:cs="仿宋_GB2312"/>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default" w:ascii="仿宋_GB2312" w:cs="仿宋_GB2312"/>
          <w:color w:val="auto"/>
          <w:sz w:val="28"/>
          <w:szCs w:val="28"/>
          <w:highlight w:val="none"/>
          <w:lang w:val="en-US"/>
        </w:rPr>
      </w:pPr>
      <w:r>
        <w:rPr>
          <w:rFonts w:hint="eastAsia" w:cs="仿宋_GB2312"/>
          <w:color w:val="auto"/>
          <w:sz w:val="28"/>
          <w:szCs w:val="28"/>
          <w:highlight w:val="none"/>
          <w:lang w:val="en-US" w:eastAsia="zh-CN"/>
        </w:rPr>
        <w:t>该指标佐证材料：</w:t>
      </w:r>
      <w:r>
        <w:rPr>
          <w:rFonts w:hint="eastAsia" w:ascii="仿宋_GB2312" w:cs="仿宋_GB2312"/>
          <w:color w:val="auto"/>
          <w:sz w:val="28"/>
          <w:szCs w:val="28"/>
          <w:highlight w:val="none"/>
        </w:rPr>
        <w:t>《</w:t>
      </w:r>
      <w:r>
        <w:rPr>
          <w:rFonts w:hint="eastAsia" w:cs="仿宋_GB2312"/>
          <w:color w:val="auto"/>
          <w:sz w:val="28"/>
          <w:szCs w:val="28"/>
          <w:highlight w:val="none"/>
          <w:lang w:val="en-US" w:eastAsia="zh-CN"/>
        </w:rPr>
        <w:t>中央重大传染病防控</w:t>
      </w:r>
      <w:r>
        <w:rPr>
          <w:rFonts w:hint="eastAsia" w:ascii="仿宋_GB2312" w:cs="仿宋_GB2312"/>
          <w:color w:val="auto"/>
          <w:sz w:val="28"/>
          <w:szCs w:val="28"/>
          <w:highlight w:val="none"/>
        </w:rPr>
        <w:t>项目实施方案》</w:t>
      </w:r>
      <w:r>
        <w:rPr>
          <w:rFonts w:hint="eastAsia"/>
          <w:color w:val="auto"/>
          <w:highlight w:val="none"/>
          <w:lang w:val="en-US" w:eastAsia="zh-CN"/>
        </w:rPr>
        <w:t>《关于提前下达2022年中央重大传染病防控经费预算的通知》（伊州财社</w:t>
      </w:r>
      <w:r>
        <w:rPr>
          <w:rFonts w:hint="eastAsia"/>
          <w:color w:val="auto"/>
          <w:highlight w:val="none"/>
        </w:rPr>
        <w:t>〔20</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10号）。</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仿宋_GB2312" w:hAnsi="Times New Roman" w:cs="仿宋_GB2312"/>
          <w:color w:val="auto"/>
          <w:sz w:val="28"/>
          <w:szCs w:val="28"/>
          <w:highlight w:val="none"/>
        </w:rPr>
      </w:pPr>
      <w:r>
        <w:rPr>
          <w:rFonts w:hint="eastAsia" w:ascii="仿宋_GB2312" w:cs="仿宋_GB2312"/>
          <w:color w:val="auto"/>
          <w:sz w:val="28"/>
          <w:szCs w:val="28"/>
          <w:highlight w:val="none"/>
        </w:rPr>
        <w:t>综上所述，本指标满分为</w:t>
      </w:r>
      <w:r>
        <w:rPr>
          <w:rFonts w:hint="eastAsia" w:cs="仿宋_GB2312"/>
          <w:color w:val="auto"/>
          <w:sz w:val="28"/>
          <w:szCs w:val="28"/>
          <w:highlight w:val="none"/>
          <w:lang w:val="en-US" w:eastAsia="zh-CN"/>
        </w:rPr>
        <w:t>2.00</w:t>
      </w:r>
      <w:r>
        <w:rPr>
          <w:rFonts w:hint="eastAsia" w:ascii="仿宋_GB2312" w:cs="仿宋_GB2312"/>
          <w:color w:val="auto"/>
          <w:sz w:val="28"/>
          <w:szCs w:val="28"/>
          <w:highlight w:val="none"/>
        </w:rPr>
        <w:t>分，根据评分标准得</w:t>
      </w:r>
      <w:r>
        <w:rPr>
          <w:rFonts w:hint="eastAsia" w:cs="仿宋_GB2312"/>
          <w:color w:val="auto"/>
          <w:sz w:val="28"/>
          <w:szCs w:val="28"/>
          <w:highlight w:val="none"/>
          <w:lang w:val="en-US" w:eastAsia="zh-CN"/>
        </w:rPr>
        <w:t>2.00</w:t>
      </w:r>
      <w:r>
        <w:rPr>
          <w:rFonts w:hint="eastAsia" w:ascii="仿宋_GB2312" w:cs="仿宋_GB2312"/>
          <w:color w:val="auto"/>
          <w:sz w:val="28"/>
          <w:szCs w:val="28"/>
          <w:highlight w:val="none"/>
        </w:rPr>
        <w:t>分，</w:t>
      </w:r>
      <w:r>
        <w:rPr>
          <w:rFonts w:hint="eastAsia" w:cs="仿宋_GB2312"/>
          <w:color w:val="auto"/>
          <w:sz w:val="28"/>
          <w:szCs w:val="28"/>
          <w:highlight w:val="none"/>
          <w:lang w:eastAsia="zh-CN"/>
        </w:rPr>
        <w:t>该项目</w:t>
      </w:r>
      <w:r>
        <w:rPr>
          <w:rFonts w:hint="eastAsia" w:ascii="仿宋_GB2312" w:hAnsi="Times New Roman" w:cs="仿宋_GB2312"/>
          <w:color w:val="auto"/>
          <w:sz w:val="28"/>
          <w:szCs w:val="28"/>
          <w:highlight w:val="none"/>
        </w:rPr>
        <w:t>资金分配合理。</w:t>
      </w:r>
    </w:p>
    <w:p>
      <w:pPr>
        <w:pStyle w:val="6"/>
        <w:bidi w:val="0"/>
        <w:rPr>
          <w:rFonts w:hint="eastAsia" w:ascii="仿宋_GB2312" w:hAnsi="仿宋_GB2312" w:cs="仿宋_GB2312"/>
          <w:color w:val="auto"/>
          <w:sz w:val="32"/>
          <w:highlight w:val="none"/>
        </w:rPr>
      </w:pPr>
      <w:r>
        <w:rPr>
          <w:rFonts w:hint="eastAsia" w:ascii="仿宋_GB2312" w:hAnsi="仿宋_GB2312" w:cs="仿宋_GB2312"/>
          <w:color w:val="auto"/>
          <w:sz w:val="30"/>
          <w:szCs w:val="30"/>
          <w:highlight w:val="none"/>
        </w:rPr>
        <w:t>（二）项目过程情况</w:t>
      </w:r>
    </w:p>
    <w:p>
      <w:pPr>
        <w:keepNext w:val="0"/>
        <w:keepLines w:val="0"/>
        <w:pageBreakBefore w:val="0"/>
        <w:widowControl w:val="0"/>
        <w:kinsoku/>
        <w:wordWrap/>
        <w:overflowPunct/>
        <w:topLinePunct w:val="0"/>
        <w:autoSpaceDE/>
        <w:autoSpaceDN/>
        <w:bidi w:val="0"/>
        <w:adjustRightInd w:val="0"/>
        <w:snapToGrid w:val="0"/>
        <w:textAlignment w:val="auto"/>
        <w:rPr>
          <w:rFonts w:ascii="仿宋_GB2312"/>
          <w:color w:val="auto"/>
          <w:sz w:val="28"/>
          <w:szCs w:val="28"/>
          <w:highlight w:val="none"/>
        </w:rPr>
      </w:pPr>
      <w:r>
        <w:rPr>
          <w:rFonts w:hint="eastAsia" w:ascii="仿宋_GB2312" w:cs="仿宋_GB2312"/>
          <w:color w:val="auto"/>
          <w:sz w:val="28"/>
          <w:szCs w:val="28"/>
          <w:highlight w:val="none"/>
        </w:rPr>
        <w:t>项目过程类指标包括资金管理和组织实施两方面的内容，由</w:t>
      </w:r>
      <w:r>
        <w:rPr>
          <w:rFonts w:hint="eastAsia"/>
          <w:color w:val="auto"/>
          <w:highlight w:val="none"/>
          <w:lang w:val="en-US" w:eastAsia="zh-CN"/>
        </w:rPr>
        <w:t>2</w:t>
      </w:r>
      <w:r>
        <w:rPr>
          <w:rFonts w:hint="eastAsia"/>
          <w:color w:val="auto"/>
          <w:highlight w:val="none"/>
          <w:lang w:eastAsia="zh-CN"/>
        </w:rPr>
        <w:t>个二级指标和</w:t>
      </w:r>
      <w:r>
        <w:rPr>
          <w:rFonts w:hint="eastAsia"/>
          <w:color w:val="auto"/>
          <w:highlight w:val="none"/>
          <w:lang w:val="en-US" w:eastAsia="zh-CN"/>
        </w:rPr>
        <w:t>5</w:t>
      </w:r>
      <w:r>
        <w:rPr>
          <w:rFonts w:hint="eastAsia"/>
          <w:color w:val="auto"/>
          <w:highlight w:val="none"/>
          <w:lang w:eastAsia="zh-CN"/>
        </w:rPr>
        <w:t>个三级指标构成</w:t>
      </w:r>
      <w:r>
        <w:rPr>
          <w:rFonts w:hint="eastAsia" w:ascii="仿宋_GB2312" w:cs="仿宋_GB2312"/>
          <w:color w:val="auto"/>
          <w:sz w:val="28"/>
          <w:szCs w:val="28"/>
          <w:highlight w:val="none"/>
        </w:rPr>
        <w:t>，权重分为</w:t>
      </w:r>
      <w:r>
        <w:rPr>
          <w:rFonts w:hint="eastAsia" w:ascii="仿宋_GB2312" w:cs="仿宋_GB2312"/>
          <w:color w:val="auto"/>
          <w:sz w:val="28"/>
          <w:szCs w:val="28"/>
          <w:highlight w:val="none"/>
          <w:lang w:val="en-US" w:eastAsia="zh-CN"/>
        </w:rPr>
        <w:t>19</w:t>
      </w:r>
      <w:r>
        <w:rPr>
          <w:rFonts w:hint="eastAsia" w:cs="仿宋_GB2312"/>
          <w:color w:val="auto"/>
          <w:sz w:val="28"/>
          <w:szCs w:val="28"/>
          <w:highlight w:val="none"/>
          <w:lang w:val="en-US" w:eastAsia="zh-CN"/>
        </w:rPr>
        <w:t>.00</w:t>
      </w:r>
      <w:r>
        <w:rPr>
          <w:rFonts w:hint="eastAsia" w:ascii="仿宋_GB2312" w:cs="仿宋_GB2312"/>
          <w:color w:val="auto"/>
          <w:sz w:val="28"/>
          <w:szCs w:val="28"/>
          <w:highlight w:val="none"/>
        </w:rPr>
        <w:t>分，实际得分</w:t>
      </w:r>
      <w:r>
        <w:rPr>
          <w:rFonts w:hint="eastAsia" w:cs="仿宋_GB2312"/>
          <w:color w:val="auto"/>
          <w:sz w:val="28"/>
          <w:szCs w:val="28"/>
          <w:highlight w:val="none"/>
          <w:lang w:val="en-US" w:eastAsia="zh-CN"/>
        </w:rPr>
        <w:t>19.00</w:t>
      </w:r>
      <w:r>
        <w:rPr>
          <w:rFonts w:hint="eastAsia" w:ascii="仿宋_GB2312" w:cs="仿宋_GB2312"/>
          <w:color w:val="auto"/>
          <w:sz w:val="28"/>
          <w:szCs w:val="28"/>
          <w:highlight w:val="none"/>
        </w:rPr>
        <w:t>分，得分率为</w:t>
      </w:r>
      <w:r>
        <w:rPr>
          <w:rFonts w:hint="eastAsia" w:cs="仿宋_GB2312"/>
          <w:color w:val="auto"/>
          <w:sz w:val="28"/>
          <w:szCs w:val="28"/>
          <w:highlight w:val="none"/>
          <w:lang w:val="en-US" w:eastAsia="zh-CN"/>
        </w:rPr>
        <w:t>100.00</w:t>
      </w:r>
      <w:r>
        <w:rPr>
          <w:rFonts w:hint="eastAsia" w:ascii="仿宋_GB2312" w:cs="仿宋_GB2312"/>
          <w:color w:val="auto"/>
          <w:sz w:val="28"/>
          <w:szCs w:val="28"/>
          <w:highlight w:val="none"/>
        </w:rPr>
        <w:t>%。</w:t>
      </w:r>
    </w:p>
    <w:p>
      <w:pPr>
        <w:pStyle w:val="2"/>
        <w:bidi w:val="0"/>
        <w:rPr>
          <w:rFonts w:hint="eastAsia"/>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1.资金管理情况分析</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b/>
          <w:bCs/>
          <w:color w:val="auto"/>
          <w:highlight w:val="none"/>
        </w:rPr>
      </w:pPr>
      <w:r>
        <w:rPr>
          <w:rFonts w:hint="eastAsia"/>
          <w:b/>
          <w:bCs/>
          <w:color w:val="auto"/>
          <w:highlight w:val="none"/>
        </w:rPr>
        <w:t>（1）资金到位率：</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auto"/>
          <w:highlight w:val="none"/>
        </w:rPr>
      </w:pPr>
      <w:r>
        <w:rPr>
          <w:rFonts w:hint="eastAsia"/>
          <w:color w:val="auto"/>
          <w:highlight w:val="none"/>
          <w:lang w:eastAsia="zh-CN"/>
        </w:rPr>
        <w:t>该项目</w:t>
      </w:r>
      <w:r>
        <w:rPr>
          <w:rFonts w:hint="eastAsia"/>
          <w:color w:val="auto"/>
          <w:highlight w:val="none"/>
        </w:rPr>
        <w:t>预算资金为</w:t>
      </w:r>
      <w:r>
        <w:rPr>
          <w:rFonts w:hint="eastAsia"/>
          <w:color w:val="auto"/>
          <w:highlight w:val="none"/>
          <w:lang w:val="en-US" w:eastAsia="zh-CN"/>
        </w:rPr>
        <w:t>156.10</w:t>
      </w:r>
      <w:r>
        <w:rPr>
          <w:rFonts w:hint="eastAsia"/>
          <w:color w:val="auto"/>
          <w:highlight w:val="none"/>
        </w:rPr>
        <w:t>万元，实际到位资金</w:t>
      </w:r>
      <w:r>
        <w:rPr>
          <w:rFonts w:hint="eastAsia"/>
          <w:color w:val="auto"/>
          <w:highlight w:val="none"/>
          <w:lang w:val="en-US" w:eastAsia="zh-CN"/>
        </w:rPr>
        <w:t>156.10</w:t>
      </w:r>
      <w:r>
        <w:rPr>
          <w:rFonts w:hint="eastAsia"/>
          <w:color w:val="auto"/>
          <w:highlight w:val="none"/>
        </w:rPr>
        <w:t>万元，资金到位率=（实际到位资金/预算资金）×100</w:t>
      </w:r>
      <w:r>
        <w:rPr>
          <w:rFonts w:hint="eastAsia"/>
          <w:color w:val="auto"/>
          <w:highlight w:val="none"/>
          <w:lang w:val="en-US" w:eastAsia="zh-CN"/>
        </w:rPr>
        <w:t>.00</w:t>
      </w:r>
      <w:r>
        <w:rPr>
          <w:rFonts w:hint="eastAsia"/>
          <w:color w:val="auto"/>
          <w:highlight w:val="none"/>
        </w:rPr>
        <w:t>%=</w:t>
      </w:r>
      <w:r>
        <w:rPr>
          <w:rFonts w:hint="eastAsia" w:ascii="仿宋_GB2312" w:cs="仿宋_GB2312"/>
          <w:color w:val="auto"/>
          <w:sz w:val="28"/>
          <w:szCs w:val="28"/>
          <w:highlight w:val="none"/>
        </w:rPr>
        <w:t>（</w:t>
      </w:r>
      <w:r>
        <w:rPr>
          <w:rFonts w:hint="eastAsia" w:cs="仿宋_GB2312"/>
          <w:color w:val="auto"/>
          <w:sz w:val="28"/>
          <w:szCs w:val="28"/>
          <w:highlight w:val="none"/>
          <w:lang w:val="en-US" w:eastAsia="zh-CN"/>
        </w:rPr>
        <w:t>156.10</w:t>
      </w:r>
      <w:r>
        <w:rPr>
          <w:rFonts w:hint="eastAsia" w:ascii="仿宋_GB2312" w:cs="仿宋_GB2312"/>
          <w:color w:val="auto"/>
          <w:sz w:val="28"/>
          <w:szCs w:val="28"/>
          <w:highlight w:val="none"/>
        </w:rPr>
        <w:t>/</w:t>
      </w:r>
      <w:r>
        <w:rPr>
          <w:rFonts w:hint="eastAsia" w:cs="仿宋_GB2312"/>
          <w:color w:val="auto"/>
          <w:sz w:val="28"/>
          <w:szCs w:val="28"/>
          <w:highlight w:val="none"/>
          <w:lang w:val="en-US" w:eastAsia="zh-CN"/>
        </w:rPr>
        <w:t>156.10</w:t>
      </w:r>
      <w:r>
        <w:rPr>
          <w:rFonts w:hint="eastAsia" w:ascii="仿宋_GB2312" w:cs="仿宋_GB2312"/>
          <w:color w:val="auto"/>
          <w:sz w:val="28"/>
          <w:szCs w:val="28"/>
          <w:highlight w:val="none"/>
        </w:rPr>
        <w:t>）×100</w:t>
      </w:r>
      <w:r>
        <w:rPr>
          <w:rFonts w:hint="eastAsia"/>
          <w:color w:val="auto"/>
          <w:highlight w:val="none"/>
          <w:lang w:val="en-US" w:eastAsia="zh-CN"/>
        </w:rPr>
        <w:t>.00</w:t>
      </w:r>
      <w:r>
        <w:rPr>
          <w:rFonts w:hint="eastAsia" w:ascii="仿宋_GB2312" w:cs="仿宋_GB2312"/>
          <w:color w:val="auto"/>
          <w:sz w:val="28"/>
          <w:szCs w:val="28"/>
          <w:highlight w:val="none"/>
        </w:rPr>
        <w:t>%</w:t>
      </w:r>
      <w:r>
        <w:rPr>
          <w:rFonts w:hint="eastAsia" w:cs="仿宋_GB2312"/>
          <w:color w:val="auto"/>
          <w:sz w:val="28"/>
          <w:szCs w:val="28"/>
          <w:highlight w:val="none"/>
          <w:lang w:val="en-US" w:eastAsia="zh-CN"/>
        </w:rPr>
        <w:t>=</w:t>
      </w:r>
      <w:r>
        <w:rPr>
          <w:rFonts w:hint="eastAsia"/>
          <w:color w:val="auto"/>
          <w:highlight w:val="none"/>
          <w:lang w:val="en-US" w:eastAsia="zh-CN"/>
        </w:rPr>
        <w:t>100.00</w:t>
      </w:r>
      <w:r>
        <w:rPr>
          <w:rFonts w:hint="eastAsia"/>
          <w:color w:val="auto"/>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color w:val="auto"/>
          <w:highlight w:val="none"/>
          <w:lang w:val="en-US" w:eastAsia="zh-CN"/>
        </w:rPr>
      </w:pPr>
      <w:r>
        <w:rPr>
          <w:rFonts w:hint="eastAsia" w:cs="仿宋_GB2312"/>
          <w:color w:val="auto"/>
          <w:sz w:val="28"/>
          <w:szCs w:val="28"/>
          <w:highlight w:val="none"/>
          <w:lang w:val="en-US" w:eastAsia="zh-CN"/>
        </w:rPr>
        <w:t>该指标佐证材料：</w:t>
      </w:r>
      <w:r>
        <w:rPr>
          <w:rFonts w:hint="eastAsia"/>
          <w:color w:val="auto"/>
          <w:highlight w:val="none"/>
          <w:lang w:val="en-US" w:eastAsia="zh-CN"/>
        </w:rPr>
        <w:t>《关于提前下达2022年中央重大传染病防控经费预算的通知》（伊州财社</w:t>
      </w:r>
      <w:r>
        <w:rPr>
          <w:rFonts w:hint="eastAsia"/>
          <w:color w:val="auto"/>
          <w:highlight w:val="none"/>
        </w:rPr>
        <w:t>〔20</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10号）。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auto"/>
          <w:highlight w:val="none"/>
          <w:lang w:val="en-US" w:eastAsia="zh-CN"/>
        </w:rPr>
      </w:pPr>
      <w:r>
        <w:rPr>
          <w:rFonts w:hint="eastAsia"/>
          <w:color w:val="auto"/>
          <w:highlight w:val="none"/>
        </w:rPr>
        <w:t>综上所述，本指标满分为</w:t>
      </w:r>
      <w:r>
        <w:rPr>
          <w:rFonts w:hint="eastAsia"/>
          <w:color w:val="auto"/>
          <w:highlight w:val="none"/>
          <w:lang w:val="en-US" w:eastAsia="zh-CN"/>
        </w:rPr>
        <w:t>4.00</w:t>
      </w:r>
      <w:r>
        <w:rPr>
          <w:rFonts w:hint="eastAsia"/>
          <w:color w:val="auto"/>
          <w:highlight w:val="none"/>
        </w:rPr>
        <w:t>分，根据评分标准得</w:t>
      </w:r>
      <w:r>
        <w:rPr>
          <w:rFonts w:hint="eastAsia"/>
          <w:color w:val="auto"/>
          <w:highlight w:val="none"/>
          <w:lang w:val="en-US" w:eastAsia="zh-CN"/>
        </w:rPr>
        <w:t>4.00</w:t>
      </w:r>
      <w:r>
        <w:rPr>
          <w:rFonts w:hint="eastAsia"/>
          <w:color w:val="auto"/>
          <w:highlight w:val="none"/>
        </w:rPr>
        <w:t>分,</w:t>
      </w:r>
      <w:r>
        <w:rPr>
          <w:rFonts w:hint="eastAsia"/>
          <w:color w:val="auto"/>
          <w:highlight w:val="none"/>
          <w:lang w:eastAsia="zh-CN"/>
        </w:rPr>
        <w:t>该项目</w:t>
      </w:r>
      <w:r>
        <w:rPr>
          <w:rFonts w:hint="eastAsia"/>
          <w:color w:val="auto"/>
          <w:highlight w:val="none"/>
        </w:rPr>
        <w:t>资金到位率为</w:t>
      </w:r>
      <w:r>
        <w:rPr>
          <w:rFonts w:hint="eastAsia"/>
          <w:color w:val="auto"/>
          <w:highlight w:val="none"/>
          <w:lang w:val="en-US" w:eastAsia="zh-CN"/>
        </w:rPr>
        <w:t>100.00</w:t>
      </w:r>
      <w:r>
        <w:rPr>
          <w:rFonts w:hint="eastAsia"/>
          <w:color w:val="auto"/>
          <w:highlight w:val="none"/>
        </w:rPr>
        <w:t>%</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仿宋_GB2312" w:cs="仿宋_GB2312"/>
          <w:b/>
          <w:bCs/>
          <w:color w:val="auto"/>
          <w:sz w:val="28"/>
          <w:szCs w:val="28"/>
          <w:highlight w:val="none"/>
        </w:rPr>
      </w:pPr>
      <w:r>
        <w:rPr>
          <w:rFonts w:hint="eastAsia" w:ascii="仿宋_GB2312" w:cs="仿宋_GB2312"/>
          <w:b/>
          <w:bCs/>
          <w:color w:val="auto"/>
          <w:sz w:val="28"/>
          <w:szCs w:val="28"/>
          <w:highlight w:val="none"/>
        </w:rPr>
        <w:t>（2）预算执行率：</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仿宋_GB2312" w:cs="仿宋_GB2312"/>
          <w:color w:val="auto"/>
          <w:sz w:val="28"/>
          <w:szCs w:val="28"/>
          <w:highlight w:val="none"/>
        </w:rPr>
      </w:pPr>
      <w:r>
        <w:rPr>
          <w:rFonts w:hint="eastAsia" w:cs="仿宋_GB2312"/>
          <w:color w:val="auto"/>
          <w:sz w:val="28"/>
          <w:szCs w:val="28"/>
          <w:highlight w:val="none"/>
          <w:lang w:eastAsia="zh-CN"/>
        </w:rPr>
        <w:t>该项目</w:t>
      </w:r>
      <w:r>
        <w:rPr>
          <w:rFonts w:hint="eastAsia" w:ascii="仿宋_GB2312" w:cs="仿宋_GB2312"/>
          <w:color w:val="auto"/>
          <w:sz w:val="28"/>
          <w:szCs w:val="28"/>
          <w:highlight w:val="none"/>
          <w:lang w:val="en-US" w:eastAsia="zh-CN"/>
        </w:rPr>
        <w:t>到</w:t>
      </w:r>
      <w:r>
        <w:rPr>
          <w:rFonts w:hint="eastAsia" w:ascii="仿宋_GB2312" w:cs="仿宋_GB2312"/>
          <w:color w:val="auto"/>
          <w:sz w:val="28"/>
          <w:szCs w:val="28"/>
          <w:highlight w:val="none"/>
        </w:rPr>
        <w:t>资金为</w:t>
      </w:r>
      <w:r>
        <w:rPr>
          <w:rFonts w:hint="eastAsia" w:cs="仿宋_GB2312"/>
          <w:color w:val="auto"/>
          <w:sz w:val="28"/>
          <w:szCs w:val="28"/>
          <w:highlight w:val="none"/>
          <w:lang w:val="en-US" w:eastAsia="zh-CN"/>
        </w:rPr>
        <w:t>156.10</w:t>
      </w:r>
      <w:r>
        <w:rPr>
          <w:rFonts w:hint="eastAsia" w:ascii="仿宋_GB2312" w:cs="仿宋_GB2312"/>
          <w:color w:val="auto"/>
          <w:sz w:val="28"/>
          <w:szCs w:val="28"/>
          <w:highlight w:val="none"/>
        </w:rPr>
        <w:t>万元，实际</w:t>
      </w:r>
      <w:r>
        <w:rPr>
          <w:rFonts w:hint="eastAsia" w:ascii="仿宋_GB2312" w:cs="仿宋_GB2312"/>
          <w:color w:val="auto"/>
          <w:sz w:val="28"/>
          <w:szCs w:val="28"/>
          <w:highlight w:val="none"/>
          <w:lang w:val="en-US" w:eastAsia="zh-CN"/>
        </w:rPr>
        <w:t>支出</w:t>
      </w:r>
      <w:r>
        <w:rPr>
          <w:rFonts w:hint="eastAsia" w:ascii="仿宋_GB2312" w:cs="仿宋_GB2312"/>
          <w:color w:val="auto"/>
          <w:sz w:val="28"/>
          <w:szCs w:val="28"/>
          <w:highlight w:val="none"/>
        </w:rPr>
        <w:t>资金</w:t>
      </w:r>
      <w:r>
        <w:rPr>
          <w:rFonts w:hint="eastAsia" w:cs="仿宋_GB2312"/>
          <w:color w:val="auto"/>
          <w:sz w:val="28"/>
          <w:szCs w:val="28"/>
          <w:highlight w:val="none"/>
          <w:lang w:val="en-US" w:eastAsia="zh-CN"/>
        </w:rPr>
        <w:t>156.10</w:t>
      </w:r>
      <w:r>
        <w:rPr>
          <w:rFonts w:hint="eastAsia" w:ascii="仿宋_GB2312" w:cs="仿宋_GB2312"/>
          <w:color w:val="auto"/>
          <w:sz w:val="28"/>
          <w:szCs w:val="28"/>
          <w:highlight w:val="none"/>
        </w:rPr>
        <w:t>万元，预算执行率=（实际支出资金/实际到位资金）×100</w:t>
      </w:r>
      <w:r>
        <w:rPr>
          <w:rFonts w:hint="eastAsia"/>
          <w:color w:val="auto"/>
          <w:highlight w:val="none"/>
          <w:lang w:val="en-US" w:eastAsia="zh-CN"/>
        </w:rPr>
        <w:t>.00</w:t>
      </w:r>
      <w:r>
        <w:rPr>
          <w:rFonts w:hint="eastAsia" w:ascii="仿宋_GB2312" w:cs="仿宋_GB2312"/>
          <w:color w:val="auto"/>
          <w:sz w:val="28"/>
          <w:szCs w:val="28"/>
          <w:highlight w:val="none"/>
        </w:rPr>
        <w:t>%=（</w:t>
      </w:r>
      <w:r>
        <w:rPr>
          <w:rFonts w:hint="eastAsia" w:cs="仿宋_GB2312"/>
          <w:color w:val="auto"/>
          <w:sz w:val="28"/>
          <w:szCs w:val="28"/>
          <w:highlight w:val="none"/>
          <w:lang w:val="en-US" w:eastAsia="zh-CN"/>
        </w:rPr>
        <w:t>156.10</w:t>
      </w:r>
      <w:r>
        <w:rPr>
          <w:rFonts w:hint="eastAsia" w:ascii="仿宋_GB2312" w:cs="仿宋_GB2312"/>
          <w:color w:val="auto"/>
          <w:sz w:val="28"/>
          <w:szCs w:val="28"/>
          <w:highlight w:val="none"/>
        </w:rPr>
        <w:t>/</w:t>
      </w:r>
      <w:r>
        <w:rPr>
          <w:rFonts w:hint="eastAsia" w:cs="仿宋_GB2312"/>
          <w:color w:val="auto"/>
          <w:sz w:val="28"/>
          <w:szCs w:val="28"/>
          <w:highlight w:val="none"/>
          <w:lang w:val="en-US" w:eastAsia="zh-CN"/>
        </w:rPr>
        <w:t>156.10</w:t>
      </w:r>
      <w:r>
        <w:rPr>
          <w:rFonts w:hint="eastAsia" w:ascii="仿宋_GB2312" w:cs="仿宋_GB2312"/>
          <w:color w:val="auto"/>
          <w:sz w:val="28"/>
          <w:szCs w:val="28"/>
          <w:highlight w:val="none"/>
        </w:rPr>
        <w:t>）×100</w:t>
      </w:r>
      <w:r>
        <w:rPr>
          <w:rFonts w:hint="eastAsia"/>
          <w:color w:val="auto"/>
          <w:highlight w:val="none"/>
          <w:lang w:val="en-US" w:eastAsia="zh-CN"/>
        </w:rPr>
        <w:t>.00</w:t>
      </w:r>
      <w:r>
        <w:rPr>
          <w:rFonts w:hint="eastAsia" w:ascii="仿宋_GB2312" w:cs="仿宋_GB2312"/>
          <w:color w:val="auto"/>
          <w:sz w:val="28"/>
          <w:szCs w:val="28"/>
          <w:highlight w:val="none"/>
        </w:rPr>
        <w:t>%=100</w:t>
      </w:r>
      <w:r>
        <w:rPr>
          <w:rFonts w:hint="eastAsia"/>
          <w:color w:val="auto"/>
          <w:highlight w:val="none"/>
          <w:lang w:val="en-US" w:eastAsia="zh-CN"/>
        </w:rPr>
        <w:t>.00</w:t>
      </w:r>
      <w:r>
        <w:rPr>
          <w:rFonts w:hint="eastAsia" w:ascii="仿宋_GB2312" w:cs="仿宋_GB2312"/>
          <w:color w:val="auto"/>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default"/>
          <w:color w:val="auto"/>
          <w:highlight w:val="none"/>
          <w:lang w:val="en-US" w:eastAsia="zh-CN"/>
        </w:rPr>
      </w:pPr>
      <w:r>
        <w:rPr>
          <w:rFonts w:hint="eastAsia" w:cs="仿宋_GB2312"/>
          <w:color w:val="auto"/>
          <w:sz w:val="28"/>
          <w:szCs w:val="28"/>
          <w:highlight w:val="none"/>
          <w:lang w:val="en-US" w:eastAsia="zh-CN"/>
        </w:rPr>
        <w:t>该指标佐证材料：</w:t>
      </w:r>
      <w:r>
        <w:rPr>
          <w:rFonts w:hint="eastAsia"/>
          <w:color w:val="auto"/>
          <w:highlight w:val="none"/>
          <w:lang w:val="en-US" w:eastAsia="zh-CN"/>
        </w:rPr>
        <w:t>《关于提前下达2022年中央重大传染病防控经费预算的通知》（伊州财社</w:t>
      </w:r>
      <w:r>
        <w:rPr>
          <w:rFonts w:hint="eastAsia"/>
          <w:color w:val="auto"/>
          <w:highlight w:val="none"/>
        </w:rPr>
        <w:t>〔20</w:t>
      </w:r>
      <w:r>
        <w:rPr>
          <w:rFonts w:hint="eastAsia"/>
          <w:color w:val="auto"/>
          <w:highlight w:val="none"/>
          <w:lang w:val="en-US" w:eastAsia="zh-CN"/>
        </w:rPr>
        <w:t>22</w:t>
      </w:r>
      <w:r>
        <w:rPr>
          <w:rFonts w:hint="eastAsia"/>
          <w:color w:val="auto"/>
          <w:highlight w:val="none"/>
        </w:rPr>
        <w:t>〕</w:t>
      </w:r>
      <w:r>
        <w:rPr>
          <w:rFonts w:hint="eastAsia"/>
          <w:color w:val="auto"/>
          <w:highlight w:val="none"/>
          <w:lang w:val="en-US" w:eastAsia="zh-CN"/>
        </w:rPr>
        <w:t>10号）《国库集中支付凭证》《银行回单》。</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综上所述，本指标满分为5.00分，根据评分标准得5.00分,该项目预算执行率为100.00%</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textAlignment w:val="auto"/>
        <w:rPr>
          <w:rFonts w:hint="eastAsia" w:ascii="仿宋_GB2312" w:cs="仿宋_GB2312"/>
          <w:b/>
          <w:bCs/>
          <w:color w:val="auto"/>
          <w:sz w:val="28"/>
          <w:szCs w:val="28"/>
          <w:highlight w:val="none"/>
        </w:rPr>
      </w:pPr>
      <w:r>
        <w:rPr>
          <w:rFonts w:hint="eastAsia" w:ascii="仿宋_GB2312" w:cs="仿宋_GB2312"/>
          <w:b/>
          <w:bCs/>
          <w:color w:val="auto"/>
          <w:sz w:val="28"/>
          <w:szCs w:val="28"/>
          <w:highlight w:val="none"/>
        </w:rPr>
        <w:t>（3）资金使用合规性：</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auto"/>
          <w:highlight w:val="none"/>
        </w:rPr>
      </w:pPr>
      <w:r>
        <w:rPr>
          <w:rFonts w:hint="eastAsia"/>
          <w:color w:val="auto"/>
          <w:highlight w:val="none"/>
        </w:rPr>
        <w:t>经检查，</w:t>
      </w:r>
      <w:r>
        <w:rPr>
          <w:rFonts w:hint="eastAsia"/>
          <w:color w:val="auto"/>
          <w:highlight w:val="none"/>
          <w:lang w:eastAsia="zh-CN"/>
        </w:rPr>
        <w:t>该项目</w:t>
      </w:r>
      <w:r>
        <w:rPr>
          <w:rFonts w:hint="eastAsia"/>
          <w:color w:val="auto"/>
          <w:highlight w:val="none"/>
        </w:rPr>
        <w:t>合同、财务支出凭证等资料，</w:t>
      </w:r>
      <w:r>
        <w:rPr>
          <w:rFonts w:hint="eastAsia"/>
          <w:color w:val="auto"/>
          <w:highlight w:val="none"/>
          <w:lang w:eastAsia="zh-CN"/>
        </w:rPr>
        <w:t>该项目</w:t>
      </w:r>
      <w:r>
        <w:rPr>
          <w:rFonts w:hint="eastAsia"/>
          <w:color w:val="auto"/>
          <w:highlight w:val="none"/>
        </w:rPr>
        <w:t>资金使用符合国家财经法规、《政府会计制度》以及《</w:t>
      </w:r>
      <w:r>
        <w:rPr>
          <w:rFonts w:hint="eastAsia"/>
          <w:color w:val="auto"/>
          <w:highlight w:val="none"/>
          <w:lang w:val="en-US" w:eastAsia="zh-CN"/>
        </w:rPr>
        <w:t>巩留县疾病预防控制中心</w:t>
      </w:r>
      <w:r>
        <w:rPr>
          <w:rFonts w:hint="eastAsia"/>
          <w:color w:val="auto"/>
          <w:highlight w:val="none"/>
        </w:rPr>
        <w:t>资金管理办法》，资金的拨付有完整的审批程序和手续，资金实际使用方向与预算批复用途一致，不存在截留、挤占、挪用、虚列支出的情况。</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auto"/>
          <w:highlight w:val="none"/>
          <w:lang w:val="en-US" w:eastAsia="zh-CN"/>
        </w:rPr>
      </w:pPr>
      <w:r>
        <w:rPr>
          <w:rFonts w:hint="eastAsia" w:cs="仿宋_GB2312"/>
          <w:color w:val="auto"/>
          <w:sz w:val="28"/>
          <w:szCs w:val="28"/>
          <w:highlight w:val="none"/>
          <w:lang w:val="en-US" w:eastAsia="zh-CN"/>
        </w:rPr>
        <w:t>该指标佐证材料：</w:t>
      </w:r>
      <w:r>
        <w:rPr>
          <w:rFonts w:hint="eastAsia"/>
          <w:color w:val="auto"/>
          <w:highlight w:val="none"/>
        </w:rPr>
        <w:t>《</w:t>
      </w:r>
      <w:r>
        <w:rPr>
          <w:rFonts w:hint="eastAsia"/>
          <w:color w:val="auto"/>
          <w:highlight w:val="none"/>
          <w:lang w:val="en-US" w:eastAsia="zh-CN"/>
        </w:rPr>
        <w:t>巩留县疾病预防控制中心</w:t>
      </w:r>
      <w:r>
        <w:rPr>
          <w:rFonts w:hint="eastAsia"/>
          <w:color w:val="auto"/>
          <w:highlight w:val="none"/>
        </w:rPr>
        <w:t>资金管理办法》</w:t>
      </w:r>
      <w:r>
        <w:rPr>
          <w:rFonts w:hint="eastAsia"/>
          <w:color w:val="auto"/>
          <w:highlight w:val="none"/>
          <w:lang w:val="en-US" w:eastAsia="zh-CN"/>
        </w:rPr>
        <w:t>《国库集中支付凭证》《银行回单》</w:t>
      </w:r>
      <w:r>
        <w:rPr>
          <w:rFonts w:hint="eastAsia"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color w:val="auto"/>
          <w:highlight w:val="none"/>
          <w:lang w:val="en-US"/>
        </w:rPr>
      </w:pPr>
      <w:r>
        <w:rPr>
          <w:rFonts w:hint="eastAsia"/>
          <w:color w:val="auto"/>
          <w:highlight w:val="none"/>
        </w:rPr>
        <w:t>综上所述，本指标满分为</w:t>
      </w:r>
      <w:r>
        <w:rPr>
          <w:rFonts w:hint="eastAsia"/>
          <w:color w:val="auto"/>
          <w:highlight w:val="none"/>
          <w:lang w:val="en-US" w:eastAsia="zh-CN"/>
        </w:rPr>
        <w:t>4.00</w:t>
      </w:r>
      <w:r>
        <w:rPr>
          <w:rFonts w:hint="eastAsia"/>
          <w:color w:val="auto"/>
          <w:highlight w:val="none"/>
        </w:rPr>
        <w:t>分，根据评分标准得</w:t>
      </w:r>
      <w:r>
        <w:rPr>
          <w:rFonts w:hint="eastAsia"/>
          <w:color w:val="auto"/>
          <w:highlight w:val="none"/>
          <w:lang w:val="en-US" w:eastAsia="zh-CN"/>
        </w:rPr>
        <w:t>4.00</w:t>
      </w:r>
      <w:r>
        <w:rPr>
          <w:rFonts w:hint="eastAsia"/>
          <w:color w:val="auto"/>
          <w:highlight w:val="none"/>
        </w:rPr>
        <w:t>分,</w:t>
      </w:r>
      <w:r>
        <w:rPr>
          <w:rFonts w:hint="eastAsia"/>
          <w:color w:val="auto"/>
          <w:highlight w:val="none"/>
          <w:lang w:eastAsia="zh-CN"/>
        </w:rPr>
        <w:t>该项目</w:t>
      </w:r>
      <w:r>
        <w:rPr>
          <w:rFonts w:hint="eastAsia"/>
          <w:color w:val="auto"/>
          <w:highlight w:val="none"/>
          <w:lang w:val="en-US" w:eastAsia="zh-CN"/>
        </w:rPr>
        <w:t>资金使用合规。</w:t>
      </w:r>
    </w:p>
    <w:p>
      <w:pPr>
        <w:pStyle w:val="2"/>
        <w:bidi w:val="0"/>
        <w:rPr>
          <w:rFonts w:hint="eastAsia"/>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2.组织实施情况分析</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cs="仿宋_GB2312"/>
          <w:b/>
          <w:bCs/>
          <w:color w:val="auto"/>
          <w:sz w:val="28"/>
          <w:szCs w:val="28"/>
          <w:highlight w:val="none"/>
        </w:rPr>
      </w:pPr>
      <w:r>
        <w:rPr>
          <w:rFonts w:hint="eastAsia" w:ascii="仿宋_GB2312" w:cs="仿宋_GB2312"/>
          <w:color w:val="auto"/>
          <w:sz w:val="28"/>
          <w:szCs w:val="28"/>
          <w:highlight w:val="none"/>
        </w:rPr>
        <w:t>（</w:t>
      </w:r>
      <w:r>
        <w:rPr>
          <w:rFonts w:hint="eastAsia" w:ascii="仿宋_GB2312" w:cs="仿宋_GB2312"/>
          <w:b/>
          <w:bCs/>
          <w:color w:val="auto"/>
          <w:sz w:val="28"/>
          <w:szCs w:val="28"/>
          <w:highlight w:val="none"/>
        </w:rPr>
        <w:t>4）管理制度健全性：</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我单位已制定《</w:t>
      </w:r>
      <w:r>
        <w:rPr>
          <w:rFonts w:hint="eastAsia"/>
          <w:color w:val="auto"/>
          <w:highlight w:val="none"/>
          <w:lang w:eastAsia="zh-CN"/>
        </w:rPr>
        <w:t>巩留县疾病预防控制中心资金管理</w:t>
      </w:r>
      <w:r>
        <w:rPr>
          <w:rFonts w:hint="eastAsia"/>
          <w:color w:val="auto"/>
          <w:highlight w:val="none"/>
        </w:rPr>
        <w:t>办法》《</w:t>
      </w:r>
      <w:r>
        <w:rPr>
          <w:rFonts w:hint="eastAsia"/>
          <w:color w:val="auto"/>
          <w:highlight w:val="none"/>
          <w:lang w:eastAsia="zh-CN"/>
        </w:rPr>
        <w:t>巩留县疾病预防控制中心预算</w:t>
      </w:r>
      <w:r>
        <w:rPr>
          <w:rFonts w:hint="eastAsia"/>
          <w:color w:val="auto"/>
          <w:highlight w:val="none"/>
        </w:rPr>
        <w:t>管理制度》等，上述已建立的制度均符合行政事业单位内控管理要求，财务和业务管理制度合法、合规、完整，</w:t>
      </w:r>
      <w:r>
        <w:rPr>
          <w:rFonts w:hint="eastAsia"/>
          <w:color w:val="auto"/>
          <w:highlight w:val="none"/>
          <w:lang w:eastAsia="zh-CN"/>
        </w:rPr>
        <w:t>该项目</w:t>
      </w:r>
      <w:r>
        <w:rPr>
          <w:rFonts w:hint="eastAsia"/>
          <w:color w:val="auto"/>
          <w:highlight w:val="none"/>
        </w:rPr>
        <w:t>执行符合上述制度规定。</w:t>
      </w:r>
    </w:p>
    <w:p>
      <w:pPr>
        <w:keepNext w:val="0"/>
        <w:keepLines w:val="0"/>
        <w:pageBreakBefore w:val="0"/>
        <w:widowControl w:val="0"/>
        <w:kinsoku/>
        <w:wordWrap/>
        <w:overflowPunct/>
        <w:topLinePunct w:val="0"/>
        <w:autoSpaceDE/>
        <w:autoSpaceDN/>
        <w:bidi w:val="0"/>
        <w:adjustRightInd w:val="0"/>
        <w:snapToGrid w:val="0"/>
        <w:textAlignment w:val="auto"/>
        <w:rPr>
          <w:rFonts w:hint="eastAsia" w:eastAsia="仿宋_GB2312"/>
          <w:color w:val="auto"/>
          <w:highlight w:val="none"/>
          <w:lang w:eastAsia="zh-CN"/>
        </w:rPr>
      </w:pPr>
      <w:r>
        <w:rPr>
          <w:rFonts w:hint="eastAsia" w:cs="仿宋_GB2312"/>
          <w:color w:val="auto"/>
          <w:sz w:val="28"/>
          <w:szCs w:val="28"/>
          <w:highlight w:val="none"/>
          <w:lang w:val="en-US" w:eastAsia="zh-CN"/>
        </w:rPr>
        <w:t>该指标佐证材料：</w:t>
      </w:r>
      <w:r>
        <w:rPr>
          <w:rFonts w:hint="eastAsia"/>
          <w:color w:val="auto"/>
          <w:highlight w:val="none"/>
        </w:rPr>
        <w:t>《</w:t>
      </w:r>
      <w:r>
        <w:rPr>
          <w:rFonts w:hint="eastAsia"/>
          <w:color w:val="auto"/>
          <w:highlight w:val="none"/>
          <w:lang w:eastAsia="zh-CN"/>
        </w:rPr>
        <w:t>巩留县疾病预防控制中心资金管理</w:t>
      </w:r>
      <w:r>
        <w:rPr>
          <w:rFonts w:hint="eastAsia"/>
          <w:color w:val="auto"/>
          <w:highlight w:val="none"/>
        </w:rPr>
        <w:t>办法》《</w:t>
      </w:r>
      <w:r>
        <w:rPr>
          <w:rFonts w:hint="eastAsia"/>
          <w:color w:val="auto"/>
          <w:highlight w:val="none"/>
          <w:lang w:eastAsia="zh-CN"/>
        </w:rPr>
        <w:t>巩留县疾病预防控制中心预算</w:t>
      </w:r>
      <w:r>
        <w:rPr>
          <w:rFonts w:hint="eastAsia"/>
          <w:color w:val="auto"/>
          <w:highlight w:val="none"/>
        </w:rPr>
        <w:t>管理制度》</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rPr>
        <w:t>综上所述，本指标满分为</w:t>
      </w:r>
      <w:r>
        <w:rPr>
          <w:rFonts w:hint="eastAsia"/>
          <w:color w:val="auto"/>
          <w:highlight w:val="none"/>
          <w:lang w:val="en-US" w:eastAsia="zh-CN"/>
        </w:rPr>
        <w:t>2.00</w:t>
      </w:r>
      <w:r>
        <w:rPr>
          <w:rFonts w:hint="eastAsia"/>
          <w:color w:val="auto"/>
          <w:highlight w:val="none"/>
        </w:rPr>
        <w:t>分，根据评分标准得</w:t>
      </w:r>
      <w:r>
        <w:rPr>
          <w:rFonts w:hint="eastAsia"/>
          <w:color w:val="auto"/>
          <w:highlight w:val="none"/>
          <w:lang w:val="en-US" w:eastAsia="zh-CN"/>
        </w:rPr>
        <w:t>2.00</w:t>
      </w:r>
      <w:r>
        <w:rPr>
          <w:rFonts w:hint="eastAsia"/>
          <w:color w:val="auto"/>
          <w:highlight w:val="none"/>
        </w:rPr>
        <w:t>分,</w:t>
      </w:r>
      <w:r>
        <w:rPr>
          <w:rFonts w:hint="eastAsia"/>
          <w:color w:val="auto"/>
          <w:highlight w:val="none"/>
          <w:lang w:eastAsia="zh-CN"/>
        </w:rPr>
        <w:t>该项目</w:t>
      </w:r>
      <w:r>
        <w:rPr>
          <w:rFonts w:hint="eastAsia"/>
          <w:color w:val="auto"/>
          <w:highlight w:val="none"/>
        </w:rPr>
        <w:t>管理制度健全</w:t>
      </w:r>
      <w:r>
        <w:rPr>
          <w:rFonts w:hint="eastAsia"/>
          <w:color w:val="auto"/>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cs="仿宋_GB2312"/>
          <w:color w:val="auto"/>
          <w:sz w:val="28"/>
          <w:szCs w:val="28"/>
          <w:highlight w:val="none"/>
        </w:rPr>
      </w:pPr>
      <w:r>
        <w:rPr>
          <w:rFonts w:hint="eastAsia" w:ascii="仿宋_GB2312" w:cs="仿宋_GB2312"/>
          <w:b/>
          <w:bCs/>
          <w:color w:val="auto"/>
          <w:sz w:val="28"/>
          <w:szCs w:val="28"/>
          <w:highlight w:val="none"/>
        </w:rPr>
        <w:t>（5）制度执行有效性</w:t>
      </w:r>
      <w:r>
        <w:rPr>
          <w:rFonts w:hint="eastAsia" w:ascii="仿宋_GB2312" w:cs="仿宋_GB2312"/>
          <w:color w:val="auto"/>
          <w:sz w:val="28"/>
          <w:szCs w:val="28"/>
          <w:highlight w:val="none"/>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eastAsia="zh-CN"/>
        </w:rPr>
        <w:t>①</w:t>
      </w:r>
      <w:r>
        <w:rPr>
          <w:rFonts w:hint="eastAsia"/>
          <w:color w:val="auto"/>
          <w:highlight w:val="none"/>
        </w:rPr>
        <w:t>该项目的</w:t>
      </w:r>
      <w:r>
        <w:rPr>
          <w:rFonts w:hint="eastAsia"/>
          <w:color w:val="auto"/>
          <w:highlight w:val="none"/>
          <w:lang w:val="en-US" w:eastAsia="zh-CN"/>
        </w:rPr>
        <w:t>实施</w:t>
      </w:r>
      <w:r>
        <w:rPr>
          <w:rFonts w:hint="eastAsia"/>
          <w:color w:val="auto"/>
          <w:highlight w:val="none"/>
        </w:rPr>
        <w:t>符合《</w:t>
      </w:r>
      <w:r>
        <w:rPr>
          <w:rFonts w:hint="eastAsia"/>
          <w:color w:val="auto"/>
          <w:highlight w:val="none"/>
          <w:lang w:eastAsia="zh-CN"/>
        </w:rPr>
        <w:t>巩留县疾病预防控制中心资金管理</w:t>
      </w:r>
      <w:r>
        <w:rPr>
          <w:rFonts w:hint="eastAsia"/>
          <w:color w:val="auto"/>
          <w:highlight w:val="none"/>
        </w:rPr>
        <w:t>办法》《</w:t>
      </w:r>
      <w:r>
        <w:rPr>
          <w:rFonts w:hint="eastAsia"/>
          <w:color w:val="auto"/>
          <w:highlight w:val="none"/>
          <w:lang w:eastAsia="zh-CN"/>
        </w:rPr>
        <w:t>巩留县疾病预防控制中心预算</w:t>
      </w:r>
      <w:r>
        <w:rPr>
          <w:rFonts w:hint="eastAsia"/>
          <w:color w:val="auto"/>
          <w:highlight w:val="none"/>
        </w:rPr>
        <w:t>管理制度》等，等相关法律法规及管理规定，项目具备完整规范的立项程序；经查证项目实施过程资料，项目实施等过程均按照</w:t>
      </w:r>
      <w:r>
        <w:rPr>
          <w:rFonts w:hint="eastAsia"/>
          <w:color w:val="auto"/>
          <w:highlight w:val="none"/>
          <w:lang w:val="en-US" w:eastAsia="zh-CN"/>
        </w:rPr>
        <w:t>相关</w:t>
      </w:r>
      <w:r>
        <w:rPr>
          <w:rFonts w:hint="eastAsia"/>
          <w:color w:val="auto"/>
          <w:highlight w:val="none"/>
        </w:rPr>
        <w:t>管理办法等相关制度执行，基本完成既定目标；经查证党委会议纪要、项目资金支付审批表、记账凭证等资金拨付流程资料，项目资金拨付流程完整、手续齐全。综上分析，项目执行遵守相关法律法规和相关管理规定。</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eastAsia="zh-CN"/>
        </w:rPr>
        <w:t>②</w:t>
      </w:r>
      <w:r>
        <w:rPr>
          <w:rFonts w:hint="eastAsia"/>
          <w:color w:val="auto"/>
          <w:highlight w:val="none"/>
        </w:rPr>
        <w:t>经现场查证项目</w:t>
      </w:r>
      <w:r>
        <w:rPr>
          <w:rFonts w:hint="eastAsia"/>
          <w:color w:val="auto"/>
          <w:highlight w:val="none"/>
          <w:lang w:val="en-US" w:eastAsia="zh-CN"/>
        </w:rPr>
        <w:t>资金下达文件、相关系统统计报表、</w:t>
      </w:r>
      <w:r>
        <w:rPr>
          <w:rFonts w:hint="eastAsia"/>
          <w:color w:val="auto"/>
          <w:highlight w:val="none"/>
        </w:rPr>
        <w:t>财务支付凭证</w:t>
      </w:r>
      <w:r>
        <w:rPr>
          <w:rFonts w:hint="eastAsia"/>
          <w:color w:val="auto"/>
          <w:highlight w:val="none"/>
          <w:lang w:eastAsia="zh-CN"/>
        </w:rPr>
        <w:t>、</w:t>
      </w:r>
      <w:r>
        <w:rPr>
          <w:rFonts w:hint="eastAsia"/>
          <w:color w:val="auto"/>
          <w:highlight w:val="none"/>
          <w:lang w:val="en-US" w:eastAsia="zh-CN"/>
        </w:rPr>
        <w:t>调查问卷</w:t>
      </w:r>
      <w:r>
        <w:rPr>
          <w:rFonts w:hint="eastAsia"/>
          <w:color w:val="auto"/>
          <w:highlight w:val="none"/>
        </w:rPr>
        <w:t>等资料齐全并及时归档。</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该项目实施过程中不存在调整事项</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eastAsia="zh-CN"/>
        </w:rPr>
        <w:t>④该项目实施所需要的项目人员和场地设备均已落实到位，具体涉及内容包括：为确保项目的顺利实施我单位成立了项目管理小组，人员均已配备到位。</w:t>
      </w:r>
    </w:p>
    <w:p>
      <w:pPr>
        <w:keepNext w:val="0"/>
        <w:keepLines w:val="0"/>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eastAsia" w:cs="仿宋_GB2312"/>
          <w:color w:val="auto"/>
          <w:sz w:val="28"/>
          <w:szCs w:val="28"/>
          <w:highlight w:val="none"/>
          <w:lang w:val="en-US" w:eastAsia="zh-CN"/>
        </w:rPr>
        <w:t>该指标佐证材料：</w:t>
      </w:r>
      <w:r>
        <w:rPr>
          <w:rFonts w:hint="eastAsia"/>
          <w:color w:val="auto"/>
          <w:highlight w:val="none"/>
        </w:rPr>
        <w:t>《</w:t>
      </w:r>
      <w:r>
        <w:rPr>
          <w:rFonts w:hint="eastAsia"/>
          <w:color w:val="auto"/>
          <w:highlight w:val="none"/>
          <w:lang w:eastAsia="zh-CN"/>
        </w:rPr>
        <w:t>巩留县疾病预防控制中心资金管理</w:t>
      </w:r>
      <w:r>
        <w:rPr>
          <w:rFonts w:hint="eastAsia"/>
          <w:color w:val="auto"/>
          <w:highlight w:val="none"/>
        </w:rPr>
        <w:t>办法》《</w:t>
      </w:r>
      <w:r>
        <w:rPr>
          <w:rFonts w:hint="eastAsia"/>
          <w:color w:val="auto"/>
          <w:highlight w:val="none"/>
          <w:lang w:eastAsia="zh-CN"/>
        </w:rPr>
        <w:t>巩留县疾病预防控制中心预算</w:t>
      </w:r>
      <w:r>
        <w:rPr>
          <w:rFonts w:hint="eastAsia"/>
          <w:color w:val="auto"/>
          <w:highlight w:val="none"/>
        </w:rPr>
        <w:t>管理制度》</w:t>
      </w:r>
      <w:r>
        <w:rPr>
          <w:rFonts w:hint="eastAsia"/>
          <w:color w:val="auto"/>
          <w:highlight w:val="none"/>
          <w:lang w:eastAsia="zh-CN"/>
        </w:rPr>
        <w:t>《</w:t>
      </w:r>
      <w:r>
        <w:rPr>
          <w:rFonts w:hint="eastAsia"/>
          <w:color w:val="auto"/>
          <w:highlight w:val="none"/>
          <w:lang w:val="en-US" w:eastAsia="zh-CN"/>
        </w:rPr>
        <w:t>单位党组会议纪要</w:t>
      </w:r>
      <w:r>
        <w:rPr>
          <w:rFonts w:hint="eastAsia"/>
          <w:color w:val="auto"/>
          <w:highlight w:val="none"/>
          <w:lang w:eastAsia="zh-CN"/>
        </w:rPr>
        <w:t>》</w:t>
      </w:r>
      <w:r>
        <w:rPr>
          <w:rFonts w:hint="eastAsia"/>
          <w:color w:val="auto"/>
          <w:highlight w:val="none"/>
          <w:lang w:val="en-US" w:eastAsia="zh-CN"/>
        </w:rPr>
        <w:t>《国库集中支付凭证》《银行回单》</w:t>
      </w:r>
      <w:r>
        <w:rPr>
          <w:rFonts w:hint="eastAsia"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color w:val="auto"/>
          <w:highlight w:val="none"/>
        </w:rPr>
      </w:pPr>
      <w:r>
        <w:rPr>
          <w:rFonts w:hint="eastAsia"/>
          <w:color w:val="auto"/>
          <w:highlight w:val="none"/>
        </w:rPr>
        <w:t>综上所述，</w:t>
      </w:r>
      <w:r>
        <w:rPr>
          <w:rFonts w:hint="eastAsia" w:ascii="仿宋_GB2312" w:cs="仿宋_GB2312"/>
          <w:color w:val="auto"/>
          <w:szCs w:val="28"/>
          <w:highlight w:val="none"/>
        </w:rPr>
        <w:t>本指标满分为</w:t>
      </w:r>
      <w:r>
        <w:rPr>
          <w:rFonts w:hint="eastAsia" w:cs="仿宋_GB2312"/>
          <w:color w:val="auto"/>
          <w:szCs w:val="28"/>
          <w:highlight w:val="none"/>
          <w:lang w:val="en-US" w:eastAsia="zh-CN"/>
        </w:rPr>
        <w:t>4.00</w:t>
      </w:r>
      <w:r>
        <w:rPr>
          <w:rFonts w:hint="eastAsia" w:ascii="仿宋_GB2312" w:cs="仿宋_GB2312"/>
          <w:color w:val="auto"/>
          <w:szCs w:val="28"/>
          <w:highlight w:val="none"/>
        </w:rPr>
        <w:t>分，根据评分标准得</w:t>
      </w:r>
      <w:r>
        <w:rPr>
          <w:rFonts w:hint="eastAsia" w:cs="仿宋_GB2312"/>
          <w:color w:val="auto"/>
          <w:szCs w:val="28"/>
          <w:highlight w:val="none"/>
          <w:lang w:val="en-US" w:eastAsia="zh-CN"/>
        </w:rPr>
        <w:t>4.00</w:t>
      </w:r>
      <w:r>
        <w:rPr>
          <w:rFonts w:hint="eastAsia" w:ascii="仿宋_GB2312" w:cs="仿宋_GB2312"/>
          <w:color w:val="auto"/>
          <w:szCs w:val="28"/>
          <w:highlight w:val="none"/>
        </w:rPr>
        <w:t>分,</w:t>
      </w:r>
      <w:r>
        <w:rPr>
          <w:rFonts w:hint="eastAsia" w:cs="仿宋_GB2312"/>
          <w:color w:val="auto"/>
          <w:szCs w:val="28"/>
          <w:highlight w:val="none"/>
          <w:lang w:eastAsia="zh-CN"/>
        </w:rPr>
        <w:t>该项目</w:t>
      </w:r>
      <w:r>
        <w:rPr>
          <w:rFonts w:hint="eastAsia" w:ascii="仿宋_GB2312" w:cs="仿宋_GB2312"/>
          <w:color w:val="auto"/>
          <w:szCs w:val="28"/>
          <w:highlight w:val="none"/>
        </w:rPr>
        <w:t>制度执行有效</w:t>
      </w:r>
      <w:r>
        <w:rPr>
          <w:rFonts w:hint="eastAsia" w:ascii="仿宋_GB2312" w:hAnsi="Times New Roman" w:cs="仿宋_GB2312"/>
          <w:color w:val="auto"/>
          <w:szCs w:val="28"/>
          <w:highlight w:val="none"/>
          <w:lang w:val="en-US" w:eastAsia="zh-CN"/>
        </w:rPr>
        <w:t>。</w:t>
      </w:r>
    </w:p>
    <w:p>
      <w:pPr>
        <w:pStyle w:val="2"/>
        <w:bidi w:val="0"/>
        <w:rPr>
          <w:rFonts w:hint="eastAsia" w:ascii="仿宋_GB2312" w:hAnsi="仿宋_GB2312" w:cs="仿宋_GB2312"/>
          <w:color w:val="auto"/>
          <w:sz w:val="32"/>
          <w:highlight w:val="none"/>
        </w:rPr>
      </w:pPr>
      <w:r>
        <w:rPr>
          <w:rFonts w:hint="eastAsia" w:ascii="仿宋_GB2312" w:hAnsi="仿宋_GB2312" w:cs="仿宋_GB2312"/>
          <w:color w:val="auto"/>
          <w:sz w:val="30"/>
          <w:szCs w:val="30"/>
          <w:highlight w:val="none"/>
        </w:rPr>
        <w:t>（三）项目产出情况</w:t>
      </w:r>
    </w:p>
    <w:p>
      <w:pPr>
        <w:keepNext w:val="0"/>
        <w:keepLines w:val="0"/>
        <w:pageBreakBefore w:val="0"/>
        <w:widowControl w:val="0"/>
        <w:kinsoku/>
        <w:wordWrap/>
        <w:overflowPunct/>
        <w:topLinePunct w:val="0"/>
        <w:autoSpaceDE/>
        <w:autoSpaceDN/>
        <w:bidi w:val="0"/>
        <w:adjustRightInd w:val="0"/>
        <w:snapToGrid w:val="0"/>
        <w:textAlignment w:val="auto"/>
        <w:rPr>
          <w:rFonts w:ascii="仿宋_GB2312"/>
          <w:color w:val="auto"/>
          <w:sz w:val="28"/>
          <w:szCs w:val="28"/>
          <w:highlight w:val="none"/>
        </w:rPr>
      </w:pPr>
      <w:r>
        <w:rPr>
          <w:rFonts w:hint="eastAsia" w:ascii="仿宋_GB2312" w:cs="仿宋_GB2312"/>
          <w:color w:val="auto"/>
          <w:sz w:val="28"/>
          <w:szCs w:val="28"/>
          <w:highlight w:val="none"/>
        </w:rPr>
        <w:t>项目产出类指标包括产出数量、产出质量、产出时效、产出成本四方面的内容，由</w:t>
      </w:r>
      <w:r>
        <w:rPr>
          <w:rFonts w:hint="eastAsia"/>
          <w:color w:val="auto"/>
          <w:highlight w:val="none"/>
          <w:lang w:eastAsia="zh-CN"/>
        </w:rPr>
        <w:t>项目产出类指标由4个二级指标和</w:t>
      </w:r>
      <w:r>
        <w:rPr>
          <w:rFonts w:hint="eastAsia" w:cs="仿宋_GB2312"/>
          <w:color w:val="auto"/>
          <w:sz w:val="28"/>
          <w:szCs w:val="28"/>
          <w:highlight w:val="none"/>
          <w:lang w:val="en-US" w:eastAsia="zh-CN"/>
        </w:rPr>
        <w:t>22个</w:t>
      </w:r>
      <w:r>
        <w:rPr>
          <w:rFonts w:hint="eastAsia"/>
          <w:color w:val="auto"/>
          <w:highlight w:val="none"/>
          <w:lang w:eastAsia="zh-CN"/>
        </w:rPr>
        <w:t>三级指标构成</w:t>
      </w:r>
      <w:r>
        <w:rPr>
          <w:rFonts w:hint="eastAsia" w:ascii="仿宋_GB2312" w:cs="仿宋_GB2312"/>
          <w:color w:val="auto"/>
          <w:sz w:val="28"/>
          <w:szCs w:val="28"/>
          <w:highlight w:val="none"/>
        </w:rPr>
        <w:t>，权重分为</w:t>
      </w:r>
      <w:r>
        <w:rPr>
          <w:rFonts w:hint="eastAsia" w:cs="仿宋_GB2312"/>
          <w:color w:val="auto"/>
          <w:sz w:val="28"/>
          <w:szCs w:val="28"/>
          <w:highlight w:val="none"/>
          <w:lang w:val="en-US" w:eastAsia="zh-CN"/>
        </w:rPr>
        <w:t>30.00</w:t>
      </w:r>
      <w:r>
        <w:rPr>
          <w:rFonts w:hint="eastAsia" w:ascii="仿宋_GB2312" w:cs="仿宋_GB2312"/>
          <w:color w:val="auto"/>
          <w:sz w:val="28"/>
          <w:szCs w:val="28"/>
          <w:highlight w:val="none"/>
        </w:rPr>
        <w:t>分，实际得分</w:t>
      </w:r>
      <w:r>
        <w:rPr>
          <w:rFonts w:hint="eastAsia" w:cs="仿宋_GB2312"/>
          <w:color w:val="auto"/>
          <w:sz w:val="28"/>
          <w:szCs w:val="28"/>
          <w:highlight w:val="none"/>
          <w:lang w:val="en-US" w:eastAsia="zh-CN"/>
        </w:rPr>
        <w:t>30.00</w:t>
      </w:r>
      <w:r>
        <w:rPr>
          <w:rFonts w:hint="eastAsia" w:ascii="仿宋_GB2312" w:cs="仿宋_GB2312"/>
          <w:color w:val="auto"/>
          <w:sz w:val="28"/>
          <w:szCs w:val="28"/>
          <w:highlight w:val="none"/>
        </w:rPr>
        <w:t>分，得分率为</w:t>
      </w:r>
      <w:r>
        <w:rPr>
          <w:rFonts w:hint="eastAsia" w:cs="仿宋_GB2312"/>
          <w:color w:val="auto"/>
          <w:sz w:val="28"/>
          <w:szCs w:val="28"/>
          <w:highlight w:val="none"/>
          <w:lang w:val="en-US" w:eastAsia="zh-CN"/>
        </w:rPr>
        <w:t>100.00</w:t>
      </w:r>
      <w:r>
        <w:rPr>
          <w:rFonts w:hint="eastAsia" w:ascii="仿宋_GB2312" w:cs="仿宋_GB2312"/>
          <w:color w:val="auto"/>
          <w:sz w:val="28"/>
          <w:szCs w:val="28"/>
          <w:highlight w:val="none"/>
        </w:rPr>
        <w:t>%。</w:t>
      </w:r>
    </w:p>
    <w:p>
      <w:pPr>
        <w:pStyle w:val="2"/>
        <w:bidi w:val="0"/>
        <w:rPr>
          <w:rFonts w:hint="eastAsia"/>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1.数量指标完成情况分析</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“艾滋病免费抗病毒治疗”</w:t>
      </w:r>
      <w:r>
        <w:rPr>
          <w:rFonts w:hint="eastAsia" w:ascii="仿宋_GB2312" w:hAnsi="仿宋_GB2312" w:eastAsia="仿宋_GB2312" w:cs="仿宋_GB2312"/>
          <w:color w:val="auto"/>
          <w:sz w:val="28"/>
          <w:szCs w:val="28"/>
          <w:highlight w:val="none"/>
        </w:rPr>
        <w:t>指标：预期指标值为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《2022年12月伊犁州直艾滋病防治指标完成情况（随访与管理）》</w:t>
      </w:r>
      <w:r>
        <w:rPr>
          <w:rFonts w:hint="eastAsia" w:cs="仿宋_GB2312"/>
          <w:color w:val="auto"/>
          <w:highlight w:val="none"/>
          <w:lang w:val="en-US" w:eastAsia="zh-CN"/>
        </w:rPr>
        <w:t>记录表、中国疾病预防控制信息系统统计数据</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2.00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2.00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“规范治疗和随访检查的肺结核患者任务完成率”指标：预期指标值为大于等于85.00%,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88.00%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2.00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2.00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“有症状的病原学阳性率肺结核患者密切接触者检查率”指标：预期指标值为大于等于90.00%，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93.00%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“肺结核病原学阳性患者耐药筛查率”指标：预期指标值为大于等于80.00%，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86.00%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“包虫病人群主动筛查任务完成率”指标：预期指标值为大于等于85.00%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87.00%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“重大慢性病筛查任务完成率”指标：预期指标值为100.00%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“严重精神障碍患者筛查任务完成率”指标：预期指标值为100.00%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sz w:val="28"/>
          <w:szCs w:val="28"/>
          <w:highlight w:val="none"/>
          <w:lang w:val="en-US"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“新冠肺炎网络实验室建设任务完成率”指标，预期指标值为大于等于85.00%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90.00%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pStyle w:val="2"/>
        <w:bidi w:val="0"/>
        <w:rPr>
          <w:rFonts w:hint="eastAsia"/>
          <w:color w:val="auto"/>
          <w:highlight w:val="none"/>
          <w:lang w:val="en-US" w:eastAsia="zh-CN"/>
        </w:rPr>
      </w:pPr>
      <w:r>
        <w:rPr>
          <w:rFonts w:hint="eastAsia" w:ascii="仿宋_GB2312" w:hAnsi="仿宋_GB2312" w:eastAsia="仿宋_GB2312" w:cs="仿宋_GB2312"/>
          <w:color w:val="auto"/>
          <w:sz w:val="28"/>
          <w:szCs w:val="28"/>
          <w:highlight w:val="none"/>
          <w:lang w:val="en-US" w:eastAsia="zh-CN"/>
        </w:rPr>
        <w:t>2.质量指标完成情况分析</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“全区以乡（镇）为单位适龄儿童免疫规划疫苗接种率”指标：预期指标值为90.00%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95.00%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cs="仿宋_GB2312"/>
          <w:color w:val="auto"/>
          <w:highlight w:val="none"/>
          <w:lang w:val="en-US" w:eastAsia="zh-CN"/>
        </w:rPr>
        <w:t>新疆免疫规划信息管理系统实时统计数据</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“艾滋病规范化随访干预比例”指标：预期指标值为100.00%，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《2022年12月伊犁州直艾滋病防治指标完成情况（随访与管理）》</w:t>
      </w:r>
      <w:r>
        <w:rPr>
          <w:rFonts w:hint="eastAsia" w:cs="仿宋_GB2312"/>
          <w:color w:val="auto"/>
          <w:highlight w:val="none"/>
          <w:lang w:eastAsia="zh-CN"/>
        </w:rPr>
        <w:t>、</w:t>
      </w:r>
      <w:r>
        <w:rPr>
          <w:rFonts w:hint="eastAsia" w:cs="仿宋_GB2312"/>
          <w:color w:val="auto"/>
          <w:highlight w:val="none"/>
          <w:lang w:val="en-US" w:eastAsia="zh-CN"/>
        </w:rPr>
        <w:t>中国疾病预防控制信息系统统计数据</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lang w:val="en-US" w:eastAsia="zh-CN"/>
        </w:rPr>
        <w:t>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“艾滋病高危人群检测比例”指标：预期指标值为100.00%，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 2022年12月伊犁州直艾滋病防治指标完成情况（治疗与检测）》</w:t>
      </w:r>
      <w:r>
        <w:rPr>
          <w:rFonts w:hint="eastAsia" w:cs="仿宋_GB2312"/>
          <w:color w:val="auto"/>
          <w:highlight w:val="none"/>
          <w:lang w:eastAsia="zh-CN"/>
        </w:rPr>
        <w:t>、</w:t>
      </w:r>
      <w:r>
        <w:rPr>
          <w:rFonts w:hint="eastAsia" w:cs="仿宋_GB2312"/>
          <w:color w:val="auto"/>
          <w:highlight w:val="none"/>
          <w:lang w:val="en-US" w:eastAsia="zh-CN"/>
        </w:rPr>
        <w:t>中国疾病预防控制信息系统统计数据</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“艾滋病临床用血核酸检测”指标：预期指标值为100.00%，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《2022年12月伊犁州直艾滋病防治指标完成情况（随访与管理）》</w:t>
      </w:r>
      <w:r>
        <w:rPr>
          <w:rFonts w:hint="eastAsia" w:cs="仿宋_GB2312"/>
          <w:color w:val="auto"/>
          <w:highlight w:val="none"/>
          <w:lang w:eastAsia="zh-CN"/>
        </w:rPr>
        <w:t>、</w:t>
      </w:r>
      <w:r>
        <w:rPr>
          <w:rFonts w:hint="eastAsia" w:cs="仿宋_GB2312"/>
          <w:color w:val="auto"/>
          <w:highlight w:val="none"/>
          <w:lang w:val="en-US" w:eastAsia="zh-CN"/>
        </w:rPr>
        <w:t>中国疾病预防控制信息系统统计数据</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“艾滋病感染孕产妇所生儿童抗病毒药物应用比例”指标：预期指标值为大于等于90.00%。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95.00%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《2022年12月伊犁州直艾滋病防治指标完成情况（随访与管理）》</w:t>
      </w:r>
      <w:r>
        <w:rPr>
          <w:rFonts w:hint="eastAsia" w:cs="仿宋_GB2312"/>
          <w:color w:val="auto"/>
          <w:highlight w:val="none"/>
          <w:lang w:eastAsia="zh-CN"/>
        </w:rPr>
        <w:t>、</w:t>
      </w:r>
      <w:r>
        <w:rPr>
          <w:rFonts w:hint="eastAsia" w:cs="仿宋_GB2312"/>
          <w:color w:val="auto"/>
          <w:highlight w:val="none"/>
          <w:lang w:val="en-US" w:eastAsia="zh-CN"/>
        </w:rPr>
        <w:t>中国疾病预防控制信息系统统计数据</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“窝沟封闭完好率”指标：预期指标值为大于85.00%，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88.00%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“死因监测规范报告率”指标：预期指标值为大于80.00%，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85.00%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w:t>
      </w:r>
      <w:r>
        <w:rPr>
          <w:rFonts w:hint="eastAsia" w:cs="仿宋_GB2312"/>
          <w:color w:val="auto"/>
          <w:highlight w:val="none"/>
          <w:lang w:val="en-US" w:eastAsia="zh-CN"/>
        </w:rPr>
        <w:t>死因监测常规</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“在册严重精神障碍患者管理率”指标：预期指标值为大于等于80.00%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82.00%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“在册严重精神障碍患者治疗率”指标：预期指标值为大于等于60.00%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65.00%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“农村癫痫防治项目县患者治疗率”指标：预期指标值为大于等于1.00%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“细菌性传染病网络实验室考核合格率”指标：预期指标值为大于等于80.00%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85.00%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pStyle w:val="47"/>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“病媒生物监测结果分析报告率”指标：预期指标值为大于等于80.00%</w:t>
      </w:r>
      <w:r>
        <w:rPr>
          <w:rFonts w:hint="eastAsia" w:ascii="仿宋_GB2312" w:hAnsi="仿宋_GB2312" w:eastAsia="仿宋_GB2312" w:cs="仿宋_GB2312"/>
          <w:color w:val="auto"/>
          <w:sz w:val="28"/>
          <w:szCs w:val="28"/>
          <w:highlight w:val="none"/>
        </w:rPr>
        <w:t>，实际完成指标值为</w:t>
      </w:r>
      <w:r>
        <w:rPr>
          <w:rFonts w:hint="eastAsia" w:ascii="仿宋_GB2312" w:hAnsi="仿宋_GB2312" w:eastAsia="仿宋_GB2312" w:cs="仿宋_GB2312"/>
          <w:color w:val="auto"/>
          <w:sz w:val="28"/>
          <w:szCs w:val="28"/>
          <w:highlight w:val="none"/>
          <w:lang w:val="en-US" w:eastAsia="zh-CN"/>
        </w:rPr>
        <w:t>85.00%</w:t>
      </w:r>
      <w:r>
        <w:rPr>
          <w:rFonts w:hint="eastAsia" w:ascii="仿宋_GB2312" w:hAnsi="仿宋_GB2312" w:eastAsia="仿宋_GB2312" w:cs="仿宋_GB2312"/>
          <w:color w:val="auto"/>
          <w:sz w:val="28"/>
          <w:szCs w:val="28"/>
          <w:highlight w:val="none"/>
        </w:rPr>
        <w:t>，指标完成率为</w:t>
      </w:r>
      <w:r>
        <w:rPr>
          <w:rFonts w:hint="eastAsia" w:ascii="仿宋_GB2312" w:hAnsi="仿宋_GB2312" w:eastAsia="仿宋_GB2312" w:cs="仿宋_GB2312"/>
          <w:color w:val="auto"/>
          <w:sz w:val="28"/>
          <w:szCs w:val="28"/>
          <w:highlight w:val="none"/>
          <w:lang w:val="en-US" w:eastAsia="zh-CN"/>
        </w:rPr>
        <w:t>100.00</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ascii="仿宋_GB2312" w:hAnsi="仿宋_GB2312" w:eastAsia="仿宋_GB2312"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本指标满分为</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分，根据评分标准，该指标得</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rPr>
        <w:t>分。</w:t>
      </w:r>
    </w:p>
    <w:p>
      <w:pPr>
        <w:pStyle w:val="2"/>
        <w:bidi w:val="0"/>
        <w:rPr>
          <w:rFonts w:hint="eastAsia"/>
          <w:color w:val="auto"/>
          <w:highlight w:val="none"/>
        </w:rPr>
      </w:pPr>
      <w:r>
        <w:rPr>
          <w:rFonts w:hint="eastAsia" w:ascii="仿宋_GB2312" w:hAnsi="仿宋_GB2312" w:eastAsia="仿宋_GB2312" w:cs="仿宋_GB2312"/>
          <w:color w:val="auto"/>
          <w:sz w:val="28"/>
          <w:szCs w:val="28"/>
          <w:highlight w:val="none"/>
          <w:lang w:val="en-US" w:eastAsia="zh-CN"/>
        </w:rPr>
        <w:t>3.时效指标完成情况分析</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项目预计完成时间</w:t>
      </w:r>
      <w:r>
        <w:rPr>
          <w:rFonts w:hint="eastAsia" w:ascii="仿宋_GB2312" w:hAnsi="仿宋_GB2312" w:cs="仿宋_GB2312"/>
          <w:color w:val="auto"/>
          <w:sz w:val="28"/>
          <w:szCs w:val="28"/>
          <w:highlight w:val="none"/>
        </w:rPr>
        <w:t>”指标：预期指标值为</w:t>
      </w:r>
      <w:r>
        <w:rPr>
          <w:rFonts w:hint="eastAsia" w:cs="仿宋_GB2312"/>
          <w:color w:val="auto"/>
          <w:sz w:val="28"/>
          <w:szCs w:val="28"/>
          <w:highlight w:val="none"/>
          <w:lang w:val="en-US" w:eastAsia="zh-CN"/>
        </w:rPr>
        <w:t>2022年11月30日前</w:t>
      </w:r>
      <w:r>
        <w:rPr>
          <w:rFonts w:hint="eastAsia" w:ascii="仿宋_GB2312" w:hAnsi="仿宋_GB2312" w:cs="仿宋_GB2312"/>
          <w:color w:val="auto"/>
          <w:sz w:val="28"/>
          <w:szCs w:val="28"/>
          <w:highlight w:val="none"/>
        </w:rPr>
        <w:t>，实际完成指标值为</w:t>
      </w:r>
      <w:r>
        <w:rPr>
          <w:rFonts w:hint="eastAsia" w:cs="仿宋_GB2312"/>
          <w:color w:val="auto"/>
          <w:sz w:val="28"/>
          <w:szCs w:val="28"/>
          <w:highlight w:val="none"/>
          <w:lang w:val="en-US" w:eastAsia="zh-CN"/>
        </w:rPr>
        <w:t>2022年11月30日</w:t>
      </w:r>
      <w:r>
        <w:rPr>
          <w:rFonts w:hint="eastAsia" w:ascii="仿宋_GB2312" w:hAnsi="仿宋_GB2312" w:cs="仿宋_GB2312"/>
          <w:color w:val="auto"/>
          <w:sz w:val="28"/>
          <w:szCs w:val="28"/>
          <w:highlight w:val="none"/>
        </w:rPr>
        <w:t>，指标完成率为</w:t>
      </w:r>
      <w:r>
        <w:rPr>
          <w:rFonts w:hint="eastAsia" w:cs="仿宋_GB2312"/>
          <w:color w:val="auto"/>
          <w:sz w:val="28"/>
          <w:szCs w:val="28"/>
          <w:highlight w:val="none"/>
          <w:lang w:val="en-US" w:eastAsia="zh-CN"/>
        </w:rPr>
        <w:t>100.00</w:t>
      </w: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《项目</w:t>
      </w:r>
      <w:r>
        <w:rPr>
          <w:rFonts w:hint="eastAsia" w:cs="仿宋_GB2312"/>
          <w:color w:val="auto"/>
          <w:highlight w:val="none"/>
          <w:lang w:val="en-US" w:eastAsia="zh-CN"/>
        </w:rPr>
        <w:t>年度工作总结</w:t>
      </w:r>
      <w:r>
        <w:rPr>
          <w:rFonts w:hint="eastAsia" w:ascii="仿宋_GB2312" w:hAnsi="仿宋_GB2312" w:eastAsia="仿宋_GB2312" w:cs="仿宋_GB2312"/>
          <w:color w:val="auto"/>
          <w:highlight w:val="none"/>
          <w:lang w:eastAsia="zh-CN"/>
        </w:rPr>
        <w:t>》</w:t>
      </w:r>
      <w:r>
        <w:rPr>
          <w:rFonts w:hint="eastAsia"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rPr>
      </w:pPr>
      <w:r>
        <w:rPr>
          <w:rFonts w:hint="eastAsia" w:ascii="仿宋_GB2312" w:cs="仿宋_GB2312"/>
          <w:color w:val="auto"/>
          <w:sz w:val="28"/>
          <w:szCs w:val="28"/>
          <w:highlight w:val="none"/>
        </w:rPr>
        <w:t>本指标满分为</w:t>
      </w:r>
      <w:r>
        <w:rPr>
          <w:rFonts w:hint="eastAsia" w:cs="仿宋_GB2312"/>
          <w:color w:val="auto"/>
          <w:sz w:val="28"/>
          <w:szCs w:val="28"/>
          <w:highlight w:val="none"/>
          <w:lang w:val="en-US" w:eastAsia="zh-CN"/>
        </w:rPr>
        <w:t>4.00</w:t>
      </w:r>
      <w:r>
        <w:rPr>
          <w:rFonts w:hint="eastAsia" w:ascii="仿宋_GB2312" w:cs="仿宋_GB2312"/>
          <w:color w:val="auto"/>
          <w:sz w:val="28"/>
          <w:szCs w:val="28"/>
          <w:highlight w:val="none"/>
        </w:rPr>
        <w:t>分，</w:t>
      </w:r>
      <w:r>
        <w:rPr>
          <w:rFonts w:hint="eastAsia" w:ascii="仿宋_GB2312" w:hAnsi="仿宋_GB2312" w:cs="仿宋_GB2312"/>
          <w:color w:val="auto"/>
          <w:sz w:val="28"/>
          <w:szCs w:val="28"/>
          <w:highlight w:val="none"/>
        </w:rPr>
        <w:t>根据评分标准，该指标得</w:t>
      </w:r>
      <w:r>
        <w:rPr>
          <w:rFonts w:hint="eastAsia" w:cs="仿宋_GB2312"/>
          <w:color w:val="auto"/>
          <w:sz w:val="28"/>
          <w:szCs w:val="28"/>
          <w:highlight w:val="none"/>
          <w:lang w:val="en-US" w:eastAsia="zh-CN"/>
        </w:rPr>
        <w:t>4.00</w:t>
      </w:r>
      <w:r>
        <w:rPr>
          <w:rFonts w:hint="eastAsia" w:ascii="仿宋_GB2312" w:hAnsi="仿宋_GB2312" w:cs="仿宋_GB2312"/>
          <w:color w:val="auto"/>
          <w:sz w:val="28"/>
          <w:szCs w:val="28"/>
          <w:highlight w:val="none"/>
        </w:rPr>
        <w:t>分。</w:t>
      </w:r>
    </w:p>
    <w:p>
      <w:pPr>
        <w:pStyle w:val="2"/>
        <w:bidi w:val="0"/>
        <w:rPr>
          <w:rFonts w:hint="eastAsia"/>
          <w:color w:val="auto"/>
          <w:highlight w:val="none"/>
        </w:rPr>
      </w:pPr>
      <w:r>
        <w:rPr>
          <w:rFonts w:hint="eastAsia" w:ascii="仿宋_GB2312" w:hAnsi="仿宋_GB2312" w:eastAsia="仿宋_GB2312" w:cs="仿宋_GB2312"/>
          <w:color w:val="auto"/>
          <w:sz w:val="28"/>
          <w:szCs w:val="28"/>
          <w:highlight w:val="none"/>
          <w:lang w:val="en-US" w:eastAsia="zh-CN"/>
        </w:rPr>
        <w:t>4.成本指标完成情况分析</w:t>
      </w:r>
    </w:p>
    <w:p>
      <w:pPr>
        <w:pageBreakBefore w:val="0"/>
        <w:widowControl w:val="0"/>
        <w:kinsoku/>
        <w:wordWrap/>
        <w:overflowPunct/>
        <w:topLinePunct w:val="0"/>
        <w:autoSpaceDE/>
        <w:autoSpaceDN/>
        <w:bidi w:val="0"/>
        <w:adjustRightInd w:val="0"/>
        <w:snapToGrid w:val="0"/>
        <w:jc w:val="both"/>
        <w:textAlignment w:val="auto"/>
        <w:outlineLvl w:val="9"/>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中央重大传染病防控补助资金</w:t>
      </w:r>
      <w:r>
        <w:rPr>
          <w:rFonts w:hint="eastAsia" w:ascii="仿宋_GB2312" w:hAnsi="仿宋_GB2312" w:cs="仿宋_GB2312"/>
          <w:color w:val="auto"/>
          <w:sz w:val="28"/>
          <w:szCs w:val="28"/>
          <w:highlight w:val="none"/>
        </w:rPr>
        <w:t>”指标：预期指标值为</w:t>
      </w:r>
      <w:r>
        <w:rPr>
          <w:rFonts w:hint="eastAsia" w:cs="仿宋_GB2312"/>
          <w:color w:val="auto"/>
          <w:sz w:val="28"/>
          <w:szCs w:val="28"/>
          <w:highlight w:val="none"/>
          <w:lang w:val="en-US" w:eastAsia="zh-CN"/>
        </w:rPr>
        <w:t>小于等于</w:t>
      </w:r>
      <w:r>
        <w:rPr>
          <w:rFonts w:hint="eastAsia" w:ascii="仿宋_GB2312" w:hAnsi="仿宋_GB2312" w:cs="仿宋_GB2312"/>
          <w:color w:val="auto"/>
          <w:sz w:val="28"/>
          <w:szCs w:val="28"/>
          <w:highlight w:val="none"/>
          <w:lang w:val="en-US" w:eastAsia="zh-CN"/>
        </w:rPr>
        <w:t>156.1</w:t>
      </w:r>
      <w:r>
        <w:rPr>
          <w:rFonts w:hint="eastAsia" w:cs="仿宋_GB2312"/>
          <w:color w:val="auto"/>
          <w:sz w:val="28"/>
          <w:szCs w:val="28"/>
          <w:highlight w:val="none"/>
          <w:lang w:val="en-US" w:eastAsia="zh-CN"/>
        </w:rPr>
        <w:t>0万元</w:t>
      </w:r>
      <w:r>
        <w:rPr>
          <w:rFonts w:hint="eastAsia" w:ascii="仿宋_GB2312" w:hAnsi="仿宋_GB2312" w:cs="仿宋_GB2312"/>
          <w:color w:val="auto"/>
          <w:sz w:val="28"/>
          <w:szCs w:val="28"/>
          <w:highlight w:val="none"/>
        </w:rPr>
        <w:t>，实际完成指标值为</w:t>
      </w:r>
      <w:r>
        <w:rPr>
          <w:rFonts w:hint="eastAsia" w:ascii="仿宋_GB2312" w:hAnsi="仿宋_GB2312" w:cs="仿宋_GB2312"/>
          <w:color w:val="auto"/>
          <w:sz w:val="28"/>
          <w:szCs w:val="28"/>
          <w:highlight w:val="none"/>
          <w:lang w:val="en-US" w:eastAsia="zh-CN"/>
        </w:rPr>
        <w:t>156.1</w:t>
      </w:r>
      <w:r>
        <w:rPr>
          <w:rFonts w:hint="eastAsia" w:cs="仿宋_GB2312"/>
          <w:color w:val="auto"/>
          <w:sz w:val="28"/>
          <w:szCs w:val="28"/>
          <w:highlight w:val="none"/>
          <w:lang w:val="en-US" w:eastAsia="zh-CN"/>
        </w:rPr>
        <w:t>0万元</w:t>
      </w:r>
      <w:r>
        <w:rPr>
          <w:rFonts w:hint="eastAsia" w:ascii="仿宋_GB2312" w:hAnsi="仿宋_GB2312" w:cs="仿宋_GB2312"/>
          <w:color w:val="auto"/>
          <w:sz w:val="28"/>
          <w:szCs w:val="28"/>
          <w:highlight w:val="none"/>
        </w:rPr>
        <w:t>，指标完成率为</w:t>
      </w:r>
      <w:r>
        <w:rPr>
          <w:rFonts w:hint="eastAsia" w:cs="仿宋_GB2312"/>
          <w:color w:val="auto"/>
          <w:sz w:val="28"/>
          <w:szCs w:val="28"/>
          <w:highlight w:val="none"/>
          <w:lang w:val="en-US" w:eastAsia="zh-CN"/>
        </w:rPr>
        <w:t>100.00</w:t>
      </w: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w:t>
      </w:r>
    </w:p>
    <w:p>
      <w:pPr>
        <w:pageBreakBefore w:val="0"/>
        <w:widowControl w:val="0"/>
        <w:kinsoku/>
        <w:wordWrap/>
        <w:overflowPunct/>
        <w:topLinePunct w:val="0"/>
        <w:autoSpaceDE/>
        <w:autoSpaceDN/>
        <w:bidi w:val="0"/>
        <w:adjustRightInd w:val="0"/>
        <w:snapToGrid w:val="0"/>
        <w:spacing w:before="0"/>
        <w:jc w:val="both"/>
        <w:textAlignment w:val="auto"/>
        <w:outlineLvl w:val="9"/>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w:t>
      </w:r>
      <w:r>
        <w:rPr>
          <w:rFonts w:hint="eastAsia" w:cs="仿宋_GB2312"/>
          <w:color w:val="auto"/>
          <w:highlight w:val="none"/>
          <w:lang w:val="en-US" w:eastAsia="zh-CN"/>
        </w:rPr>
        <w:t>国库集中支付凭证</w:t>
      </w:r>
      <w:r>
        <w:rPr>
          <w:rFonts w:hint="eastAsia" w:ascii="仿宋_GB2312" w:hAnsi="仿宋_GB2312" w:eastAsia="仿宋_GB2312" w:cs="仿宋_GB2312"/>
          <w:color w:val="auto"/>
          <w:highlight w:val="none"/>
          <w:lang w:eastAsia="zh-CN"/>
        </w:rPr>
        <w:t>》</w:t>
      </w:r>
      <w:r>
        <w:rPr>
          <w:rFonts w:hint="eastAsia" w:cs="仿宋_GB2312"/>
          <w:color w:val="auto"/>
          <w:sz w:val="28"/>
          <w:szCs w:val="28"/>
          <w:highlight w:val="none"/>
          <w:lang w:val="en-US" w:eastAsia="zh-CN"/>
        </w:rPr>
        <w:t>。</w:t>
      </w:r>
    </w:p>
    <w:p>
      <w:pPr>
        <w:pageBreakBefore w:val="0"/>
        <w:widowControl w:val="0"/>
        <w:kinsoku/>
        <w:wordWrap/>
        <w:overflowPunct/>
        <w:topLinePunct w:val="0"/>
        <w:autoSpaceDE/>
        <w:autoSpaceDN/>
        <w:bidi w:val="0"/>
        <w:adjustRightInd w:val="0"/>
        <w:snapToGrid w:val="0"/>
        <w:spacing w:before="0"/>
        <w:jc w:val="both"/>
        <w:textAlignment w:val="auto"/>
        <w:outlineLvl w:val="9"/>
        <w:rPr>
          <w:rFonts w:hint="eastAsia" w:ascii="仿宋_GB2312" w:hAnsi="仿宋_GB2312" w:cs="仿宋_GB2312"/>
          <w:color w:val="auto"/>
          <w:sz w:val="28"/>
          <w:szCs w:val="28"/>
          <w:highlight w:val="none"/>
        </w:rPr>
      </w:pPr>
      <w:r>
        <w:rPr>
          <w:rFonts w:hint="eastAsia" w:ascii="仿宋_GB2312" w:cs="仿宋_GB2312"/>
          <w:color w:val="auto"/>
          <w:sz w:val="28"/>
          <w:szCs w:val="28"/>
          <w:highlight w:val="none"/>
        </w:rPr>
        <w:t>本指标满分为</w:t>
      </w:r>
      <w:r>
        <w:rPr>
          <w:rFonts w:hint="eastAsia" w:cs="仿宋_GB2312"/>
          <w:color w:val="auto"/>
          <w:sz w:val="28"/>
          <w:szCs w:val="28"/>
          <w:highlight w:val="none"/>
          <w:lang w:val="en-US" w:eastAsia="zh-CN"/>
        </w:rPr>
        <w:t>4.00</w:t>
      </w:r>
      <w:r>
        <w:rPr>
          <w:rFonts w:hint="eastAsia" w:ascii="仿宋_GB2312" w:cs="仿宋_GB2312"/>
          <w:color w:val="auto"/>
          <w:sz w:val="28"/>
          <w:szCs w:val="28"/>
          <w:highlight w:val="none"/>
        </w:rPr>
        <w:t>分，</w:t>
      </w:r>
      <w:r>
        <w:rPr>
          <w:rFonts w:hint="eastAsia" w:ascii="仿宋_GB2312" w:hAnsi="仿宋_GB2312" w:cs="仿宋_GB2312"/>
          <w:color w:val="auto"/>
          <w:sz w:val="28"/>
          <w:szCs w:val="28"/>
          <w:highlight w:val="none"/>
        </w:rPr>
        <w:t>根据评分标准，该指标得</w:t>
      </w:r>
      <w:r>
        <w:rPr>
          <w:rFonts w:hint="eastAsia" w:cs="仿宋_GB2312"/>
          <w:color w:val="auto"/>
          <w:sz w:val="28"/>
          <w:szCs w:val="28"/>
          <w:highlight w:val="none"/>
          <w:lang w:val="en-US" w:eastAsia="zh-CN"/>
        </w:rPr>
        <w:t>4.00</w:t>
      </w:r>
      <w:r>
        <w:rPr>
          <w:rFonts w:hint="eastAsia" w:ascii="仿宋_GB2312" w:hAnsi="仿宋_GB2312" w:cs="仿宋_GB2312"/>
          <w:color w:val="auto"/>
          <w:sz w:val="28"/>
          <w:szCs w:val="28"/>
          <w:highlight w:val="none"/>
        </w:rPr>
        <w:t>分。</w:t>
      </w:r>
    </w:p>
    <w:p>
      <w:pPr>
        <w:pStyle w:val="6"/>
        <w:bidi w:val="0"/>
        <w:rPr>
          <w:rFonts w:hint="eastAsia" w:ascii="仿宋_GB2312" w:hAnsi="仿宋_GB2312" w:cs="仿宋_GB2312"/>
          <w:color w:val="auto"/>
          <w:sz w:val="32"/>
          <w:highlight w:val="none"/>
        </w:rPr>
      </w:pPr>
      <w:r>
        <w:rPr>
          <w:rFonts w:hint="eastAsia" w:ascii="仿宋_GB2312" w:hAnsi="仿宋_GB2312" w:cs="仿宋_GB2312"/>
          <w:color w:val="auto"/>
          <w:sz w:val="30"/>
          <w:szCs w:val="30"/>
          <w:highlight w:val="none"/>
        </w:rPr>
        <w:t>（四）项目效益情况</w:t>
      </w:r>
    </w:p>
    <w:p>
      <w:pPr>
        <w:keepNext w:val="0"/>
        <w:keepLines w:val="0"/>
        <w:pageBreakBefore w:val="0"/>
        <w:widowControl w:val="0"/>
        <w:kinsoku/>
        <w:wordWrap/>
        <w:overflowPunct/>
        <w:topLinePunct w:val="0"/>
        <w:autoSpaceDE/>
        <w:autoSpaceDN/>
        <w:bidi w:val="0"/>
        <w:adjustRightInd w:val="0"/>
        <w:snapToGrid w:val="0"/>
        <w:textAlignment w:val="auto"/>
        <w:rPr>
          <w:rFonts w:ascii="仿宋_GB2312"/>
          <w:color w:val="auto"/>
          <w:sz w:val="28"/>
          <w:szCs w:val="28"/>
          <w:highlight w:val="none"/>
        </w:rPr>
      </w:pPr>
      <w:r>
        <w:rPr>
          <w:rFonts w:hint="eastAsia"/>
          <w:color w:val="auto"/>
          <w:highlight w:val="none"/>
          <w:lang w:eastAsia="zh-CN"/>
        </w:rPr>
        <w:t>项目效益类指标由</w:t>
      </w:r>
      <w:r>
        <w:rPr>
          <w:rFonts w:hint="eastAsia" w:cs="仿宋_GB2312"/>
          <w:color w:val="auto"/>
          <w:sz w:val="28"/>
          <w:szCs w:val="28"/>
          <w:highlight w:val="none"/>
          <w:lang w:val="en-US" w:eastAsia="zh-CN"/>
        </w:rPr>
        <w:t>3</w:t>
      </w:r>
      <w:r>
        <w:rPr>
          <w:rFonts w:hint="eastAsia"/>
          <w:color w:val="auto"/>
          <w:highlight w:val="none"/>
          <w:lang w:eastAsia="zh-CN"/>
        </w:rPr>
        <w:t>个二级指标和</w:t>
      </w:r>
      <w:r>
        <w:rPr>
          <w:rFonts w:hint="eastAsia" w:cs="仿宋_GB2312"/>
          <w:color w:val="auto"/>
          <w:sz w:val="28"/>
          <w:szCs w:val="28"/>
          <w:highlight w:val="none"/>
          <w:lang w:val="en-US" w:eastAsia="zh-CN"/>
        </w:rPr>
        <w:t>4</w:t>
      </w:r>
      <w:r>
        <w:rPr>
          <w:rFonts w:hint="eastAsia"/>
          <w:color w:val="auto"/>
          <w:highlight w:val="none"/>
          <w:lang w:eastAsia="zh-CN"/>
        </w:rPr>
        <w:t>个三级指标构成</w:t>
      </w:r>
      <w:r>
        <w:rPr>
          <w:rFonts w:hint="eastAsia" w:ascii="仿宋_GB2312" w:cs="仿宋_GB2312"/>
          <w:color w:val="auto"/>
          <w:sz w:val="28"/>
          <w:szCs w:val="28"/>
          <w:highlight w:val="none"/>
        </w:rPr>
        <w:t>，权重分为</w:t>
      </w:r>
      <w:r>
        <w:rPr>
          <w:rFonts w:hint="eastAsia" w:cs="仿宋_GB2312"/>
          <w:color w:val="auto"/>
          <w:sz w:val="28"/>
          <w:szCs w:val="28"/>
          <w:highlight w:val="none"/>
          <w:lang w:val="en-US" w:eastAsia="zh-CN"/>
        </w:rPr>
        <w:t>30.00</w:t>
      </w:r>
      <w:r>
        <w:rPr>
          <w:rFonts w:hint="eastAsia" w:ascii="仿宋_GB2312" w:cs="仿宋_GB2312"/>
          <w:color w:val="auto"/>
          <w:sz w:val="28"/>
          <w:szCs w:val="28"/>
          <w:highlight w:val="none"/>
        </w:rPr>
        <w:t>分，实际得分</w:t>
      </w:r>
      <w:r>
        <w:rPr>
          <w:rFonts w:hint="eastAsia" w:cs="仿宋_GB2312"/>
          <w:color w:val="auto"/>
          <w:sz w:val="28"/>
          <w:szCs w:val="28"/>
          <w:highlight w:val="none"/>
          <w:lang w:val="en-US" w:eastAsia="zh-CN"/>
        </w:rPr>
        <w:t>30.00</w:t>
      </w:r>
      <w:r>
        <w:rPr>
          <w:rFonts w:hint="eastAsia" w:ascii="仿宋_GB2312" w:cs="仿宋_GB2312"/>
          <w:color w:val="auto"/>
          <w:sz w:val="28"/>
          <w:szCs w:val="28"/>
          <w:highlight w:val="none"/>
        </w:rPr>
        <w:t>分，得分率为</w:t>
      </w:r>
      <w:r>
        <w:rPr>
          <w:rFonts w:hint="eastAsia" w:cs="仿宋_GB2312"/>
          <w:color w:val="auto"/>
          <w:sz w:val="28"/>
          <w:szCs w:val="28"/>
          <w:highlight w:val="none"/>
          <w:lang w:val="en-US" w:eastAsia="zh-CN"/>
        </w:rPr>
        <w:t>100.00</w:t>
      </w:r>
      <w:r>
        <w:rPr>
          <w:rFonts w:hint="eastAsia" w:ascii="仿宋_GB2312" w:cs="仿宋_GB2312"/>
          <w:color w:val="auto"/>
          <w:sz w:val="28"/>
          <w:szCs w:val="28"/>
          <w:highlight w:val="none"/>
        </w:rPr>
        <w:t>%。</w:t>
      </w:r>
    </w:p>
    <w:p>
      <w:pPr>
        <w:pStyle w:val="2"/>
        <w:ind w:firstLine="562"/>
        <w:rPr>
          <w:color w:val="auto"/>
          <w:highlight w:val="none"/>
        </w:rPr>
      </w:pPr>
      <w:r>
        <w:rPr>
          <w:rFonts w:hint="eastAsia" w:ascii="仿宋_GB2312" w:hAnsi="仿宋_GB2312" w:cs="仿宋_GB2312"/>
          <w:b/>
          <w:bCs/>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.社会效益完成情况分析</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有效控制艾滋病疫情</w:t>
      </w:r>
      <w:r>
        <w:rPr>
          <w:rFonts w:hint="eastAsia" w:ascii="仿宋_GB2312" w:hAnsi="仿宋_GB2312" w:cs="仿宋_GB2312"/>
          <w:color w:val="auto"/>
          <w:sz w:val="28"/>
          <w:szCs w:val="28"/>
          <w:highlight w:val="none"/>
        </w:rPr>
        <w:t>”指标：预期指标值为</w:t>
      </w:r>
      <w:r>
        <w:rPr>
          <w:rFonts w:hint="eastAsia" w:ascii="仿宋_GB2312" w:hAnsi="仿宋_GB2312" w:cs="仿宋_GB2312"/>
          <w:color w:val="auto"/>
          <w:sz w:val="28"/>
          <w:szCs w:val="28"/>
          <w:highlight w:val="none"/>
          <w:lang w:val="en-US" w:eastAsia="zh-CN"/>
        </w:rPr>
        <w:t>艾滋病疫情处于低流行水平</w:t>
      </w:r>
      <w:r>
        <w:rPr>
          <w:rFonts w:hint="eastAsia" w:ascii="仿宋_GB2312" w:hAnsi="仿宋_GB2312" w:cs="仿宋_GB2312"/>
          <w:color w:val="auto"/>
          <w:sz w:val="28"/>
          <w:szCs w:val="28"/>
          <w:highlight w:val="none"/>
        </w:rPr>
        <w:t>，实际完成指标值为</w:t>
      </w:r>
      <w:r>
        <w:rPr>
          <w:rFonts w:hint="eastAsia" w:cs="仿宋_GB2312"/>
          <w:color w:val="auto"/>
          <w:sz w:val="28"/>
          <w:szCs w:val="28"/>
          <w:highlight w:val="none"/>
          <w:lang w:val="en-US" w:eastAsia="zh-CN"/>
        </w:rPr>
        <w:t>达成年度指标</w:t>
      </w:r>
      <w:r>
        <w:rPr>
          <w:rFonts w:hint="eastAsia" w:ascii="仿宋_GB2312" w:hAnsi="仿宋_GB2312" w:cs="仿宋_GB2312"/>
          <w:color w:val="auto"/>
          <w:sz w:val="28"/>
          <w:szCs w:val="28"/>
          <w:highlight w:val="none"/>
        </w:rPr>
        <w:t>，指标完成率为</w:t>
      </w:r>
      <w:r>
        <w:rPr>
          <w:rFonts w:hint="eastAsia" w:cs="仿宋_GB2312"/>
          <w:color w:val="auto"/>
          <w:sz w:val="28"/>
          <w:szCs w:val="28"/>
          <w:highlight w:val="none"/>
          <w:lang w:val="en-US" w:eastAsia="zh-CN"/>
        </w:rPr>
        <w:t>100.00</w:t>
      </w:r>
      <w:r>
        <w:rPr>
          <w:rFonts w:hint="eastAsia" w:ascii="仿宋_GB2312" w:hAnsi="仿宋_GB2312" w:cs="仿宋_GB2312"/>
          <w:color w:val="auto"/>
          <w:sz w:val="28"/>
          <w:szCs w:val="28"/>
          <w:highlight w:val="none"/>
        </w:rPr>
        <w:t>%</w:t>
      </w:r>
      <w:r>
        <w:rPr>
          <w:rFonts w:hint="eastAsia"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w:t>
      </w:r>
      <w:r>
        <w:rPr>
          <w:rFonts w:hint="eastAsia" w:cs="仿宋_GB2312"/>
          <w:color w:val="auto"/>
          <w:highlight w:val="none"/>
          <w:lang w:val="en-US" w:eastAsia="zh-CN"/>
        </w:rPr>
        <w:t>满意度调查问卷</w:t>
      </w:r>
      <w:r>
        <w:rPr>
          <w:rFonts w:hint="eastAsia" w:ascii="仿宋_GB2312" w:hAnsi="仿宋_GB2312" w:eastAsia="仿宋_GB2312" w:cs="仿宋_GB2312"/>
          <w:color w:val="auto"/>
          <w:highlight w:val="none"/>
          <w:lang w:eastAsia="zh-CN"/>
        </w:rPr>
        <w:t>》</w:t>
      </w:r>
      <w:r>
        <w:rPr>
          <w:rFonts w:hint="eastAsia"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eastAsia="zh-CN"/>
        </w:rPr>
        <w:t>本指标满分为</w:t>
      </w:r>
      <w:r>
        <w:rPr>
          <w:rFonts w:hint="eastAsia" w:ascii="仿宋_GB2312" w:hAnsi="仿宋_GB2312" w:cs="仿宋_GB2312"/>
          <w:color w:val="auto"/>
          <w:sz w:val="28"/>
          <w:szCs w:val="28"/>
          <w:highlight w:val="none"/>
          <w:lang w:val="en-US" w:eastAsia="zh-CN"/>
        </w:rPr>
        <w:t>10.00</w:t>
      </w:r>
      <w:r>
        <w:rPr>
          <w:rFonts w:hint="eastAsia" w:ascii="仿宋_GB2312" w:hAnsi="仿宋_GB2312" w:cs="仿宋_GB2312"/>
          <w:color w:val="auto"/>
          <w:sz w:val="28"/>
          <w:szCs w:val="28"/>
          <w:highlight w:val="none"/>
          <w:lang w:eastAsia="zh-CN"/>
        </w:rPr>
        <w:t>分，根据评分标准，该指标得</w:t>
      </w:r>
      <w:r>
        <w:rPr>
          <w:rFonts w:hint="eastAsia" w:ascii="仿宋_GB2312" w:hAnsi="仿宋_GB2312" w:cs="仿宋_GB2312"/>
          <w:color w:val="auto"/>
          <w:sz w:val="28"/>
          <w:szCs w:val="28"/>
          <w:highlight w:val="none"/>
          <w:lang w:val="en-US" w:eastAsia="zh-CN"/>
        </w:rPr>
        <w:t>10.00</w:t>
      </w:r>
      <w:r>
        <w:rPr>
          <w:rFonts w:hint="eastAsia" w:ascii="仿宋_GB2312" w:hAnsi="仿宋_GB2312" w:cs="仿宋_GB2312"/>
          <w:color w:val="auto"/>
          <w:sz w:val="28"/>
          <w:szCs w:val="28"/>
          <w:highlight w:val="none"/>
          <w:lang w:eastAsia="zh-CN"/>
        </w:rPr>
        <w:t>分。</w:t>
      </w:r>
    </w:p>
    <w:p>
      <w:pPr>
        <w:pStyle w:val="2"/>
        <w:bidi w:val="0"/>
        <w:rPr>
          <w:rFonts w:hint="eastAsia"/>
          <w:color w:val="auto"/>
          <w:highlight w:val="none"/>
          <w:lang w:val="en-US" w:eastAsia="zh-CN"/>
        </w:rPr>
      </w:pPr>
      <w:r>
        <w:rPr>
          <w:rFonts w:hint="eastAsia" w:ascii="仿宋_GB2312" w:hAnsi="仿宋_GB2312" w:cs="仿宋_GB2312"/>
          <w:color w:val="auto"/>
          <w:highlight w:val="none"/>
          <w:lang w:val="en-US" w:eastAsia="zh-CN"/>
        </w:rPr>
        <w:t>2</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highlight w:val="none"/>
        </w:rPr>
        <w:t>可持续影响完成情况分析</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居民健康水平提高</w:t>
      </w:r>
      <w:r>
        <w:rPr>
          <w:rFonts w:hint="eastAsia" w:ascii="仿宋_GB2312" w:hAnsi="仿宋_GB2312" w:cs="仿宋_GB2312"/>
          <w:color w:val="auto"/>
          <w:sz w:val="28"/>
          <w:szCs w:val="28"/>
          <w:highlight w:val="none"/>
        </w:rPr>
        <w:t>”指标：预期指标值为</w:t>
      </w:r>
      <w:r>
        <w:rPr>
          <w:rFonts w:hint="eastAsia" w:ascii="仿宋_GB2312" w:hAnsi="仿宋_GB2312" w:cs="仿宋_GB2312"/>
          <w:color w:val="auto"/>
          <w:sz w:val="28"/>
          <w:szCs w:val="28"/>
          <w:highlight w:val="none"/>
          <w:lang w:val="en-US" w:eastAsia="zh-CN"/>
        </w:rPr>
        <w:t>中长期</w:t>
      </w:r>
      <w:r>
        <w:rPr>
          <w:rFonts w:hint="eastAsia" w:ascii="仿宋_GB2312" w:hAnsi="仿宋_GB2312" w:cs="仿宋_GB2312"/>
          <w:color w:val="auto"/>
          <w:sz w:val="28"/>
          <w:szCs w:val="28"/>
          <w:highlight w:val="none"/>
        </w:rPr>
        <w:t>，实际完成指标值为</w:t>
      </w:r>
      <w:r>
        <w:rPr>
          <w:rFonts w:hint="eastAsia" w:cs="仿宋_GB2312"/>
          <w:color w:val="auto"/>
          <w:sz w:val="28"/>
          <w:szCs w:val="28"/>
          <w:highlight w:val="none"/>
          <w:lang w:val="en-US" w:eastAsia="zh-CN"/>
        </w:rPr>
        <w:t>达成年度指标</w:t>
      </w:r>
      <w:r>
        <w:rPr>
          <w:rFonts w:hint="eastAsia" w:ascii="仿宋_GB2312" w:hAnsi="仿宋_GB2312" w:cs="仿宋_GB2312"/>
          <w:color w:val="auto"/>
          <w:sz w:val="28"/>
          <w:szCs w:val="28"/>
          <w:highlight w:val="none"/>
        </w:rPr>
        <w:t>，指标完成率为</w:t>
      </w:r>
      <w:r>
        <w:rPr>
          <w:rFonts w:hint="eastAsia" w:cs="仿宋_GB2312"/>
          <w:color w:val="auto"/>
          <w:sz w:val="28"/>
          <w:szCs w:val="28"/>
          <w:highlight w:val="none"/>
          <w:lang w:val="en-US" w:eastAsia="zh-CN"/>
        </w:rPr>
        <w:t>100.00</w:t>
      </w: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w:t>
      </w:r>
      <w:r>
        <w:rPr>
          <w:rFonts w:hint="eastAsia" w:cs="仿宋_GB2312"/>
          <w:color w:val="auto"/>
          <w:highlight w:val="none"/>
          <w:lang w:val="en-US" w:eastAsia="zh-CN"/>
        </w:rPr>
        <w:t>满意度调查问卷</w:t>
      </w:r>
      <w:r>
        <w:rPr>
          <w:rFonts w:hint="eastAsia" w:ascii="仿宋_GB2312" w:hAnsi="仿宋_GB2312" w:eastAsia="仿宋_GB2312" w:cs="仿宋_GB2312"/>
          <w:color w:val="auto"/>
          <w:highlight w:val="none"/>
          <w:lang w:eastAsia="zh-CN"/>
        </w:rPr>
        <w:t>》</w:t>
      </w:r>
      <w:r>
        <w:rPr>
          <w:rFonts w:hint="eastAsia"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eastAsia="zh-CN"/>
        </w:rPr>
        <w:t>本指标满分为</w:t>
      </w:r>
      <w:r>
        <w:rPr>
          <w:rFonts w:hint="eastAsia" w:cs="仿宋_GB2312"/>
          <w:color w:val="auto"/>
          <w:sz w:val="28"/>
          <w:szCs w:val="28"/>
          <w:highlight w:val="none"/>
          <w:lang w:val="en-US" w:eastAsia="zh-CN"/>
        </w:rPr>
        <w:t>5.00</w:t>
      </w:r>
      <w:r>
        <w:rPr>
          <w:rFonts w:hint="eastAsia" w:cs="仿宋_GB2312"/>
          <w:color w:val="auto"/>
          <w:sz w:val="28"/>
          <w:szCs w:val="28"/>
          <w:highlight w:val="none"/>
          <w:lang w:eastAsia="zh-CN"/>
        </w:rPr>
        <w:t>分，根据评分标准，该指标得</w:t>
      </w:r>
      <w:r>
        <w:rPr>
          <w:rFonts w:hint="eastAsia" w:cs="仿宋_GB2312"/>
          <w:color w:val="auto"/>
          <w:sz w:val="28"/>
          <w:szCs w:val="28"/>
          <w:highlight w:val="none"/>
          <w:lang w:val="en-US" w:eastAsia="zh-CN"/>
        </w:rPr>
        <w:t>5.00</w:t>
      </w:r>
      <w:r>
        <w:rPr>
          <w:rFonts w:hint="eastAsia" w:cs="仿宋_GB2312"/>
          <w:color w:val="auto"/>
          <w:sz w:val="28"/>
          <w:szCs w:val="28"/>
          <w:highlight w:val="none"/>
          <w:lang w:eastAsia="zh-CN"/>
        </w:rPr>
        <w:t>分。</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公共卫生均等化水平提高</w:t>
      </w:r>
      <w:r>
        <w:rPr>
          <w:rFonts w:hint="eastAsia" w:ascii="仿宋_GB2312" w:hAnsi="仿宋_GB2312" w:cs="仿宋_GB2312"/>
          <w:color w:val="auto"/>
          <w:sz w:val="28"/>
          <w:szCs w:val="28"/>
          <w:highlight w:val="none"/>
        </w:rPr>
        <w:t>”指标：预期指标值为</w:t>
      </w:r>
      <w:r>
        <w:rPr>
          <w:rFonts w:hint="eastAsia" w:ascii="仿宋_GB2312" w:hAnsi="仿宋_GB2312" w:cs="仿宋_GB2312"/>
          <w:color w:val="auto"/>
          <w:sz w:val="28"/>
          <w:szCs w:val="28"/>
          <w:highlight w:val="none"/>
          <w:lang w:val="en-US" w:eastAsia="zh-CN"/>
        </w:rPr>
        <w:t>中长期</w:t>
      </w:r>
      <w:r>
        <w:rPr>
          <w:rFonts w:hint="eastAsia" w:ascii="仿宋_GB2312" w:hAnsi="仿宋_GB2312" w:cs="仿宋_GB2312"/>
          <w:color w:val="auto"/>
          <w:sz w:val="28"/>
          <w:szCs w:val="28"/>
          <w:highlight w:val="none"/>
        </w:rPr>
        <w:t>，实际完成指标值为</w:t>
      </w:r>
      <w:r>
        <w:rPr>
          <w:rFonts w:hint="eastAsia" w:cs="仿宋_GB2312"/>
          <w:color w:val="auto"/>
          <w:sz w:val="28"/>
          <w:szCs w:val="28"/>
          <w:highlight w:val="none"/>
          <w:lang w:val="en-US" w:eastAsia="zh-CN"/>
        </w:rPr>
        <w:t>达成年度指标</w:t>
      </w:r>
      <w:r>
        <w:rPr>
          <w:rFonts w:hint="eastAsia" w:ascii="仿宋_GB2312" w:hAnsi="仿宋_GB2312" w:cs="仿宋_GB2312"/>
          <w:color w:val="auto"/>
          <w:sz w:val="28"/>
          <w:szCs w:val="28"/>
          <w:highlight w:val="none"/>
        </w:rPr>
        <w:t>，指标完成率为</w:t>
      </w:r>
      <w:r>
        <w:rPr>
          <w:rFonts w:hint="eastAsia" w:cs="仿宋_GB2312"/>
          <w:color w:val="auto"/>
          <w:sz w:val="28"/>
          <w:szCs w:val="28"/>
          <w:highlight w:val="none"/>
          <w:lang w:val="en-US" w:eastAsia="zh-CN"/>
        </w:rPr>
        <w:t>100.00</w:t>
      </w: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w:t>
      </w:r>
      <w:r>
        <w:rPr>
          <w:rFonts w:hint="eastAsia" w:cs="仿宋_GB2312"/>
          <w:color w:val="auto"/>
          <w:highlight w:val="none"/>
          <w:lang w:val="en-US" w:eastAsia="zh-CN"/>
        </w:rPr>
        <w:t>满意度调查问卷</w:t>
      </w:r>
      <w:r>
        <w:rPr>
          <w:rFonts w:hint="eastAsia" w:ascii="仿宋_GB2312" w:hAnsi="仿宋_GB2312" w:eastAsia="仿宋_GB2312" w:cs="仿宋_GB2312"/>
          <w:color w:val="auto"/>
          <w:highlight w:val="none"/>
          <w:lang w:eastAsia="zh-CN"/>
        </w:rPr>
        <w:t>》</w:t>
      </w:r>
      <w:r>
        <w:rPr>
          <w:rFonts w:hint="eastAsia"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eastAsia="zh-CN"/>
        </w:rPr>
      </w:pPr>
      <w:r>
        <w:rPr>
          <w:rFonts w:hint="eastAsia" w:cs="仿宋_GB2312"/>
          <w:color w:val="auto"/>
          <w:sz w:val="28"/>
          <w:szCs w:val="28"/>
          <w:highlight w:val="none"/>
          <w:lang w:eastAsia="zh-CN"/>
        </w:rPr>
        <w:t>本指标满分为</w:t>
      </w:r>
      <w:r>
        <w:rPr>
          <w:rFonts w:hint="eastAsia" w:cs="仿宋_GB2312"/>
          <w:color w:val="auto"/>
          <w:sz w:val="28"/>
          <w:szCs w:val="28"/>
          <w:highlight w:val="none"/>
          <w:lang w:val="en-US" w:eastAsia="zh-CN"/>
        </w:rPr>
        <w:t>5.00</w:t>
      </w:r>
      <w:r>
        <w:rPr>
          <w:rFonts w:hint="eastAsia" w:cs="仿宋_GB2312"/>
          <w:color w:val="auto"/>
          <w:sz w:val="28"/>
          <w:szCs w:val="28"/>
          <w:highlight w:val="none"/>
          <w:lang w:eastAsia="zh-CN"/>
        </w:rPr>
        <w:t>分，根据评分标准，该指标得</w:t>
      </w:r>
      <w:r>
        <w:rPr>
          <w:rFonts w:hint="eastAsia" w:cs="仿宋_GB2312"/>
          <w:color w:val="auto"/>
          <w:sz w:val="28"/>
          <w:szCs w:val="28"/>
          <w:highlight w:val="none"/>
          <w:lang w:val="en-US" w:eastAsia="zh-CN"/>
        </w:rPr>
        <w:t>5.00</w:t>
      </w:r>
      <w:r>
        <w:rPr>
          <w:rFonts w:hint="eastAsia" w:cs="仿宋_GB2312"/>
          <w:color w:val="auto"/>
          <w:sz w:val="28"/>
          <w:szCs w:val="28"/>
          <w:highlight w:val="none"/>
          <w:lang w:eastAsia="zh-CN"/>
        </w:rPr>
        <w:t>分。</w:t>
      </w:r>
    </w:p>
    <w:p>
      <w:pPr>
        <w:pStyle w:val="2"/>
        <w:bidi w:val="0"/>
        <w:rPr>
          <w:rFonts w:hint="eastAsia"/>
          <w:color w:val="auto"/>
          <w:highlight w:val="none"/>
          <w:lang w:val="en-US" w:eastAsia="zh-CN"/>
        </w:rPr>
      </w:pPr>
      <w:r>
        <w:rPr>
          <w:rFonts w:hint="eastAsia" w:ascii="仿宋_GB2312" w:hAnsi="仿宋_GB2312" w:cs="仿宋_GB2312"/>
          <w:color w:val="auto"/>
          <w:highlight w:val="none"/>
          <w:lang w:val="en-US" w:eastAsia="zh-CN"/>
        </w:rPr>
        <w:t>3</w:t>
      </w:r>
      <w:r>
        <w:rPr>
          <w:rFonts w:hint="eastAsia" w:ascii="仿宋_GB2312" w:hAnsi="仿宋_GB2312" w:eastAsia="仿宋_GB2312" w:cs="仿宋_GB2312"/>
          <w:color w:val="auto"/>
          <w:highlight w:val="none"/>
          <w:lang w:val="en-US" w:eastAsia="zh-CN"/>
        </w:rPr>
        <w:t>.满意度指标完成情况分析</w:t>
      </w:r>
    </w:p>
    <w:bookmarkEnd w:id="13"/>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受益群众满意度</w:t>
      </w:r>
      <w:r>
        <w:rPr>
          <w:rFonts w:hint="eastAsia" w:ascii="仿宋_GB2312" w:hAnsi="仿宋_GB2312" w:cs="仿宋_GB2312"/>
          <w:color w:val="auto"/>
          <w:sz w:val="28"/>
          <w:szCs w:val="28"/>
          <w:highlight w:val="none"/>
        </w:rPr>
        <w:t>”指标：预期指标值为</w:t>
      </w:r>
      <w:r>
        <w:rPr>
          <w:rFonts w:hint="eastAsia" w:cs="仿宋_GB2312"/>
          <w:color w:val="auto"/>
          <w:sz w:val="28"/>
          <w:szCs w:val="28"/>
          <w:highlight w:val="none"/>
          <w:lang w:val="en-US" w:eastAsia="zh-CN"/>
        </w:rPr>
        <w:t>大于等于</w:t>
      </w:r>
      <w:r>
        <w:rPr>
          <w:rFonts w:hint="eastAsia" w:ascii="仿宋_GB2312" w:hAnsi="仿宋_GB2312" w:cs="仿宋_GB2312"/>
          <w:color w:val="auto"/>
          <w:sz w:val="28"/>
          <w:szCs w:val="28"/>
          <w:highlight w:val="none"/>
          <w:lang w:val="en-US" w:eastAsia="zh-CN"/>
        </w:rPr>
        <w:t>90</w:t>
      </w:r>
      <w:r>
        <w:rPr>
          <w:rFonts w:hint="eastAsia" w:cs="仿宋_GB2312"/>
          <w:color w:val="auto"/>
          <w:sz w:val="28"/>
          <w:szCs w:val="28"/>
          <w:highlight w:val="none"/>
          <w:lang w:val="en-US" w:eastAsia="zh-CN"/>
        </w:rPr>
        <w:t>.00</w:t>
      </w:r>
      <w:r>
        <w:rPr>
          <w:rFonts w:hint="eastAsia" w:ascii="仿宋_GB2312" w:hAnsi="仿宋_GB2312" w:cs="仿宋_GB2312"/>
          <w:color w:val="auto"/>
          <w:sz w:val="28"/>
          <w:szCs w:val="28"/>
          <w:highlight w:val="none"/>
          <w:lang w:val="en-US" w:eastAsia="zh-CN"/>
        </w:rPr>
        <w:t>%</w:t>
      </w:r>
      <w:r>
        <w:rPr>
          <w:rFonts w:hint="eastAsia" w:ascii="仿宋_GB2312" w:hAnsi="仿宋_GB2312" w:cs="仿宋_GB2312"/>
          <w:color w:val="auto"/>
          <w:sz w:val="28"/>
          <w:szCs w:val="28"/>
          <w:highlight w:val="none"/>
        </w:rPr>
        <w:t>，实际完成指标值为</w:t>
      </w:r>
      <w:r>
        <w:rPr>
          <w:rFonts w:hint="eastAsia" w:cs="仿宋_GB2312"/>
          <w:color w:val="auto"/>
          <w:sz w:val="28"/>
          <w:szCs w:val="28"/>
          <w:highlight w:val="none"/>
          <w:lang w:val="en-US" w:eastAsia="zh-CN"/>
        </w:rPr>
        <w:t>93.00</w:t>
      </w:r>
      <w:r>
        <w:rPr>
          <w:rFonts w:hint="eastAsia" w:ascii="仿宋_GB2312" w:hAnsi="仿宋_GB2312" w:cs="仿宋_GB2312"/>
          <w:color w:val="auto"/>
          <w:sz w:val="28"/>
          <w:szCs w:val="28"/>
          <w:highlight w:val="none"/>
          <w:lang w:val="en-US" w:eastAsia="zh-CN"/>
        </w:rPr>
        <w:t>%</w:t>
      </w:r>
      <w:r>
        <w:rPr>
          <w:rFonts w:hint="eastAsia" w:ascii="仿宋_GB2312" w:hAnsi="仿宋_GB2312" w:cs="仿宋_GB2312"/>
          <w:color w:val="auto"/>
          <w:sz w:val="28"/>
          <w:szCs w:val="28"/>
          <w:highlight w:val="none"/>
        </w:rPr>
        <w:t>，指标完成率为</w:t>
      </w:r>
      <w:r>
        <w:rPr>
          <w:rFonts w:hint="eastAsia" w:cs="仿宋_GB2312"/>
          <w:color w:val="auto"/>
          <w:sz w:val="28"/>
          <w:szCs w:val="28"/>
          <w:highlight w:val="none"/>
          <w:lang w:val="en-US" w:eastAsia="zh-CN"/>
        </w:rPr>
        <w:t>100.00</w:t>
      </w:r>
      <w:r>
        <w:rPr>
          <w:rFonts w:hint="eastAsia" w:ascii="仿宋_GB2312" w:hAnsi="仿宋_GB2312" w:cs="仿宋_GB2312"/>
          <w:color w:val="auto"/>
          <w:sz w:val="28"/>
          <w:szCs w:val="28"/>
          <w:highlight w:val="none"/>
        </w:rPr>
        <w:t>%</w:t>
      </w:r>
      <w:r>
        <w:rPr>
          <w:rFonts w:hint="eastAsia" w:ascii="仿宋_GB2312" w:hAnsi="仿宋_GB2312"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该指标佐证材料：</w:t>
      </w:r>
      <w:r>
        <w:rPr>
          <w:rFonts w:hint="eastAsia" w:ascii="仿宋_GB2312" w:hAnsi="仿宋_GB2312" w:eastAsia="仿宋_GB2312" w:cs="仿宋_GB2312"/>
          <w:color w:val="auto"/>
          <w:highlight w:val="none"/>
          <w:lang w:eastAsia="zh-CN"/>
        </w:rPr>
        <w:t>《</w:t>
      </w:r>
      <w:r>
        <w:rPr>
          <w:rFonts w:hint="eastAsia" w:cs="仿宋_GB2312"/>
          <w:color w:val="auto"/>
          <w:highlight w:val="none"/>
          <w:lang w:val="en-US" w:eastAsia="zh-CN"/>
        </w:rPr>
        <w:t>满意度调查问卷</w:t>
      </w:r>
      <w:r>
        <w:rPr>
          <w:rFonts w:hint="eastAsia" w:ascii="仿宋_GB2312" w:hAnsi="仿宋_GB2312" w:eastAsia="仿宋_GB2312" w:cs="仿宋_GB2312"/>
          <w:color w:val="auto"/>
          <w:highlight w:val="none"/>
          <w:lang w:eastAsia="zh-CN"/>
        </w:rPr>
        <w:t>》</w:t>
      </w:r>
      <w:r>
        <w:rPr>
          <w:rFonts w:hint="eastAsia" w:cs="仿宋_GB2312"/>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eastAsia="zh-CN"/>
        </w:rPr>
        <w:t>本指标满分为</w:t>
      </w:r>
      <w:r>
        <w:rPr>
          <w:rFonts w:hint="eastAsia" w:cs="仿宋_GB2312"/>
          <w:color w:val="auto"/>
          <w:sz w:val="28"/>
          <w:szCs w:val="28"/>
          <w:highlight w:val="none"/>
          <w:lang w:val="en-US" w:eastAsia="zh-CN"/>
        </w:rPr>
        <w:t>10.00</w:t>
      </w:r>
      <w:r>
        <w:rPr>
          <w:rFonts w:hint="eastAsia" w:cs="仿宋_GB2312"/>
          <w:color w:val="auto"/>
          <w:sz w:val="28"/>
          <w:szCs w:val="28"/>
          <w:highlight w:val="none"/>
          <w:lang w:eastAsia="zh-CN"/>
        </w:rPr>
        <w:t>分，根据评分标准，该指标得</w:t>
      </w:r>
      <w:r>
        <w:rPr>
          <w:rFonts w:hint="eastAsia" w:cs="仿宋_GB2312"/>
          <w:color w:val="auto"/>
          <w:sz w:val="28"/>
          <w:szCs w:val="28"/>
          <w:highlight w:val="none"/>
          <w:lang w:val="en-US" w:eastAsia="zh-CN"/>
        </w:rPr>
        <w:t>10.00</w:t>
      </w:r>
      <w:r>
        <w:rPr>
          <w:rFonts w:hint="eastAsia" w:cs="仿宋_GB2312"/>
          <w:color w:val="auto"/>
          <w:sz w:val="28"/>
          <w:szCs w:val="28"/>
          <w:highlight w:val="none"/>
          <w:lang w:eastAsia="zh-CN"/>
        </w:rPr>
        <w:t>分。</w:t>
      </w:r>
    </w:p>
    <w:p>
      <w:pPr>
        <w:pStyle w:val="2"/>
        <w:bidi w:val="0"/>
        <w:rPr>
          <w:rFonts w:hint="eastAsia"/>
          <w:color w:val="auto"/>
          <w:highlight w:val="none"/>
          <w:lang w:val="en-US" w:eastAsia="zh-CN"/>
        </w:rPr>
      </w:pPr>
      <w:r>
        <w:rPr>
          <w:rFonts w:hint="eastAsia"/>
          <w:color w:val="auto"/>
          <w:sz w:val="30"/>
          <w:szCs w:val="30"/>
          <w:highlight w:val="none"/>
        </w:rPr>
        <w:t>（</w:t>
      </w:r>
      <w:r>
        <w:rPr>
          <w:rFonts w:hint="eastAsia"/>
          <w:color w:val="auto"/>
          <w:sz w:val="30"/>
          <w:szCs w:val="30"/>
          <w:highlight w:val="none"/>
          <w:lang w:val="en-US" w:eastAsia="zh-CN"/>
        </w:rPr>
        <w:t>五</w:t>
      </w:r>
      <w:r>
        <w:rPr>
          <w:rFonts w:hint="eastAsia"/>
          <w:color w:val="auto"/>
          <w:sz w:val="30"/>
          <w:szCs w:val="30"/>
          <w:highlight w:val="none"/>
        </w:rPr>
        <w:t>）预算执行进度与绩效指标偏差情况</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bookmarkStart w:id="14" w:name="_Toc68364673"/>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cs="仿宋_GB2312"/>
          <w:color w:val="auto"/>
          <w:sz w:val="28"/>
          <w:szCs w:val="28"/>
          <w:highlight w:val="none"/>
          <w:lang w:val="en-US" w:eastAsia="zh-CN"/>
        </w:rPr>
        <w:t>156.10万元，全年执行数为156.10万元，预算执行率为100.00%。</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eastAsia="zh-CN"/>
        </w:rPr>
      </w:pPr>
      <w:r>
        <w:rPr>
          <w:rFonts w:hint="eastAsia" w:cs="仿宋_GB2312"/>
          <w:color w:val="auto"/>
          <w:sz w:val="28"/>
          <w:szCs w:val="28"/>
          <w:highlight w:val="none"/>
          <w:lang w:eastAsia="zh-CN"/>
        </w:rPr>
        <w:t>该项目</w:t>
      </w:r>
      <w:r>
        <w:rPr>
          <w:rFonts w:hint="eastAsia" w:cs="仿宋_GB2312"/>
          <w:color w:val="auto"/>
          <w:sz w:val="28"/>
          <w:szCs w:val="28"/>
          <w:highlight w:val="none"/>
          <w:lang w:val="zh-TW" w:eastAsia="zh-TW"/>
        </w:rPr>
        <w:t>共设置</w:t>
      </w:r>
      <w:r>
        <w:rPr>
          <w:rFonts w:hint="eastAsia" w:cs="仿宋_GB2312"/>
          <w:color w:val="auto"/>
          <w:sz w:val="28"/>
          <w:szCs w:val="28"/>
          <w:highlight w:val="none"/>
          <w:lang w:eastAsia="zh-CN"/>
        </w:rPr>
        <w:t>三级指标数量</w:t>
      </w:r>
      <w:r>
        <w:rPr>
          <w:rFonts w:hint="eastAsia" w:cs="仿宋_GB2312"/>
          <w:color w:val="auto"/>
          <w:sz w:val="28"/>
          <w:szCs w:val="28"/>
          <w:highlight w:val="none"/>
          <w:lang w:val="en-US" w:eastAsia="zh-CN"/>
        </w:rPr>
        <w:t>37</w:t>
      </w:r>
      <w:r>
        <w:rPr>
          <w:rFonts w:hint="eastAsia" w:cs="仿宋_GB2312"/>
          <w:color w:val="auto"/>
          <w:sz w:val="28"/>
          <w:szCs w:val="28"/>
          <w:highlight w:val="none"/>
          <w:lang w:val="zh-TW" w:eastAsia="zh-TW"/>
        </w:rPr>
        <w:t>个，</w:t>
      </w:r>
      <w:r>
        <w:rPr>
          <w:rFonts w:hint="eastAsia" w:cs="仿宋_GB2312"/>
          <w:color w:val="auto"/>
          <w:sz w:val="28"/>
          <w:szCs w:val="28"/>
          <w:highlight w:val="none"/>
          <w:lang w:val="zh-TW" w:eastAsia="zh-CN"/>
        </w:rPr>
        <w:t>满分指标数量</w:t>
      </w:r>
      <w:r>
        <w:rPr>
          <w:rFonts w:hint="eastAsia" w:cs="仿宋_GB2312"/>
          <w:color w:val="auto"/>
          <w:sz w:val="28"/>
          <w:szCs w:val="28"/>
          <w:highlight w:val="none"/>
          <w:lang w:val="en-US" w:eastAsia="zh-CN"/>
        </w:rPr>
        <w:t>37个，扣分指标数量0个，经分析计算所有三级指标完成率得出，该项目</w:t>
      </w:r>
      <w:r>
        <w:rPr>
          <w:rFonts w:hint="eastAsia" w:cs="仿宋_GB2312"/>
          <w:color w:val="auto"/>
          <w:sz w:val="28"/>
          <w:szCs w:val="28"/>
          <w:highlight w:val="none"/>
          <w:lang w:eastAsia="zh-CN"/>
        </w:rPr>
        <w:t>总体完成率为</w:t>
      </w:r>
      <w:r>
        <w:rPr>
          <w:rFonts w:hint="eastAsia" w:cs="仿宋_GB2312"/>
          <w:color w:val="auto"/>
          <w:sz w:val="28"/>
          <w:szCs w:val="28"/>
          <w:highlight w:val="none"/>
          <w:lang w:val="en-US" w:eastAsia="zh-CN"/>
        </w:rPr>
        <w:t>100.00</w:t>
      </w:r>
      <w:r>
        <w:rPr>
          <w:rFonts w:hint="eastAsia" w:cs="仿宋_GB2312"/>
          <w:color w:val="auto"/>
          <w:sz w:val="28"/>
          <w:szCs w:val="28"/>
          <w:highlight w:val="none"/>
          <w:lang w:val="zh-TW" w:eastAsia="zh-TW"/>
        </w:rPr>
        <w:t>%。</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综上所述该项目预算执行率与总体完成率之间的偏差为0.00%。项目</w:t>
      </w:r>
      <w:r>
        <w:rPr>
          <w:rFonts w:hint="eastAsia"/>
          <w:color w:val="auto"/>
          <w:highlight w:val="none"/>
        </w:rPr>
        <w:t>预算执行进度与绩效指标</w:t>
      </w:r>
      <w:r>
        <w:rPr>
          <w:rFonts w:hint="eastAsia"/>
          <w:color w:val="auto"/>
          <w:highlight w:val="none"/>
          <w:lang w:val="en-US" w:eastAsia="zh-CN"/>
        </w:rPr>
        <w:t>完成进度无</w:t>
      </w:r>
      <w:r>
        <w:rPr>
          <w:rFonts w:hint="eastAsia"/>
          <w:color w:val="auto"/>
          <w:highlight w:val="none"/>
        </w:rPr>
        <w:t>偏差</w:t>
      </w:r>
      <w:r>
        <w:rPr>
          <w:rFonts w:hint="eastAsia" w:ascii="仿宋_GB2312" w:hAnsi="仿宋_GB2312" w:cs="仿宋_GB2312"/>
          <w:color w:val="auto"/>
          <w:sz w:val="28"/>
          <w:szCs w:val="28"/>
          <w:highlight w:val="none"/>
        </w:rPr>
        <w:t>。</w:t>
      </w:r>
    </w:p>
    <w:p>
      <w:pPr>
        <w:pStyle w:val="3"/>
        <w:pageBreakBefore w:val="0"/>
        <w:widowControl w:val="0"/>
        <w:kinsoku/>
        <w:wordWrap/>
        <w:overflowPunct/>
        <w:topLinePunct w:val="0"/>
        <w:autoSpaceDE/>
        <w:autoSpaceDN/>
        <w:bidi w:val="0"/>
        <w:adjustRightInd w:val="0"/>
        <w:snapToGrid w:val="0"/>
        <w:spacing w:before="0"/>
        <w:textAlignment w:val="auto"/>
        <w:rPr>
          <w:rFonts w:hint="eastAsia"/>
          <w:color w:val="auto"/>
          <w:highlight w:val="none"/>
          <w:lang w:val="en-US" w:eastAsia="zh-CN"/>
        </w:rPr>
      </w:pPr>
      <w:r>
        <w:rPr>
          <w:rFonts w:hint="eastAsia"/>
          <w:color w:val="auto"/>
          <w:highlight w:val="none"/>
          <w:lang w:val="en-US" w:eastAsia="zh-CN"/>
        </w:rPr>
        <w:t>五、主要经验及做法、存在的问题及原因分析</w:t>
      </w:r>
    </w:p>
    <w:p>
      <w:pPr>
        <w:pStyle w:val="6"/>
        <w:pageBreakBefore w:val="0"/>
        <w:widowControl w:val="0"/>
        <w:kinsoku/>
        <w:wordWrap/>
        <w:overflowPunct/>
        <w:topLinePunct w:val="0"/>
        <w:autoSpaceDE/>
        <w:autoSpaceDN/>
        <w:bidi w:val="0"/>
        <w:adjustRightInd w:val="0"/>
        <w:snapToGrid w:val="0"/>
        <w:spacing w:before="0"/>
        <w:textAlignment w:val="auto"/>
        <w:rPr>
          <w:rFonts w:hint="eastAsia"/>
          <w:color w:val="auto"/>
          <w:highlight w:val="none"/>
        </w:rPr>
      </w:pPr>
      <w:r>
        <w:rPr>
          <w:rFonts w:hint="eastAsia"/>
          <w:color w:val="auto"/>
          <w:highlight w:val="none"/>
        </w:rPr>
        <w:t>（一）主要经验及做法</w:t>
      </w:r>
      <w:bookmarkEnd w:id="14"/>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本单位2022年开展绩效评价项目1个，资金总额156.10万元，资金总量占2022年度本单位预算项目支出的比例100.00%。开展绩效评价的1个项目均实现了2022年度的总体目标。单位领导高度重视本次绩效自评工作的开展，特别是部门预算的执行过程中对资金使用的监督和指导，确保项目资金使用合理、合规。定期召集各部门召开绩效评价讨论会议，积极引导各部门增强绩效评价意识，提高项目绩效指标的科学性和可考核性。项目执行过程中加强项目监管，督促项目进度，确保项目按时按质完成。</w:t>
      </w:r>
    </w:p>
    <w:p>
      <w:pPr>
        <w:pStyle w:val="6"/>
        <w:bidi w:val="0"/>
        <w:rPr>
          <w:rFonts w:hint="eastAsia"/>
          <w:color w:val="auto"/>
          <w:highlight w:val="none"/>
        </w:rPr>
      </w:pPr>
      <w:bookmarkStart w:id="15" w:name="_Toc68364674"/>
      <w:r>
        <w:rPr>
          <w:rFonts w:hint="eastAsia"/>
          <w:color w:val="auto"/>
          <w:highlight w:val="none"/>
        </w:rPr>
        <w:t>（二）存在问题及原因分析</w:t>
      </w:r>
      <w:bookmarkEnd w:id="15"/>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eastAsia="zh-CN"/>
        </w:rPr>
      </w:pPr>
      <w:r>
        <w:rPr>
          <w:rFonts w:hint="eastAsia" w:ascii="仿宋_GB2312" w:hAnsi="仿宋_GB2312" w:cs="仿宋_GB2312"/>
          <w:color w:val="auto"/>
          <w:sz w:val="28"/>
          <w:szCs w:val="28"/>
          <w:highlight w:val="none"/>
          <w:lang w:eastAsia="zh-CN"/>
        </w:rPr>
        <w:t>存在问题：</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eastAsia="zh-CN"/>
        </w:rPr>
      </w:pPr>
      <w:r>
        <w:rPr>
          <w:rFonts w:hint="eastAsia" w:cs="仿宋_GB2312"/>
          <w:color w:val="auto"/>
          <w:sz w:val="28"/>
          <w:szCs w:val="28"/>
          <w:highlight w:val="none"/>
          <w:lang w:val="en-US" w:eastAsia="zh-CN"/>
        </w:rPr>
        <w:t>1.</w:t>
      </w:r>
      <w:r>
        <w:rPr>
          <w:rFonts w:hint="eastAsia" w:ascii="仿宋_GB2312" w:hAnsi="仿宋_GB2312" w:cs="仿宋_GB2312"/>
          <w:color w:val="auto"/>
          <w:sz w:val="28"/>
          <w:szCs w:val="28"/>
          <w:highlight w:val="none"/>
        </w:rPr>
        <w:t>流动儿童存丰免疫薄弱</w:t>
      </w:r>
      <w:r>
        <w:rPr>
          <w:rFonts w:hint="eastAsia" w:cs="仿宋_GB2312"/>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eastAsia="仿宋_GB2312" w:cs="仿宋_GB2312"/>
          <w:color w:val="auto"/>
          <w:sz w:val="28"/>
          <w:szCs w:val="28"/>
          <w:highlight w:val="none"/>
          <w:lang w:eastAsia="zh-CN"/>
        </w:rPr>
      </w:pPr>
      <w:r>
        <w:rPr>
          <w:rFonts w:hint="eastAsia" w:cs="仿宋_GB2312"/>
          <w:color w:val="auto"/>
          <w:sz w:val="28"/>
          <w:szCs w:val="28"/>
          <w:highlight w:val="none"/>
          <w:lang w:val="en-US" w:eastAsia="zh-CN"/>
        </w:rPr>
        <w:t>2.</w:t>
      </w:r>
      <w:r>
        <w:rPr>
          <w:rFonts w:hint="eastAsia" w:ascii="仿宋_GB2312" w:hAnsi="仿宋_GB2312" w:cs="仿宋_GB2312"/>
          <w:color w:val="auto"/>
          <w:sz w:val="28"/>
          <w:szCs w:val="28"/>
          <w:highlight w:val="none"/>
        </w:rPr>
        <w:t>群众传染病防控知识知晓率较差</w:t>
      </w:r>
      <w:r>
        <w:rPr>
          <w:rFonts w:hint="eastAsia" w:cs="仿宋_GB2312"/>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3.</w:t>
      </w:r>
      <w:r>
        <w:rPr>
          <w:rFonts w:hint="eastAsia" w:ascii="仿宋_GB2312" w:hAnsi="仿宋_GB2312" w:cs="仿宋_GB2312"/>
          <w:color w:val="auto"/>
          <w:sz w:val="28"/>
          <w:szCs w:val="28"/>
          <w:highlight w:val="none"/>
          <w:lang w:val="en-US" w:eastAsia="zh-CN"/>
        </w:rPr>
        <w:t>思想认识待提高。当前各单位对绩效评价工作的重视程度还不够，平时不注重收集资料建立工作台账，业财融合不强。</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eastAsia="zh-CN"/>
        </w:rPr>
      </w:pPr>
      <w:r>
        <w:rPr>
          <w:rFonts w:hint="eastAsia" w:ascii="仿宋_GB2312" w:hAnsi="仿宋_GB2312" w:cs="仿宋_GB2312"/>
          <w:color w:val="auto"/>
          <w:sz w:val="28"/>
          <w:szCs w:val="28"/>
          <w:highlight w:val="none"/>
          <w:lang w:eastAsia="zh-CN"/>
        </w:rPr>
        <w:t>原因分析：</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1.</w:t>
      </w:r>
      <w:r>
        <w:rPr>
          <w:rFonts w:hint="eastAsia" w:ascii="仿宋_GB2312" w:hAnsi="仿宋_GB2312" w:cs="仿宋_GB2312"/>
          <w:color w:val="auto"/>
          <w:sz w:val="28"/>
          <w:szCs w:val="28"/>
          <w:highlight w:val="none"/>
        </w:rPr>
        <w:t>随着快速发展和人口的频繁流动，流动儿童的输入使免疫预防工作量急剧上升，由于部</w:t>
      </w:r>
      <w:r>
        <w:rPr>
          <w:rFonts w:hint="eastAsia" w:ascii="仿宋_GB2312" w:hAnsi="仿宋_GB2312" w:cs="仿宋_GB2312"/>
          <w:color w:val="auto"/>
          <w:sz w:val="28"/>
          <w:szCs w:val="28"/>
          <w:highlight w:val="none"/>
          <w:lang w:eastAsia="zh-CN"/>
        </w:rPr>
        <w:t>分</w:t>
      </w:r>
      <w:r>
        <w:rPr>
          <w:rFonts w:hint="eastAsia" w:ascii="仿宋_GB2312" w:hAnsi="仿宋_GB2312" w:cs="仿宋_GB2312"/>
          <w:color w:val="auto"/>
          <w:sz w:val="28"/>
          <w:szCs w:val="28"/>
          <w:highlight w:val="none"/>
        </w:rPr>
        <w:t>外来流动儿童家长对预防接种的重要性认识不足，未能及时建证或从老家来我</w:t>
      </w:r>
      <w:r>
        <w:rPr>
          <w:rFonts w:hint="eastAsia" w:ascii="仿宋_GB2312" w:hAnsi="仿宋_GB2312" w:cs="仿宋_GB2312"/>
          <w:color w:val="auto"/>
          <w:sz w:val="28"/>
          <w:szCs w:val="28"/>
          <w:highlight w:val="none"/>
          <w:lang w:eastAsia="zh-CN"/>
        </w:rPr>
        <w:t>县</w:t>
      </w:r>
      <w:r>
        <w:rPr>
          <w:rFonts w:hint="eastAsia" w:ascii="仿宋_GB2312" w:hAnsi="仿宋_GB2312" w:cs="仿宋_GB2312"/>
          <w:color w:val="auto"/>
          <w:sz w:val="28"/>
          <w:szCs w:val="28"/>
          <w:highlight w:val="none"/>
        </w:rPr>
        <w:t>时不携带预防接种证的现象，从而影响了预防接种部门的后续接种工作，导致我</w:t>
      </w:r>
      <w:r>
        <w:rPr>
          <w:rFonts w:hint="eastAsia" w:ascii="仿宋_GB2312" w:hAnsi="仿宋_GB2312" w:cs="仿宋_GB2312"/>
          <w:color w:val="auto"/>
          <w:sz w:val="28"/>
          <w:szCs w:val="28"/>
          <w:highlight w:val="none"/>
          <w:lang w:eastAsia="zh-CN"/>
        </w:rPr>
        <w:t>县</w:t>
      </w:r>
      <w:r>
        <w:rPr>
          <w:rFonts w:hint="eastAsia" w:ascii="仿宋_GB2312" w:hAnsi="仿宋_GB2312" w:cs="仿宋_GB2312"/>
          <w:color w:val="auto"/>
          <w:sz w:val="28"/>
          <w:szCs w:val="28"/>
          <w:highlight w:val="none"/>
        </w:rPr>
        <w:t>流动儿童存丰免疫薄弱环节。</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2.</w:t>
      </w:r>
      <w:r>
        <w:rPr>
          <w:rFonts w:hint="eastAsia" w:ascii="仿宋_GB2312" w:hAnsi="仿宋_GB2312" w:cs="仿宋_GB2312"/>
          <w:color w:val="auto"/>
          <w:sz w:val="28"/>
          <w:szCs w:val="28"/>
          <w:highlight w:val="none"/>
        </w:rPr>
        <w:t>传染病相关宣传教育形式较单一，宣传材料与物品制作不够丰富与精良，群众参与积极性也不高</w:t>
      </w:r>
      <w:r>
        <w:rPr>
          <w:rFonts w:hint="eastAsia" w:ascii="仿宋_GB2312" w:hAnsi="仿宋_GB2312" w:cs="仿宋_GB2312"/>
          <w:color w:val="auto"/>
          <w:sz w:val="28"/>
          <w:szCs w:val="28"/>
          <w:highlight w:val="none"/>
          <w:lang w:eastAsia="zh-CN"/>
        </w:rPr>
        <w:t>，</w:t>
      </w:r>
      <w:r>
        <w:rPr>
          <w:rFonts w:hint="eastAsia" w:ascii="仿宋_GB2312" w:hAnsi="仿宋_GB2312" w:cs="仿宋_GB2312"/>
          <w:color w:val="auto"/>
          <w:sz w:val="28"/>
          <w:szCs w:val="28"/>
          <w:highlight w:val="none"/>
        </w:rPr>
        <w:t>群众传染病防控知识知晓率有待提高，防控意识有待增强。</w:t>
      </w:r>
    </w:p>
    <w:p>
      <w:pPr>
        <w:pStyle w:val="3"/>
        <w:pageBreakBefore w:val="0"/>
        <w:widowControl w:val="0"/>
        <w:kinsoku/>
        <w:wordWrap/>
        <w:overflowPunct/>
        <w:topLinePunct w:val="0"/>
        <w:autoSpaceDE/>
        <w:autoSpaceDN/>
        <w:bidi w:val="0"/>
        <w:adjustRightInd w:val="0"/>
        <w:snapToGrid w:val="0"/>
        <w:spacing w:before="0"/>
        <w:textAlignment w:val="auto"/>
        <w:rPr>
          <w:rFonts w:hint="eastAsia"/>
          <w:color w:val="auto"/>
          <w:highlight w:val="none"/>
        </w:rPr>
      </w:pPr>
      <w:bookmarkStart w:id="16" w:name="_Toc68364675"/>
      <w:r>
        <w:rPr>
          <w:rFonts w:hint="eastAsia"/>
          <w:color w:val="auto"/>
          <w:highlight w:val="none"/>
          <w:lang w:val="en-US" w:eastAsia="zh-CN"/>
        </w:rPr>
        <w:t>六</w:t>
      </w:r>
      <w:r>
        <w:rPr>
          <w:rFonts w:hint="eastAsia"/>
          <w:color w:val="auto"/>
          <w:highlight w:val="none"/>
        </w:rPr>
        <w:t>、有关建议</w:t>
      </w:r>
      <w:bookmarkEnd w:id="16"/>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eastAsia="zh-CN"/>
        </w:rPr>
      </w:pPr>
      <w:r>
        <w:rPr>
          <w:rFonts w:hint="eastAsia" w:cs="仿宋_GB2312"/>
          <w:color w:val="auto"/>
          <w:sz w:val="28"/>
          <w:szCs w:val="28"/>
          <w:highlight w:val="none"/>
          <w:lang w:val="en-US" w:eastAsia="zh-CN"/>
        </w:rPr>
        <w:t>1.</w:t>
      </w:r>
      <w:r>
        <w:rPr>
          <w:rFonts w:hint="eastAsia" w:ascii="仿宋_GB2312" w:hAnsi="仿宋_GB2312" w:cs="仿宋_GB2312"/>
          <w:color w:val="auto"/>
          <w:sz w:val="28"/>
          <w:szCs w:val="28"/>
          <w:highlight w:val="none"/>
          <w:lang w:eastAsia="zh-CN"/>
        </w:rPr>
        <w:t>应加大预防接种证重要性的宣传，督促家长妥善保管好接种证，同时要完善学校、幼托机构的查验证工作，各基层接种单位要指定专人负责预防接种证查验工作，以有效提高预防接种证的持证率;另一方面，预防接种部门需及时对县内儿童进行摸漏、建卡并做好迁入迁出登记工作，提高建卡率。</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2.</w:t>
      </w:r>
      <w:r>
        <w:rPr>
          <w:rFonts w:hint="eastAsia" w:ascii="仿宋_GB2312" w:hAnsi="仿宋_GB2312" w:cs="仿宋_GB2312"/>
          <w:color w:val="auto"/>
          <w:sz w:val="28"/>
          <w:szCs w:val="28"/>
          <w:highlight w:val="none"/>
          <w:lang w:eastAsia="zh-CN"/>
        </w:rPr>
        <w:t>加强传染病相关宣传教育力度，创新宣传形式和内容采用既新颖又实用的宣传材料与物品，真正迎合群众口味，开展针对性宣传活动，提高群众参与积板性，抓好宣传实效，切实提高群众传染病防控知识知晓率，增强群众传染病防控意识，为我县传染病防控工作奠定良好的群众基础。</w:t>
      </w:r>
    </w:p>
    <w:p>
      <w:pPr>
        <w:pStyle w:val="3"/>
        <w:pageBreakBefore w:val="0"/>
        <w:widowControl w:val="0"/>
        <w:kinsoku/>
        <w:wordWrap/>
        <w:overflowPunct/>
        <w:topLinePunct w:val="0"/>
        <w:autoSpaceDE/>
        <w:autoSpaceDN/>
        <w:bidi w:val="0"/>
        <w:adjustRightInd w:val="0"/>
        <w:snapToGrid w:val="0"/>
        <w:spacing w:before="0"/>
        <w:textAlignment w:val="auto"/>
        <w:rPr>
          <w:rFonts w:hint="eastAsia"/>
          <w:color w:val="auto"/>
          <w:highlight w:val="none"/>
        </w:rPr>
      </w:pPr>
      <w:bookmarkStart w:id="17" w:name="_Toc68364676"/>
      <w:r>
        <w:rPr>
          <w:rFonts w:hint="eastAsia"/>
          <w:color w:val="auto"/>
          <w:highlight w:val="none"/>
          <w:lang w:val="en-US" w:eastAsia="zh-CN"/>
        </w:rPr>
        <w:t>七</w:t>
      </w:r>
      <w:r>
        <w:rPr>
          <w:rFonts w:hint="eastAsia"/>
          <w:color w:val="auto"/>
          <w:highlight w:val="none"/>
        </w:rPr>
        <w:t>、其他需要说明的问题</w:t>
      </w:r>
      <w:bookmarkEnd w:id="17"/>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cs="仿宋_GB2312"/>
          <w:color w:val="auto"/>
          <w:sz w:val="28"/>
          <w:szCs w:val="28"/>
          <w:highlight w:val="none"/>
          <w:lang w:val="en-US" w:eastAsia="zh-CN"/>
        </w:rPr>
      </w:pPr>
      <w:r>
        <w:rPr>
          <w:rFonts w:hint="eastAsia" w:ascii="仿宋_GB2312" w:hAnsi="仿宋_GB2312" w:eastAsia="仿宋_GB2312" w:cs="Times New Roman"/>
          <w:color w:val="auto"/>
          <w:kern w:val="2"/>
          <w:sz w:val="28"/>
          <w:szCs w:val="24"/>
          <w:highlight w:val="none"/>
          <w:lang w:val="en-US" w:eastAsia="zh-CN" w:bidi="ar-SA"/>
        </w:rPr>
        <w:t>（一）</w:t>
      </w:r>
      <w:r>
        <w:rPr>
          <w:rFonts w:hint="eastAsia" w:cs="Times New Roman"/>
          <w:color w:val="auto"/>
          <w:kern w:val="2"/>
          <w:sz w:val="28"/>
          <w:szCs w:val="24"/>
          <w:highlight w:val="none"/>
          <w:lang w:val="en-US" w:eastAsia="zh-CN" w:bidi="ar-SA"/>
        </w:rPr>
        <w:t>该项目</w:t>
      </w:r>
      <w:r>
        <w:rPr>
          <w:rFonts w:hint="eastAsia" w:ascii="仿宋_GB2312" w:hAnsi="仿宋_GB2312" w:eastAsia="仿宋_GB2312" w:cs="Times New Roman"/>
          <w:color w:val="auto"/>
          <w:kern w:val="2"/>
          <w:sz w:val="28"/>
          <w:szCs w:val="24"/>
          <w:highlight w:val="none"/>
          <w:lang w:val="en-US" w:eastAsia="zh-CN" w:bidi="ar-SA"/>
        </w:rPr>
        <w:t>部分间接产生的效果无法准确在短期内衡量，因此很难认定项目产生的全部效果。通过指标来反映绩效，指标的科学性和全</w:t>
      </w:r>
      <w:r>
        <w:rPr>
          <w:rFonts w:hint="eastAsia" w:ascii="仿宋_GB2312" w:hAnsi="仿宋_GB2312" w:cs="仿宋_GB2312"/>
          <w:color w:val="auto"/>
          <w:sz w:val="28"/>
          <w:szCs w:val="28"/>
          <w:highlight w:val="none"/>
          <w:lang w:val="en-US" w:eastAsia="zh-CN"/>
        </w:rPr>
        <w:t>面性需要不断地完善和研究。</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（二）评价结果作为安排政府预算、完善政策和改进管理的重要依据。原则上，对评价等级为优、良的，根据情况予以支持；对评价等级为中、差的，要完善政策、改进管理，根据情况核减预算。</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（三）评价结果分别编入政府决算和部门预算，报送本级人民代表大会常务委员会，并依法予以公开。</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_GB2312" w:hAnsi="仿宋_GB2312" w:cs="仿宋_GB2312"/>
          <w:color w:val="auto"/>
          <w:sz w:val="28"/>
          <w:szCs w:val="28"/>
          <w:highlight w:val="none"/>
          <w:lang w:eastAsia="zh-CN"/>
        </w:rPr>
      </w:pPr>
      <w:r>
        <w:rPr>
          <w:rFonts w:hint="eastAsia" w:ascii="仿宋_GB2312" w:hAnsi="仿宋_GB2312" w:cs="仿宋_GB2312"/>
          <w:color w:val="auto"/>
          <w:sz w:val="28"/>
          <w:szCs w:val="28"/>
          <w:highlight w:val="none"/>
          <w:lang w:val="en-US" w:eastAsia="zh-CN"/>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7" w:type="default"/>
      <w:pgSz w:w="11906" w:h="16838"/>
      <w:pgMar w:top="1440" w:right="1800"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jc w:val="center"/>
    </w:pPr>
    <w:r>
      <w:fldChar w:fldCharType="begin"/>
    </w:r>
    <w:r>
      <w:instrText xml:space="preserve"> PAGE   \* MERGEFORMAT </w:instrText>
    </w:r>
    <w:r>
      <w:fldChar w:fldCharType="separate"/>
    </w:r>
    <w:r>
      <w:rPr>
        <w:lang w:val="zh-CN"/>
      </w:rPr>
      <w:t>14</w:t>
    </w:r>
    <w:r>
      <w:fldChar w:fldCharType="end"/>
    </w:r>
  </w:p>
  <w:p>
    <w:pPr>
      <w:pStyle w:val="1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tabs>
        <w:tab w:val="left" w:pos="5165"/>
      </w:tabs>
      <w:ind w:firstLine="360"/>
      <w:jc w:val="left"/>
      <w:rPr>
        <w:rFonts w:hint="eastAsia" w:eastAsia="仿宋_GB2312"/>
        <w:lang w:eastAsia="zh-CN"/>
      </w:rPr>
    </w:pPr>
    <w:r>
      <w:rPr>
        <w:rFonts w:hint="eastAsia"/>
        <w:lang w:eastAsia="zh-CN"/>
      </w:rPr>
      <w:tab/>
    </w:r>
    <w:r>
      <w:rPr>
        <w:rFonts w:hint="eastAsia"/>
        <w:lang w:eastAsia="zh-C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hMWUxYTJiMmM5NzhhMDg5NWU0Y2Y4MTU0YmNlYmEifQ=="/>
    <w:docVar w:name="KSO_WPS_MARK_KEY" w:val="42d412d1-3c83-40fa-808f-2ea5d258aafe"/>
  </w:docVars>
  <w:rsids>
    <w:rsidRoot w:val="001342B0"/>
    <w:rsid w:val="00005CFE"/>
    <w:rsid w:val="00025C7B"/>
    <w:rsid w:val="00026D68"/>
    <w:rsid w:val="000919F8"/>
    <w:rsid w:val="000B0A47"/>
    <w:rsid w:val="000B4C90"/>
    <w:rsid w:val="000B7456"/>
    <w:rsid w:val="000F19ED"/>
    <w:rsid w:val="00116F13"/>
    <w:rsid w:val="00133529"/>
    <w:rsid w:val="001342B0"/>
    <w:rsid w:val="0013699F"/>
    <w:rsid w:val="00154AB1"/>
    <w:rsid w:val="001A713D"/>
    <w:rsid w:val="001B62E9"/>
    <w:rsid w:val="00237098"/>
    <w:rsid w:val="00265B5F"/>
    <w:rsid w:val="002810A8"/>
    <w:rsid w:val="00287087"/>
    <w:rsid w:val="00291543"/>
    <w:rsid w:val="002A6447"/>
    <w:rsid w:val="002C0FA1"/>
    <w:rsid w:val="0030133E"/>
    <w:rsid w:val="003421D6"/>
    <w:rsid w:val="00355C5B"/>
    <w:rsid w:val="003801D3"/>
    <w:rsid w:val="003B13F4"/>
    <w:rsid w:val="003B55A8"/>
    <w:rsid w:val="003C2470"/>
    <w:rsid w:val="003D17D0"/>
    <w:rsid w:val="00417BA8"/>
    <w:rsid w:val="00417E0C"/>
    <w:rsid w:val="00450017"/>
    <w:rsid w:val="004550E0"/>
    <w:rsid w:val="0046425B"/>
    <w:rsid w:val="00492B85"/>
    <w:rsid w:val="004B1048"/>
    <w:rsid w:val="004D6CA3"/>
    <w:rsid w:val="004E66D0"/>
    <w:rsid w:val="0051444F"/>
    <w:rsid w:val="00537022"/>
    <w:rsid w:val="005604A7"/>
    <w:rsid w:val="005B7ABC"/>
    <w:rsid w:val="006156C6"/>
    <w:rsid w:val="00670E7D"/>
    <w:rsid w:val="00686622"/>
    <w:rsid w:val="006C4138"/>
    <w:rsid w:val="006F5848"/>
    <w:rsid w:val="00741A55"/>
    <w:rsid w:val="00756F99"/>
    <w:rsid w:val="0075701C"/>
    <w:rsid w:val="00761699"/>
    <w:rsid w:val="00785978"/>
    <w:rsid w:val="007A458B"/>
    <w:rsid w:val="007B592C"/>
    <w:rsid w:val="007C5576"/>
    <w:rsid w:val="007E3373"/>
    <w:rsid w:val="007E6959"/>
    <w:rsid w:val="007F4E7A"/>
    <w:rsid w:val="00837D40"/>
    <w:rsid w:val="00847863"/>
    <w:rsid w:val="008667CD"/>
    <w:rsid w:val="008715CB"/>
    <w:rsid w:val="00872BF6"/>
    <w:rsid w:val="008743A9"/>
    <w:rsid w:val="00897964"/>
    <w:rsid w:val="008B1EB6"/>
    <w:rsid w:val="008D4040"/>
    <w:rsid w:val="008D5B06"/>
    <w:rsid w:val="008E4324"/>
    <w:rsid w:val="008E5601"/>
    <w:rsid w:val="008F227E"/>
    <w:rsid w:val="008F4A33"/>
    <w:rsid w:val="009238D0"/>
    <w:rsid w:val="00936189"/>
    <w:rsid w:val="0098633B"/>
    <w:rsid w:val="009D623D"/>
    <w:rsid w:val="00A16AD6"/>
    <w:rsid w:val="00A51218"/>
    <w:rsid w:val="00A87773"/>
    <w:rsid w:val="00A87988"/>
    <w:rsid w:val="00AD265F"/>
    <w:rsid w:val="00AF1303"/>
    <w:rsid w:val="00AF2068"/>
    <w:rsid w:val="00B11C14"/>
    <w:rsid w:val="00B16647"/>
    <w:rsid w:val="00B17847"/>
    <w:rsid w:val="00B45788"/>
    <w:rsid w:val="00B856EE"/>
    <w:rsid w:val="00B91B13"/>
    <w:rsid w:val="00BA7121"/>
    <w:rsid w:val="00BE1476"/>
    <w:rsid w:val="00C4247B"/>
    <w:rsid w:val="00C47700"/>
    <w:rsid w:val="00C52F11"/>
    <w:rsid w:val="00C64E44"/>
    <w:rsid w:val="00C6680C"/>
    <w:rsid w:val="00C72D08"/>
    <w:rsid w:val="00CB269E"/>
    <w:rsid w:val="00CB538F"/>
    <w:rsid w:val="00CC15C5"/>
    <w:rsid w:val="00CE14D6"/>
    <w:rsid w:val="00D148F8"/>
    <w:rsid w:val="00D24B1A"/>
    <w:rsid w:val="00D3450F"/>
    <w:rsid w:val="00D35E67"/>
    <w:rsid w:val="00D52221"/>
    <w:rsid w:val="00D524CD"/>
    <w:rsid w:val="00D92BBE"/>
    <w:rsid w:val="00DA32AB"/>
    <w:rsid w:val="00DD56B6"/>
    <w:rsid w:val="00DE4B68"/>
    <w:rsid w:val="00E339F5"/>
    <w:rsid w:val="00E846CC"/>
    <w:rsid w:val="00EC4DD7"/>
    <w:rsid w:val="00F03527"/>
    <w:rsid w:val="00F07EB6"/>
    <w:rsid w:val="00F440E1"/>
    <w:rsid w:val="00F46472"/>
    <w:rsid w:val="00F62E86"/>
    <w:rsid w:val="00F67CD3"/>
    <w:rsid w:val="00F76D7A"/>
    <w:rsid w:val="00FC57E4"/>
    <w:rsid w:val="00FF1809"/>
    <w:rsid w:val="00FF386B"/>
    <w:rsid w:val="048D63DA"/>
    <w:rsid w:val="04C224AF"/>
    <w:rsid w:val="07162D59"/>
    <w:rsid w:val="0B662A8B"/>
    <w:rsid w:val="0E115D21"/>
    <w:rsid w:val="0ED63EFE"/>
    <w:rsid w:val="12A777E3"/>
    <w:rsid w:val="144E4FB2"/>
    <w:rsid w:val="1483582A"/>
    <w:rsid w:val="148E2C16"/>
    <w:rsid w:val="15DC2F8F"/>
    <w:rsid w:val="16462202"/>
    <w:rsid w:val="17B0525B"/>
    <w:rsid w:val="17C84600"/>
    <w:rsid w:val="1872056B"/>
    <w:rsid w:val="18DF2568"/>
    <w:rsid w:val="19D21766"/>
    <w:rsid w:val="19FA0A0A"/>
    <w:rsid w:val="1AFC2354"/>
    <w:rsid w:val="1C8D377B"/>
    <w:rsid w:val="1CC25AC1"/>
    <w:rsid w:val="1F41065E"/>
    <w:rsid w:val="1F5E5940"/>
    <w:rsid w:val="1FC93C72"/>
    <w:rsid w:val="20931C4F"/>
    <w:rsid w:val="23386ADD"/>
    <w:rsid w:val="246E43DE"/>
    <w:rsid w:val="24C543A1"/>
    <w:rsid w:val="278B17FF"/>
    <w:rsid w:val="28C36E95"/>
    <w:rsid w:val="291B2D86"/>
    <w:rsid w:val="29756836"/>
    <w:rsid w:val="2BD30AC2"/>
    <w:rsid w:val="2C3A068B"/>
    <w:rsid w:val="2D5D6D46"/>
    <w:rsid w:val="2E3C3F3C"/>
    <w:rsid w:val="300A1927"/>
    <w:rsid w:val="30890005"/>
    <w:rsid w:val="328E3F0E"/>
    <w:rsid w:val="33196FD0"/>
    <w:rsid w:val="33D44600"/>
    <w:rsid w:val="33E0074A"/>
    <w:rsid w:val="3619732E"/>
    <w:rsid w:val="3641091F"/>
    <w:rsid w:val="36436E94"/>
    <w:rsid w:val="3679235F"/>
    <w:rsid w:val="37474BD1"/>
    <w:rsid w:val="391334D5"/>
    <w:rsid w:val="3A7B3A28"/>
    <w:rsid w:val="3C173D58"/>
    <w:rsid w:val="3C867C64"/>
    <w:rsid w:val="3D2F4655"/>
    <w:rsid w:val="3E0D067E"/>
    <w:rsid w:val="3ED31742"/>
    <w:rsid w:val="3F5A215C"/>
    <w:rsid w:val="40B85627"/>
    <w:rsid w:val="414C006D"/>
    <w:rsid w:val="43A22863"/>
    <w:rsid w:val="444F6ED4"/>
    <w:rsid w:val="45E146B6"/>
    <w:rsid w:val="48621D83"/>
    <w:rsid w:val="488F6DDC"/>
    <w:rsid w:val="49C65F8F"/>
    <w:rsid w:val="4A9F590E"/>
    <w:rsid w:val="4B640B36"/>
    <w:rsid w:val="4D1A2C2C"/>
    <w:rsid w:val="4D4359BD"/>
    <w:rsid w:val="4D477799"/>
    <w:rsid w:val="4D986E76"/>
    <w:rsid w:val="4DEE5E67"/>
    <w:rsid w:val="4ED45435"/>
    <w:rsid w:val="5118391C"/>
    <w:rsid w:val="511F22DC"/>
    <w:rsid w:val="55361EEC"/>
    <w:rsid w:val="59D920E0"/>
    <w:rsid w:val="59D95C1D"/>
    <w:rsid w:val="59F635E5"/>
    <w:rsid w:val="5D9A42D7"/>
    <w:rsid w:val="5E1611EE"/>
    <w:rsid w:val="5EF30339"/>
    <w:rsid w:val="60354FCA"/>
    <w:rsid w:val="60ED624D"/>
    <w:rsid w:val="61C5388E"/>
    <w:rsid w:val="63DF0C12"/>
    <w:rsid w:val="641066DF"/>
    <w:rsid w:val="65440F0D"/>
    <w:rsid w:val="68626BB5"/>
    <w:rsid w:val="688F11A6"/>
    <w:rsid w:val="68CB3EE2"/>
    <w:rsid w:val="6A9A6D03"/>
    <w:rsid w:val="6AB46016"/>
    <w:rsid w:val="6AFB4E62"/>
    <w:rsid w:val="6B152EF8"/>
    <w:rsid w:val="6B7151BE"/>
    <w:rsid w:val="6BD557F0"/>
    <w:rsid w:val="706D25FF"/>
    <w:rsid w:val="718669C1"/>
    <w:rsid w:val="71AC7DA0"/>
    <w:rsid w:val="71F27E7A"/>
    <w:rsid w:val="71F95FA5"/>
    <w:rsid w:val="71FB3BAB"/>
    <w:rsid w:val="73FE42D1"/>
    <w:rsid w:val="74212243"/>
    <w:rsid w:val="758B1B47"/>
    <w:rsid w:val="77512E3F"/>
    <w:rsid w:val="77DF3E81"/>
    <w:rsid w:val="782A7918"/>
    <w:rsid w:val="79031743"/>
    <w:rsid w:val="7CF651C5"/>
    <w:rsid w:val="7D1D5C9D"/>
    <w:rsid w:val="7D471E99"/>
    <w:rsid w:val="7FE2068F"/>
    <w:rsid w:val="B6FF9E12"/>
    <w:rsid w:val="F39D6E79"/>
    <w:rsid w:val="F73F9D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00" w:firstLineChars="200"/>
      <w:jc w:val="both"/>
    </w:pPr>
    <w:rPr>
      <w:rFonts w:ascii="仿宋_GB2312" w:hAnsi="仿宋_GB2312" w:eastAsia="仿宋_GB2312" w:cs="仿宋_GB2312"/>
      <w:kern w:val="2"/>
      <w:sz w:val="28"/>
      <w:szCs w:val="22"/>
      <w:lang w:val="en-US" w:eastAsia="zh-CN" w:bidi="ar-SA"/>
    </w:rPr>
  </w:style>
  <w:style w:type="paragraph" w:styleId="3">
    <w:name w:val="heading 1"/>
    <w:basedOn w:val="1"/>
    <w:next w:val="4"/>
    <w:link w:val="34"/>
    <w:qFormat/>
    <w:uiPriority w:val="9"/>
    <w:pPr>
      <w:keepNext/>
      <w:keepLines/>
      <w:spacing w:before="340" w:line="360" w:lineRule="auto"/>
      <w:jc w:val="left"/>
      <w:outlineLvl w:val="0"/>
    </w:pPr>
    <w:rPr>
      <w:rFonts w:eastAsia="黑体" w:cs="Times New Roman"/>
      <w:b/>
      <w:bCs/>
      <w:kern w:val="44"/>
      <w:sz w:val="32"/>
      <w:szCs w:val="44"/>
    </w:rPr>
  </w:style>
  <w:style w:type="paragraph" w:styleId="6">
    <w:name w:val="heading 2"/>
    <w:basedOn w:val="1"/>
    <w:next w:val="1"/>
    <w:link w:val="37"/>
    <w:qFormat/>
    <w:uiPriority w:val="0"/>
    <w:pPr>
      <w:keepNext/>
      <w:keepLines/>
      <w:spacing w:before="140" w:line="360" w:lineRule="auto"/>
      <w:ind w:firstLine="200"/>
      <w:jc w:val="left"/>
      <w:outlineLvl w:val="1"/>
    </w:pPr>
    <w:rPr>
      <w:rFonts w:ascii="Cambria" w:hAnsi="Cambria" w:cs="Times New Roman"/>
      <w:b/>
      <w:bCs/>
      <w:kern w:val="0"/>
      <w:sz w:val="30"/>
      <w:szCs w:val="32"/>
    </w:rPr>
  </w:style>
  <w:style w:type="paragraph" w:styleId="2">
    <w:name w:val="heading 3"/>
    <w:basedOn w:val="1"/>
    <w:next w:val="1"/>
    <w:link w:val="33"/>
    <w:qFormat/>
    <w:uiPriority w:val="9"/>
    <w:pPr>
      <w:keepNext/>
      <w:keepLines/>
      <w:spacing w:line="360" w:lineRule="auto"/>
      <w:jc w:val="left"/>
      <w:outlineLvl w:val="2"/>
    </w:pPr>
    <w:rPr>
      <w:rFonts w:ascii="仿宋_GB2312" w:hAnsi="仿宋_GB2312" w:cs="仿宋_GB2312"/>
      <w:b/>
      <w:kern w:val="0"/>
      <w:szCs w:val="28"/>
    </w:rPr>
  </w:style>
  <w:style w:type="paragraph" w:styleId="7">
    <w:name w:val="heading 4"/>
    <w:basedOn w:val="1"/>
    <w:next w:val="1"/>
    <w:link w:val="38"/>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9">
    <w:name w:val="Default Paragraph Font"/>
    <w:unhideWhenUsed/>
    <w:qFormat/>
    <w:uiPriority w:val="1"/>
  </w:style>
  <w:style w:type="table" w:default="1" w:styleId="27">
    <w:name w:val="Normal Table"/>
    <w:unhideWhenUsed/>
    <w:qFormat/>
    <w:uiPriority w:val="99"/>
    <w:tblPr>
      <w:tblCellMar>
        <w:top w:w="0" w:type="dxa"/>
        <w:left w:w="108" w:type="dxa"/>
        <w:bottom w:w="0" w:type="dxa"/>
        <w:right w:w="108" w:type="dxa"/>
      </w:tblCellMar>
    </w:tblPr>
  </w:style>
  <w:style w:type="paragraph" w:styleId="4">
    <w:name w:val="Body Text First Indent 2"/>
    <w:basedOn w:val="5"/>
    <w:link w:val="36"/>
    <w:unhideWhenUsed/>
    <w:qFormat/>
    <w:uiPriority w:val="0"/>
    <w:pPr>
      <w:ind w:firstLine="420"/>
    </w:pPr>
  </w:style>
  <w:style w:type="paragraph" w:styleId="5">
    <w:name w:val="Body Text Indent"/>
    <w:basedOn w:val="1"/>
    <w:link w:val="35"/>
    <w:unhideWhenUsed/>
    <w:qFormat/>
    <w:uiPriority w:val="99"/>
    <w:pPr>
      <w:spacing w:after="120"/>
      <w:ind w:left="420" w:leftChars="200"/>
    </w:pPr>
    <w:rPr>
      <w:rFonts w:ascii="Calibri" w:hAnsi="Calibri" w:cs="Times New Roman"/>
      <w:kern w:val="0"/>
      <w:szCs w:val="20"/>
    </w:rPr>
  </w:style>
  <w:style w:type="paragraph" w:styleId="8">
    <w:name w:val="toc 7"/>
    <w:basedOn w:val="1"/>
    <w:next w:val="1"/>
    <w:unhideWhenUsed/>
    <w:qFormat/>
    <w:uiPriority w:val="39"/>
    <w:pPr>
      <w:ind w:left="1680"/>
      <w:jc w:val="left"/>
    </w:pPr>
    <w:rPr>
      <w:rFonts w:ascii="Calibri" w:hAnsi="Calibri" w:cs="Calibri"/>
      <w:sz w:val="18"/>
      <w:szCs w:val="18"/>
    </w:rPr>
  </w:style>
  <w:style w:type="paragraph" w:styleId="9">
    <w:name w:val="Document Map"/>
    <w:basedOn w:val="1"/>
    <w:link w:val="39"/>
    <w:unhideWhenUsed/>
    <w:qFormat/>
    <w:uiPriority w:val="99"/>
    <w:rPr>
      <w:rFonts w:ascii="宋体" w:hAnsi="Calibri" w:eastAsia="宋体" w:cs="Times New Roman"/>
      <w:kern w:val="0"/>
      <w:sz w:val="18"/>
      <w:szCs w:val="18"/>
    </w:rPr>
  </w:style>
  <w:style w:type="paragraph" w:styleId="10">
    <w:name w:val="annotation text"/>
    <w:basedOn w:val="1"/>
    <w:link w:val="40"/>
    <w:unhideWhenUsed/>
    <w:qFormat/>
    <w:uiPriority w:val="99"/>
    <w:pPr>
      <w:adjustRightInd w:val="0"/>
      <w:snapToGrid w:val="0"/>
    </w:pPr>
    <w:rPr>
      <w:rFonts w:ascii="Calibri" w:hAnsi="Calibri" w:eastAsia="仿宋" w:cs="Times New Roman"/>
      <w:kern w:val="0"/>
      <w:sz w:val="24"/>
      <w:szCs w:val="20"/>
    </w:rPr>
  </w:style>
  <w:style w:type="paragraph" w:styleId="11">
    <w:name w:val="Body Text"/>
    <w:basedOn w:val="1"/>
    <w:next w:val="12"/>
    <w:qFormat/>
    <w:uiPriority w:val="0"/>
    <w:pPr>
      <w:spacing w:before="240" w:after="240" w:line="360" w:lineRule="auto"/>
      <w:jc w:val="center"/>
    </w:pPr>
    <w:rPr>
      <w:b/>
      <w:sz w:val="44"/>
    </w:rPr>
  </w:style>
  <w:style w:type="paragraph" w:styleId="12">
    <w:name w:val="Body Text 2"/>
    <w:basedOn w:val="1"/>
    <w:qFormat/>
    <w:uiPriority w:val="0"/>
    <w:pPr>
      <w:spacing w:after="120" w:line="480" w:lineRule="auto"/>
    </w:pPr>
    <w:rPr>
      <w:rFonts w:ascii="Times New Roman" w:hAnsi="Times New Roman" w:eastAsia="宋体" w:cs="Times New Roman"/>
    </w:rPr>
  </w:style>
  <w:style w:type="paragraph" w:styleId="13">
    <w:name w:val="toc 5"/>
    <w:basedOn w:val="1"/>
    <w:next w:val="1"/>
    <w:unhideWhenUsed/>
    <w:qFormat/>
    <w:uiPriority w:val="39"/>
    <w:pPr>
      <w:ind w:left="1120"/>
      <w:jc w:val="left"/>
    </w:pPr>
    <w:rPr>
      <w:rFonts w:ascii="Calibri" w:hAnsi="Calibri" w:cs="Calibri"/>
      <w:sz w:val="18"/>
      <w:szCs w:val="18"/>
    </w:rPr>
  </w:style>
  <w:style w:type="paragraph" w:styleId="14">
    <w:name w:val="toc 3"/>
    <w:basedOn w:val="1"/>
    <w:next w:val="1"/>
    <w:unhideWhenUsed/>
    <w:qFormat/>
    <w:uiPriority w:val="39"/>
    <w:pPr>
      <w:ind w:left="560"/>
      <w:jc w:val="left"/>
    </w:pPr>
    <w:rPr>
      <w:rFonts w:ascii="Calibri" w:hAnsi="Calibri" w:cs="Calibri"/>
      <w:i/>
      <w:iCs/>
      <w:sz w:val="20"/>
      <w:szCs w:val="20"/>
    </w:rPr>
  </w:style>
  <w:style w:type="paragraph" w:styleId="15">
    <w:name w:val="toc 8"/>
    <w:basedOn w:val="1"/>
    <w:next w:val="1"/>
    <w:unhideWhenUsed/>
    <w:qFormat/>
    <w:uiPriority w:val="39"/>
    <w:pPr>
      <w:ind w:left="1960"/>
      <w:jc w:val="left"/>
    </w:pPr>
    <w:rPr>
      <w:rFonts w:ascii="Calibri" w:hAnsi="Calibri" w:cs="Calibri"/>
      <w:sz w:val="18"/>
      <w:szCs w:val="18"/>
    </w:rPr>
  </w:style>
  <w:style w:type="paragraph" w:styleId="16">
    <w:name w:val="Balloon Text"/>
    <w:basedOn w:val="1"/>
    <w:link w:val="41"/>
    <w:unhideWhenUsed/>
    <w:qFormat/>
    <w:uiPriority w:val="99"/>
    <w:rPr>
      <w:rFonts w:ascii="Calibri" w:hAnsi="Calibri" w:cs="Times New Roman"/>
      <w:kern w:val="0"/>
      <w:sz w:val="18"/>
      <w:szCs w:val="18"/>
    </w:rPr>
  </w:style>
  <w:style w:type="paragraph" w:styleId="17">
    <w:name w:val="footer"/>
    <w:basedOn w:val="1"/>
    <w:link w:val="42"/>
    <w:unhideWhenUsed/>
    <w:qFormat/>
    <w:uiPriority w:val="99"/>
    <w:pPr>
      <w:tabs>
        <w:tab w:val="center" w:pos="4153"/>
        <w:tab w:val="right" w:pos="8306"/>
      </w:tabs>
      <w:snapToGrid w:val="0"/>
      <w:jc w:val="left"/>
    </w:pPr>
    <w:rPr>
      <w:rFonts w:ascii="Calibri" w:hAnsi="Calibri" w:cs="Times New Roman"/>
      <w:kern w:val="0"/>
      <w:sz w:val="18"/>
      <w:szCs w:val="18"/>
    </w:rPr>
  </w:style>
  <w:style w:type="paragraph" w:styleId="18">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19">
    <w:name w:val="toc 1"/>
    <w:basedOn w:val="1"/>
    <w:next w:val="1"/>
    <w:unhideWhenUsed/>
    <w:qFormat/>
    <w:uiPriority w:val="39"/>
    <w:pPr>
      <w:spacing w:before="120" w:after="120"/>
      <w:jc w:val="left"/>
    </w:pPr>
    <w:rPr>
      <w:rFonts w:ascii="Calibri" w:hAnsi="Calibri" w:cs="Calibri"/>
      <w:b/>
      <w:bCs/>
      <w:caps/>
      <w:sz w:val="20"/>
      <w:szCs w:val="20"/>
    </w:rPr>
  </w:style>
  <w:style w:type="paragraph" w:styleId="20">
    <w:name w:val="toc 4"/>
    <w:basedOn w:val="1"/>
    <w:next w:val="1"/>
    <w:unhideWhenUsed/>
    <w:qFormat/>
    <w:uiPriority w:val="39"/>
    <w:pPr>
      <w:ind w:left="840"/>
      <w:jc w:val="left"/>
    </w:pPr>
    <w:rPr>
      <w:rFonts w:ascii="Calibri" w:hAnsi="Calibri" w:cs="Calibri"/>
      <w:sz w:val="18"/>
      <w:szCs w:val="18"/>
    </w:rPr>
  </w:style>
  <w:style w:type="paragraph" w:styleId="21">
    <w:name w:val="toc 6"/>
    <w:basedOn w:val="1"/>
    <w:next w:val="1"/>
    <w:unhideWhenUsed/>
    <w:qFormat/>
    <w:uiPriority w:val="39"/>
    <w:pPr>
      <w:ind w:left="1400"/>
      <w:jc w:val="left"/>
    </w:pPr>
    <w:rPr>
      <w:rFonts w:ascii="Calibri" w:hAnsi="Calibri" w:cs="Calibri"/>
      <w:sz w:val="18"/>
      <w:szCs w:val="18"/>
    </w:rPr>
  </w:style>
  <w:style w:type="paragraph" w:styleId="22">
    <w:name w:val="toc 2"/>
    <w:basedOn w:val="1"/>
    <w:next w:val="1"/>
    <w:unhideWhenUsed/>
    <w:qFormat/>
    <w:uiPriority w:val="39"/>
    <w:pPr>
      <w:ind w:left="280"/>
      <w:jc w:val="left"/>
    </w:pPr>
    <w:rPr>
      <w:rFonts w:ascii="Calibri" w:hAnsi="Calibri" w:cs="Calibri"/>
      <w:smallCaps/>
      <w:sz w:val="20"/>
      <w:szCs w:val="20"/>
    </w:rPr>
  </w:style>
  <w:style w:type="paragraph" w:styleId="23">
    <w:name w:val="toc 9"/>
    <w:basedOn w:val="1"/>
    <w:next w:val="1"/>
    <w:unhideWhenUsed/>
    <w:qFormat/>
    <w:uiPriority w:val="39"/>
    <w:pPr>
      <w:ind w:left="2240"/>
      <w:jc w:val="left"/>
    </w:pPr>
    <w:rPr>
      <w:rFonts w:ascii="Calibri" w:hAnsi="Calibri" w:cs="Calibri"/>
      <w:sz w:val="18"/>
      <w:szCs w:val="18"/>
    </w:rPr>
  </w:style>
  <w:style w:type="paragraph" w:styleId="2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25">
    <w:name w:val="Title"/>
    <w:basedOn w:val="1"/>
    <w:next w:val="1"/>
    <w:link w:val="44"/>
    <w:qFormat/>
    <w:uiPriority w:val="10"/>
    <w:pPr>
      <w:spacing w:before="240" w:after="60"/>
      <w:jc w:val="center"/>
      <w:outlineLvl w:val="0"/>
    </w:pPr>
    <w:rPr>
      <w:rFonts w:ascii="Cambria" w:hAnsi="Cambria" w:eastAsia="宋体" w:cs="Times New Roman"/>
      <w:b/>
      <w:bCs/>
      <w:sz w:val="32"/>
      <w:szCs w:val="32"/>
    </w:rPr>
  </w:style>
  <w:style w:type="paragraph" w:styleId="26">
    <w:name w:val="annotation subject"/>
    <w:basedOn w:val="10"/>
    <w:next w:val="10"/>
    <w:link w:val="45"/>
    <w:unhideWhenUsed/>
    <w:qFormat/>
    <w:uiPriority w:val="99"/>
    <w:rPr>
      <w:rFonts w:ascii="Calibri" w:hAnsi="Calibri"/>
      <w:b/>
      <w:bCs/>
    </w:rPr>
  </w:style>
  <w:style w:type="table" w:styleId="28">
    <w:name w:val="Table Grid"/>
    <w:basedOn w:val="2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0">
    <w:name w:val="Strong"/>
    <w:basedOn w:val="29"/>
    <w:qFormat/>
    <w:uiPriority w:val="0"/>
    <w:rPr>
      <w:b/>
      <w:bCs/>
    </w:rPr>
  </w:style>
  <w:style w:type="character" w:styleId="31">
    <w:name w:val="Hyperlink"/>
    <w:unhideWhenUsed/>
    <w:qFormat/>
    <w:uiPriority w:val="99"/>
    <w:rPr>
      <w:color w:val="0000FF"/>
      <w:u w:val="single"/>
    </w:rPr>
  </w:style>
  <w:style w:type="character" w:styleId="32">
    <w:name w:val="annotation reference"/>
    <w:unhideWhenUsed/>
    <w:qFormat/>
    <w:uiPriority w:val="99"/>
    <w:rPr>
      <w:sz w:val="16"/>
      <w:szCs w:val="16"/>
    </w:rPr>
  </w:style>
  <w:style w:type="character" w:customStyle="1" w:styleId="33">
    <w:name w:val="标题 3 Char"/>
    <w:link w:val="2"/>
    <w:qFormat/>
    <w:uiPriority w:val="9"/>
    <w:rPr>
      <w:rFonts w:ascii="仿宋_GB2312" w:hAnsi="仿宋_GB2312" w:eastAsia="仿宋_GB2312" w:cs="仿宋_GB2312"/>
      <w:b/>
      <w:sz w:val="28"/>
      <w:szCs w:val="28"/>
    </w:rPr>
  </w:style>
  <w:style w:type="character" w:customStyle="1" w:styleId="34">
    <w:name w:val="标题 1 Char"/>
    <w:link w:val="3"/>
    <w:qFormat/>
    <w:uiPriority w:val="9"/>
    <w:rPr>
      <w:rFonts w:ascii="Times New Roman" w:hAnsi="Times New Roman" w:eastAsia="黑体" w:cs="Times New Roman"/>
      <w:b/>
      <w:bCs/>
      <w:kern w:val="44"/>
      <w:sz w:val="32"/>
      <w:szCs w:val="44"/>
    </w:rPr>
  </w:style>
  <w:style w:type="character" w:customStyle="1" w:styleId="35">
    <w:name w:val="正文文本缩进 Char"/>
    <w:link w:val="5"/>
    <w:semiHidden/>
    <w:qFormat/>
    <w:uiPriority w:val="99"/>
    <w:rPr>
      <w:rFonts w:ascii="Calibri" w:hAnsi="Calibri" w:eastAsia="仿宋_GB2312" w:cs="黑体"/>
      <w:sz w:val="28"/>
    </w:rPr>
  </w:style>
  <w:style w:type="character" w:customStyle="1" w:styleId="36">
    <w:name w:val="正文首行缩进 2 Char"/>
    <w:link w:val="4"/>
    <w:qFormat/>
    <w:uiPriority w:val="0"/>
    <w:rPr>
      <w:rFonts w:ascii="Calibri" w:hAnsi="Calibri" w:eastAsia="仿宋_GB2312" w:cs="黑体"/>
      <w:sz w:val="28"/>
    </w:rPr>
  </w:style>
  <w:style w:type="character" w:customStyle="1" w:styleId="37">
    <w:name w:val="标题 2 Char"/>
    <w:link w:val="6"/>
    <w:qFormat/>
    <w:uiPriority w:val="0"/>
    <w:rPr>
      <w:rFonts w:ascii="Cambria" w:hAnsi="Cambria" w:eastAsia="仿宋_GB2312" w:cs="Times New Roman"/>
      <w:b/>
      <w:bCs/>
      <w:kern w:val="0"/>
      <w:sz w:val="30"/>
      <w:szCs w:val="32"/>
    </w:rPr>
  </w:style>
  <w:style w:type="character" w:customStyle="1" w:styleId="38">
    <w:name w:val="标题 4 Char"/>
    <w:link w:val="7"/>
    <w:semiHidden/>
    <w:qFormat/>
    <w:uiPriority w:val="9"/>
    <w:rPr>
      <w:rFonts w:ascii="Cambria" w:hAnsi="Cambria" w:eastAsia="宋体" w:cs="Times New Roman"/>
      <w:b/>
      <w:bCs/>
      <w:sz w:val="28"/>
      <w:szCs w:val="28"/>
    </w:rPr>
  </w:style>
  <w:style w:type="character" w:customStyle="1" w:styleId="39">
    <w:name w:val="文档结构图 Char"/>
    <w:link w:val="9"/>
    <w:semiHidden/>
    <w:qFormat/>
    <w:uiPriority w:val="99"/>
    <w:rPr>
      <w:rFonts w:ascii="宋体" w:hAnsi="Calibri" w:eastAsia="宋体" w:cs="黑体"/>
      <w:sz w:val="18"/>
      <w:szCs w:val="18"/>
    </w:rPr>
  </w:style>
  <w:style w:type="character" w:customStyle="1" w:styleId="40">
    <w:name w:val="批注文字 Char"/>
    <w:link w:val="10"/>
    <w:semiHidden/>
    <w:qFormat/>
    <w:uiPriority w:val="99"/>
    <w:rPr>
      <w:rFonts w:ascii="Calibri" w:hAnsi="Calibri" w:eastAsia="仿宋" w:cs="黑体"/>
      <w:sz w:val="24"/>
      <w:szCs w:val="20"/>
    </w:rPr>
  </w:style>
  <w:style w:type="character" w:customStyle="1" w:styleId="41">
    <w:name w:val="批注框文本 Char"/>
    <w:link w:val="16"/>
    <w:semiHidden/>
    <w:qFormat/>
    <w:uiPriority w:val="99"/>
    <w:rPr>
      <w:rFonts w:ascii="Calibri" w:hAnsi="Calibri" w:eastAsia="仿宋_GB2312" w:cs="黑体"/>
      <w:sz w:val="18"/>
      <w:szCs w:val="18"/>
    </w:rPr>
  </w:style>
  <w:style w:type="character" w:customStyle="1" w:styleId="42">
    <w:name w:val="页脚 Char"/>
    <w:link w:val="17"/>
    <w:qFormat/>
    <w:uiPriority w:val="99"/>
    <w:rPr>
      <w:rFonts w:ascii="Calibri" w:hAnsi="Calibri" w:eastAsia="仿宋_GB2312" w:cs="黑体"/>
      <w:sz w:val="18"/>
      <w:szCs w:val="18"/>
    </w:rPr>
  </w:style>
  <w:style w:type="character" w:customStyle="1" w:styleId="43">
    <w:name w:val="页眉 Char"/>
    <w:link w:val="18"/>
    <w:qFormat/>
    <w:uiPriority w:val="99"/>
    <w:rPr>
      <w:rFonts w:ascii="Calibri" w:hAnsi="Calibri" w:eastAsia="仿宋_GB2312" w:cs="黑体"/>
      <w:sz w:val="18"/>
      <w:szCs w:val="18"/>
    </w:rPr>
  </w:style>
  <w:style w:type="character" w:customStyle="1" w:styleId="44">
    <w:name w:val="标题 Char"/>
    <w:link w:val="25"/>
    <w:qFormat/>
    <w:uiPriority w:val="10"/>
    <w:rPr>
      <w:rFonts w:ascii="Cambria" w:hAnsi="Cambria"/>
      <w:b/>
      <w:bCs/>
      <w:kern w:val="2"/>
      <w:sz w:val="32"/>
      <w:szCs w:val="32"/>
    </w:rPr>
  </w:style>
  <w:style w:type="character" w:customStyle="1" w:styleId="45">
    <w:name w:val="批注主题 Char"/>
    <w:link w:val="26"/>
    <w:semiHidden/>
    <w:qFormat/>
    <w:uiPriority w:val="99"/>
    <w:rPr>
      <w:rFonts w:ascii="Calibri" w:hAnsi="Calibri" w:eastAsia="仿宋_GB2312" w:cs="黑体"/>
      <w:b/>
      <w:bCs/>
      <w:sz w:val="20"/>
      <w:szCs w:val="20"/>
    </w:rPr>
  </w:style>
  <w:style w:type="character" w:customStyle="1" w:styleId="46">
    <w:name w:val="闻政-正文段落文字 Char"/>
    <w:link w:val="47"/>
    <w:qFormat/>
    <w:uiPriority w:val="3"/>
    <w:rPr>
      <w:rFonts w:ascii="Times New Roman" w:hAnsi="Times New Roman" w:eastAsia="仿宋_GB2312"/>
      <w:sz w:val="28"/>
      <w:szCs w:val="28"/>
    </w:rPr>
  </w:style>
  <w:style w:type="paragraph" w:customStyle="1" w:styleId="47">
    <w:name w:val="闻政-正文段落文字"/>
    <w:basedOn w:val="1"/>
    <w:link w:val="46"/>
    <w:qFormat/>
    <w:uiPriority w:val="3"/>
    <w:pPr>
      <w:spacing w:line="500" w:lineRule="exact"/>
      <w:ind w:firstLine="200"/>
    </w:pPr>
    <w:rPr>
      <w:rFonts w:ascii="Times New Roman" w:hAnsi="Times New Roman" w:cs="Times New Roman"/>
      <w:kern w:val="0"/>
      <w:szCs w:val="28"/>
    </w:rPr>
  </w:style>
  <w:style w:type="character" w:customStyle="1" w:styleId="48">
    <w:name w:val="闻政-正文二级标题 Char"/>
    <w:link w:val="49"/>
    <w:qFormat/>
    <w:uiPriority w:val="3"/>
    <w:rPr>
      <w:rFonts w:ascii="Times New Roman" w:hAnsi="Times New Roman" w:eastAsia="仿宋_GB2312"/>
      <w:b/>
      <w:bCs/>
      <w:sz w:val="28"/>
      <w:szCs w:val="32"/>
    </w:rPr>
  </w:style>
  <w:style w:type="paragraph" w:customStyle="1" w:styleId="49">
    <w:name w:val="闻政-正文二级标题"/>
    <w:basedOn w:val="6"/>
    <w:next w:val="47"/>
    <w:link w:val="48"/>
    <w:qFormat/>
    <w:uiPriority w:val="3"/>
    <w:pPr>
      <w:spacing w:before="120" w:after="60" w:line="500" w:lineRule="exact"/>
      <w:ind w:left="200" w:leftChars="200" w:firstLine="0" w:firstLineChars="0"/>
    </w:pPr>
    <w:rPr>
      <w:rFonts w:ascii="Times New Roman" w:hAnsi="Times New Roman"/>
      <w:sz w:val="28"/>
    </w:rPr>
  </w:style>
  <w:style w:type="character" w:customStyle="1" w:styleId="50">
    <w:name w:val="闻政-正文一级标题 Char"/>
    <w:link w:val="51"/>
    <w:qFormat/>
    <w:uiPriority w:val="3"/>
    <w:rPr>
      <w:rFonts w:ascii="黑体" w:hAnsi="黑体" w:eastAsia="黑体"/>
      <w:bCs/>
      <w:sz w:val="32"/>
      <w:szCs w:val="32"/>
    </w:rPr>
  </w:style>
  <w:style w:type="paragraph" w:customStyle="1" w:styleId="51">
    <w:name w:val="闻政-正文一级标题"/>
    <w:basedOn w:val="2"/>
    <w:next w:val="47"/>
    <w:link w:val="50"/>
    <w:qFormat/>
    <w:uiPriority w:val="3"/>
    <w:pPr>
      <w:spacing w:before="120" w:after="60" w:line="500" w:lineRule="exact"/>
      <w:ind w:firstLine="0" w:firstLineChars="0"/>
      <w:outlineLvl w:val="0"/>
    </w:pPr>
    <w:rPr>
      <w:rFonts w:ascii="黑体" w:hAnsi="黑体" w:eastAsia="黑体"/>
      <w:sz w:val="32"/>
    </w:rPr>
  </w:style>
  <w:style w:type="character" w:customStyle="1" w:styleId="52">
    <w:name w:val="无间隔 Char"/>
    <w:link w:val="53"/>
    <w:qFormat/>
    <w:uiPriority w:val="1"/>
    <w:rPr>
      <w:rFonts w:eastAsia="仿宋_GB2312" w:cs="黑体"/>
      <w:kern w:val="2"/>
      <w:sz w:val="28"/>
      <w:szCs w:val="22"/>
      <w:lang w:val="en-US" w:eastAsia="zh-CN" w:bidi="ar-SA"/>
    </w:rPr>
  </w:style>
  <w:style w:type="paragraph" w:styleId="53">
    <w:name w:val="No Spacing"/>
    <w:link w:val="52"/>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54">
    <w:name w:val="font21"/>
    <w:qFormat/>
    <w:uiPriority w:val="0"/>
    <w:rPr>
      <w:rFonts w:hint="default" w:ascii="Times New Roman" w:hAnsi="Times New Roman" w:cs="Times New Roman"/>
      <w:color w:val="000000"/>
      <w:sz w:val="24"/>
      <w:szCs w:val="24"/>
      <w:u w:val="none"/>
    </w:rPr>
  </w:style>
  <w:style w:type="character" w:customStyle="1" w:styleId="55">
    <w:name w:val="闻政-正文三级标题 Char"/>
    <w:link w:val="56"/>
    <w:qFormat/>
    <w:uiPriority w:val="3"/>
    <w:rPr>
      <w:rFonts w:ascii="Times New Roman" w:hAnsi="Times New Roman" w:eastAsia="仿宋_GB2312"/>
      <w:b/>
      <w:snapToGrid w:val="0"/>
      <w:sz w:val="28"/>
      <w:szCs w:val="28"/>
    </w:rPr>
  </w:style>
  <w:style w:type="paragraph" w:customStyle="1" w:styleId="56">
    <w:name w:val="闻政-正文三级标题"/>
    <w:basedOn w:val="1"/>
    <w:next w:val="47"/>
    <w:link w:val="55"/>
    <w:qFormat/>
    <w:uiPriority w:val="3"/>
    <w:pPr>
      <w:widowControl/>
      <w:spacing w:before="120" w:after="60" w:line="500" w:lineRule="exact"/>
      <w:ind w:left="200" w:leftChars="200" w:firstLine="0" w:firstLineChars="0"/>
    </w:pPr>
    <w:rPr>
      <w:rFonts w:cs="Times New Roman"/>
      <w:b/>
      <w:snapToGrid w:val="0"/>
      <w:kern w:val="0"/>
      <w:szCs w:val="28"/>
    </w:rPr>
  </w:style>
  <w:style w:type="character" w:customStyle="1" w:styleId="57">
    <w:name w:val="_Style 55"/>
    <w:qFormat/>
    <w:uiPriority w:val="0"/>
    <w:rPr>
      <w:b/>
      <w:bCs/>
      <w:smallCaps/>
      <w:color w:val="C0504D"/>
      <w:spacing w:val="5"/>
      <w:u w:val="single"/>
    </w:rPr>
  </w:style>
  <w:style w:type="character" w:customStyle="1" w:styleId="58">
    <w:name w:val="font11"/>
    <w:qFormat/>
    <w:uiPriority w:val="0"/>
    <w:rPr>
      <w:rFonts w:hint="eastAsia" w:ascii="方正仿宋_GBK" w:hAnsi="方正仿宋_GBK" w:eastAsia="方正仿宋_GBK" w:cs="方正仿宋_GBK"/>
      <w:color w:val="000000"/>
      <w:sz w:val="24"/>
      <w:szCs w:val="24"/>
      <w:u w:val="none"/>
    </w:rPr>
  </w:style>
  <w:style w:type="paragraph" w:styleId="59">
    <w:name w:val="List Paragraph"/>
    <w:basedOn w:val="1"/>
    <w:qFormat/>
    <w:uiPriority w:val="34"/>
    <w:pPr>
      <w:ind w:firstLine="420"/>
    </w:pPr>
  </w:style>
  <w:style w:type="paragraph" w:customStyle="1" w:styleId="60">
    <w:name w:val="_Style 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30</Pages>
  <Words>15765</Words>
  <Characters>17269</Characters>
  <Lines>71</Lines>
  <Paragraphs>20</Paragraphs>
  <TotalTime>67</TotalTime>
  <ScaleCrop>false</ScaleCrop>
  <LinksUpToDate>false</LinksUpToDate>
  <CharactersWithSpaces>17270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2021-04-04T09:53:00Z</dcterms:created>
  <dc:creator>User</dc:creator>
  <cp:lastModifiedBy>Administrator</cp:lastModifiedBy>
  <dcterms:modified xsi:type="dcterms:W3CDTF">2023-09-02T02:55:26Z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4C25D952285345ECB0D7DE4282C50B56</vt:lpwstr>
  </property>
</Properties>
</file>