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bookmarkStart w:id="0" w:name="bookmark11"/>
      <w:bookmarkStart w:id="1" w:name="bookmark10"/>
      <w:bookmarkStart w:id="2" w:name="bookmark9"/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35560</wp:posOffset>
            </wp:positionV>
            <wp:extent cx="5379085" cy="2456815"/>
            <wp:effectExtent l="0" t="0" r="12065" b="635"/>
            <wp:wrapNone/>
            <wp:docPr id="4" name="图片 3" descr="巩留县安全生产委员会办公室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巩留县安全生产委员会办公室文件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5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</w:p>
    <w:p>
      <w:pPr>
        <w:pStyle w:val="15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</w:p>
    <w:p>
      <w:pPr>
        <w:pStyle w:val="15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6"/>
          <w:szCs w:val="36"/>
        </w:rPr>
        <w:t>巩</w:t>
      </w:r>
      <w:r>
        <w:rPr>
          <w:rFonts w:hint="eastAsia" w:ascii="方正楷体简体" w:hAnsi="方正楷体简体" w:eastAsia="方正楷体简体" w:cs="方正楷体简体"/>
          <w:sz w:val="36"/>
          <w:szCs w:val="36"/>
          <w:lang w:eastAsia="zh-CN"/>
        </w:rPr>
        <w:t>安委办</w:t>
      </w:r>
      <w:r>
        <w:rPr>
          <w:rFonts w:hint="eastAsia" w:ascii="方正楷体简体" w:hAnsi="方正楷体简体" w:eastAsia="方正楷体简体" w:cs="方正楷体简体"/>
          <w:sz w:val="36"/>
          <w:szCs w:val="36"/>
        </w:rPr>
        <w:t>〔20</w:t>
      </w:r>
      <w:r>
        <w:rPr>
          <w:rFonts w:hint="eastAsia" w:ascii="方正楷体简体" w:hAnsi="方正楷体简体" w:eastAsia="方正楷体简体" w:cs="方正楷体简体"/>
          <w:sz w:val="36"/>
          <w:szCs w:val="36"/>
          <w:lang w:val="en-US" w:eastAsia="zh-CN"/>
        </w:rPr>
        <w:t>21</w:t>
      </w:r>
      <w:r>
        <w:rPr>
          <w:rFonts w:hint="eastAsia" w:ascii="方正楷体简体" w:hAnsi="方正楷体简体" w:eastAsia="方正楷体简体" w:cs="方正楷体简体"/>
          <w:sz w:val="36"/>
          <w:szCs w:val="36"/>
        </w:rPr>
        <w:t>〕</w:t>
      </w:r>
      <w:r>
        <w:rPr>
          <w:rFonts w:hint="eastAsia" w:ascii="方正楷体简体" w:hAnsi="方正楷体简体" w:eastAsia="方正楷体简体" w:cs="方正楷体简体"/>
          <w:color w:val="auto"/>
          <w:sz w:val="36"/>
          <w:szCs w:val="36"/>
          <w:highlight w:val="none"/>
          <w:lang w:val="en-US" w:eastAsia="zh-CN"/>
        </w:rPr>
        <w:t>50</w:t>
      </w:r>
      <w:r>
        <w:rPr>
          <w:rFonts w:hint="eastAsia" w:ascii="方正楷体简体" w:hAnsi="方正楷体简体" w:eastAsia="方正楷体简体" w:cs="方正楷体简体"/>
          <w:sz w:val="36"/>
          <w:szCs w:val="36"/>
        </w:rPr>
        <w:t>号</w:t>
      </w: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bookmarkStart w:id="29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关于印发《巩留县危险货物道路运输管理</w:t>
      </w: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center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办法》的通知</w:t>
      </w:r>
    </w:p>
    <w:bookmarkEnd w:id="29"/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default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七十三团、各乡镇（片区）、各有关部门单位：</w:t>
      </w: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《巩留县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危险货物道路运输安全管理办法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》已经县委、县人民政府同意，现印发你们，请认真抓好贯彻落实。</w:t>
      </w: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附件1：巩留县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危险货物道路运输安全管理办法</w:t>
      </w: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附件2：巩留县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危险货物道路运输协同监管联合治理协调领导小组</w:t>
      </w: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附件3：危险货物“四看、三核、两查”等名词解释</w:t>
      </w: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bookmarkStart w:id="3" w:name="bookmark37"/>
      <w:bookmarkStart w:id="4" w:name="bookmark38"/>
      <w:bookmarkStart w:id="5" w:name="bookmark36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附件4：危险货物车辆允许通行路线表</w:t>
      </w:r>
      <w:bookmarkEnd w:id="3"/>
      <w:bookmarkEnd w:id="4"/>
      <w:bookmarkEnd w:id="5"/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</w:t>
      </w: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3840" w:firstLineChars="1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巩留县安全生产委员会办公室</w:t>
      </w: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 2021年10月18日</w:t>
      </w: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5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6"/>
          <w:szCs w:val="36"/>
          <w:lang w:val="en-US" w:eastAsia="zh-CN"/>
        </w:rPr>
        <w:t>附件1：</w:t>
      </w:r>
    </w:p>
    <w:p>
      <w:pPr>
        <w:pStyle w:val="15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巩留县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危险货物道路运输安全管理办法</w:t>
      </w:r>
      <w:bookmarkEnd w:id="0"/>
      <w:bookmarkEnd w:id="1"/>
      <w:bookmarkEnd w:id="2"/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为进一步落实安全生产责任，细化管控措施，规范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我县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辖区内危险货物运输安全工作，确保危险货物，尤其是危险化学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品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道路运输安全，根据有关法律法规规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定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，制定本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办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法。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58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6" w:name="bookmark12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一</w:t>
      </w:r>
      <w:bookmarkEnd w:id="6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持证运输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在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域内运输危险货物的车辆，必须依据《危险化学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品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安全管理条例》《危险货物道路运输安全管理办法》《道路危险货物运输管理规定》《全面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强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危险化学品道路运输安全管理 22条措施》等法律法规，持有道路交通运输管理部门、公安机关等主管単位核发的道路运输经营许可证、道路运输通行证、运输许可证等证明或文件。同时，依据本办法规定，按照登记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时间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、指定路线行驶。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7" w:name="bookmark13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二</w:t>
      </w:r>
      <w:bookmarkEnd w:id="7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信息登记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内具备资质的危险货物运输企业，根据用户的运输需求在启运前凭危险货物托运清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单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和危险货物运输运单向县交通运输部门登记。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内所属单位和企业购买危险货物的，委托州外疆外具备资质的危险货物运输企业进行运输的，按照源头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管理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和属地监管原则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由该单位和企业在启运前向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属地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交通运输局进行登记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并推送到州交通运输局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由州交通运输局在运输车辆进入伊犁河谷前向公安部门推送信息，再由公安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部门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通知公安卡点，确保运输车辆按规定路线和运行时间行驶。县交通运输、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商信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、公安、应急管理、市监、生态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环境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局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等部门按照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职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责配合此项工作，确保企业在启运前必须事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前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登记。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内所属单位和企业购买危险货物的，登记信息包括运输车辆、指定线路、运输时间、运输货物等内容。未经交通运输部门推送信息，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严禁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危险货物运输车辆通行。公安交警及各公安卡点加强对途径危险货物运输车辆的检查，要严格落实“四看、三核、两查”要求，把好入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巩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第一关口。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8" w:name="bookmark14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三</w:t>
      </w:r>
      <w:bookmarkEnd w:id="8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限制时段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按有关规定对危险货物运输车辆采取限时通行，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巩留县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限制通行时段为北京时间8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00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时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至24：00时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。按照属地和就近规划原则，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运输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危险化学品车辆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在限制通行时段必须将车辆停放在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专用停车场（停车区域），</w:t>
      </w:r>
      <w:r>
        <w:rPr>
          <w:rFonts w:hint="eastAsia" w:ascii="方正仿宋简体" w:hAnsi="方正仿宋简体" w:eastAsia="方正仿宋简体" w:cs="方正仿宋简体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完善路面引导标志标牌并向社会公布。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9" w:name="bookmark15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四</w:t>
      </w:r>
      <w:bookmarkEnd w:id="9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限制路段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巩留县专用公路、旅游公路及乡村公路禁止危险货物运输车辆通行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10" w:name="bookmark16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五</w:t>
      </w:r>
      <w:bookmarkEnd w:id="10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指定路线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北京时间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8:00-24:00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凡进入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巩留县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辖区的运输危险货物车辆必须沿指定的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条线路行驶（具体线路附后）。所有正常安装和使用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ETC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的危险货物运输车辆，在享受自治区收费公路相应优惠政策的同时优先通行。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六、加强监管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11" w:name="bookmark17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bookmarkEnd w:id="11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一）交通运输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局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负责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组织领导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域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内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的危险货物道路运输管理工作，强化危险货物道路运输安全保障技术管控，依托自治区危险贷物道路运输综合监管平台，逐歩延伸技术功能，实现信息化数据共享，有效动态联合监管。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72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12" w:name="bookmark18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bookmarkEnd w:id="12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二）设立危险货物道路运输协同监管联合治理协调领导小组及办公室。办公室设在县交通运输局，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负责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加强部门联动， 明确危险化学品储存、销售、充装、运输、卸载以及应急处置、事故调查等全过程的监管责任，建立联合执法机制，严厉打击各类违法违规行为。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72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13" w:name="bookmark19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bookmarkEnd w:id="13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三）交通运输、公安、应急管理、市场监督管理、生态环境、商务工信等部门按照各自职责，负责对危险货物道路运输相关活动进行监督检查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密切合作、联管联控，确保监管责任无缝衔接。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72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14" w:name="bookmark20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bookmarkEnd w:id="14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四）交通运输、公安、应急管理、市场监督管理、生态环境、商务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工信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等部门建立健全配套学习培训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惩戒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制度，按职责加强对危险货物运输培训教育工作，进一步提升执法监管人员、从业人员、重点人员的安全运输防范意识，做到关口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前移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防止危险货物运输安全事故发生。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72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五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）兵地相关部门要做到信息共享，加强协调联动、强化责任落实，建立联合执法、快速反应工作机制，形成工作合力， 认真做好危险货物道路运输安全工作；兵地公安、交通运输部门对进入辖区内的危险货物运输车辆要严查、严管、严控，对运输危险货物资质不会、手续不全、不符合道路运输相关法律法规要求的车辆依法依规处理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56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footnotePr>
            <w:numFmt w:val="decimal"/>
          </w:footnotePr>
          <w:pgSz w:w="11900" w:h="16840"/>
          <w:pgMar w:top="2098" w:right="1531" w:bottom="1984" w:left="1531" w:header="2068" w:footer="211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360" w:charSpace="0"/>
        </w:sect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本办法自印发之日起施行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6"/>
          <w:szCs w:val="36"/>
          <w:lang w:val="en-US" w:eastAsia="zh-CN"/>
        </w:rPr>
      </w:pPr>
      <w:bookmarkStart w:id="15" w:name="bookmark23"/>
      <w:bookmarkStart w:id="16" w:name="bookmark22"/>
      <w:bookmarkStart w:id="17" w:name="bookmark21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6"/>
          <w:szCs w:val="36"/>
          <w:lang w:val="en-US" w:eastAsia="zh-CN"/>
        </w:rPr>
        <w:t>附件2：</w:t>
      </w: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巩留县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危险货物道路运输协同监管联合治理</w:t>
      </w: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协调领导小组</w:t>
      </w:r>
      <w:bookmarkEnd w:id="15"/>
      <w:bookmarkEnd w:id="16"/>
      <w:bookmarkEnd w:id="17"/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为进一步落实安全生产责任，加强伊犁州直危险贷物，尤其是危险化学品道路运输安全，细化管控措施，规范州直辖区内危险货物运输安全和监管工作，成立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巩留县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危险货物道路运输协同监管联合治理协调领导小组。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组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卓力得拜·吉尔哈力拜（县委副书记、县长）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副组长：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王岸先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委常委、常务副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长）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000" w:firstLineChars="625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阿布力孜·阿布都拉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县人民政府副县长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王卫兵（72团党委常委、副团长）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成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员：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徐文韬       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县委办副主任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 xml:space="preserve">） 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加格斯开力德 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政府办副主任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 xml:space="preserve">）  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000" w:firstLineChars="625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阿依布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巩留县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交通运输局党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组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副书记、局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 xml:space="preserve">） 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firstLine="2000" w:firstLineChars="625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刘东升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巩留县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应急管理局党组副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书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记、 局长）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王丰民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巩留县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工业和信息化局党组书记、副局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）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孙仁国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巩留县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生态环境局党组副书记、局长）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8" w:lineRule="exact"/>
        <w:ind w:left="0" w:leftChars="0" w:right="0" w:firstLine="1920" w:firstLineChars="600"/>
        <w:jc w:val="left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徐世昌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巩留县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市场监督管理局党组书记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副局长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 xml:space="preserve">） 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8" w:lineRule="exact"/>
        <w:ind w:left="0" w:leftChars="0" w:right="0" w:firstLine="1920" w:firstLineChars="600"/>
        <w:jc w:val="left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姜文龙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巩留县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消防救援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大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队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大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 xml:space="preserve">队长） 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8" w:lineRule="exact"/>
        <w:ind w:left="0" w:leftChars="0" w:right="0" w:firstLine="1920" w:firstLineChars="600"/>
        <w:jc w:val="left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王建国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巩留县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 xml:space="preserve">公安局党委委员、副局长） 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8" w:lineRule="exact"/>
        <w:ind w:left="0" w:right="0" w:firstLine="58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sectPr>
          <w:footnotePr>
            <w:numFmt w:val="decimal"/>
          </w:footnotePr>
          <w:pgSz w:w="11900" w:h="16840"/>
          <w:pgMar w:top="2098" w:right="1531" w:bottom="1984" w:left="1531" w:header="2137" w:footer="219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360" w:charSpace="0"/>
        </w:sect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巩留县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危险货物道路运输协同监管联合治理协调领导小组办公室设在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县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交通运输局，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阿依布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同志任办公室主任，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王建国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同志任副主任。办公室人员由各成员单位联络员组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成。</w:t>
      </w: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6"/>
          <w:szCs w:val="36"/>
          <w:lang w:val="en-US" w:eastAsia="zh-CN"/>
        </w:rPr>
      </w:pPr>
      <w:bookmarkStart w:id="18" w:name="bookmark24"/>
      <w:bookmarkStart w:id="19" w:name="bookmark25"/>
      <w:bookmarkStart w:id="20" w:name="bookmark26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6"/>
          <w:szCs w:val="36"/>
          <w:lang w:val="en-US" w:eastAsia="zh-CN"/>
        </w:rPr>
        <w:t>附件3：</w:t>
      </w:r>
    </w:p>
    <w:p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危险货物“四看、三核、两查”等名词解释</w:t>
      </w:r>
      <w:bookmarkEnd w:id="18"/>
      <w:bookmarkEnd w:id="19"/>
      <w:bookmarkEnd w:id="20"/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24" w:lineRule="exact"/>
        <w:ind w:left="0" w:right="0" w:firstLine="560"/>
        <w:jc w:val="both"/>
        <w:rPr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8" w:lineRule="exact"/>
        <w:ind w:left="0" w:right="0" w:firstLine="560"/>
        <w:jc w:val="both"/>
        <w:textAlignment w:val="auto"/>
        <w:rPr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—、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四看、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三核、两查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8" w:lineRule="exact"/>
        <w:ind w:left="0" w:right="0" w:firstLine="58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四看：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查看车辆是否安装或悬挂警示标志、车身反光标识是否完整无遮挡、是否安装后下部防护装置、对比行驶证是否存在明显改装；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8" w:lineRule="exact"/>
        <w:ind w:left="0" w:right="0" w:firstLine="58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三核：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核查驾驶人是否有运输许可证件、车辆载重是否超过核载质量、押运员有无资质证明文件；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8" w:lineRule="exact"/>
        <w:ind w:left="0" w:right="0" w:firstLine="58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两查：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查询行驶证、驾驶证是否逾期未检验、未审验。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8" w:lineRule="exact"/>
        <w:ind w:left="0" w:right="0" w:firstLine="58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21" w:name="bookmark27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二</w:t>
      </w:r>
      <w:bookmarkEnd w:id="21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危险货物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8" w:lineRule="exact"/>
        <w:ind w:left="0" w:right="0" w:firstLine="58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根据《危险货物道路运输安全管理办法》（交通运输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部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令 2019年第29号），危险货物是指列入《危险货物道路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运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 xml:space="preserve">输规则》 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（JT/T617）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,具有爆炸、易燃、毒害、感染、腐蚀、放射性等 危险特性的物质或者物品。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8" w:lineRule="exact"/>
        <w:ind w:left="0" w:right="0" w:firstLine="58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22" w:name="bookmark28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三</w:t>
      </w:r>
      <w:bookmarkEnd w:id="22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危险化学品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8" w:lineRule="exact"/>
        <w:ind w:left="0" w:right="0" w:firstLine="58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根据《危险化学品安全管理条例》（中华人民共和国国务院 令第591号），危险化学品是指具有毒害、腐蚀、爆炸、燃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烧、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 xml:space="preserve"> 助燃等性质，对人体、设施、环境具有危害的剧毒化学品和其他化学品。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8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四、</w:t>
      </w:r>
      <w:r>
        <w:rPr>
          <w:rFonts w:hint="eastAsia" w:ascii="黑体" w:hAnsi="黑体" w:eastAsia="黑体" w:cs="黑体"/>
        </w:rPr>
        <w:t>托运人、装货人（充装人）、承运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按《危险货物道路运输规则第1部分:通则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en-US" w:bidi="zh-TW"/>
        </w:rPr>
        <w:t>》(JT/T617.1—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2018), 托运人是指委托承运人运输危险货物的企业或者单位。充装人是指将危险货物装进罐体，或者将散装货装道车辆或集裝箱的単位或企业。装货人是指承担下列任务的企业或者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单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位: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①将危险货物包件、小型集装箱或可移动罐柜装进车辆或集装箱中；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②将集装箱、散装容器、罐式集装箱或可移动罐柜装载在车辆上。承运人是指承担运输作业的单位或企业。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8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23" w:name="bookmark30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五</w:t>
      </w:r>
      <w:bookmarkEnd w:id="23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、危险货物装货人“五必查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”制度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8" w:lineRule="exact"/>
        <w:ind w:left="460" w:right="0" w:firstLine="58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按《危险货物道路运输安全管理办法》规定，装货人应当在充装或者装载货物前查验以下專项；不符合要求的，不得充装或者装载：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8" w:lineRule="exact"/>
        <w:ind w:left="102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24" w:name="bookmark31"/>
      <w:bookmarkEnd w:id="24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车辆是否具有有效行驶证和营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运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证；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8" w:lineRule="exact"/>
        <w:ind w:left="102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25" w:name="bookmark32"/>
      <w:bookmarkEnd w:id="25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驾驶员、押运员是否具有有效资质证件；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8" w:lineRule="exact"/>
        <w:ind w:left="460" w:right="0" w:firstLine="58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26" w:name="bookmark33"/>
      <w:bookmarkEnd w:id="26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运输车辆、罐弍车辆罐体、可移动罐柜、罐箱是否在检验合格有效期内；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8" w:lineRule="exact"/>
        <w:ind w:left="460" w:right="0" w:firstLine="58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27" w:name="bookmark34"/>
      <w:bookmarkEnd w:id="27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所充装或者装载的危险货物是否与危险货物运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单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载明的事项相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  <w:lang w:eastAsia="zh-CN"/>
        </w:rPr>
        <w:t>一</w:t>
      </w:r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致；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18" w:lineRule="exact"/>
        <w:ind w:left="460" w:right="0" w:firstLine="58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28" w:name="bookmark35"/>
      <w:bookmarkEnd w:id="28"/>
      <w:r>
        <w:rPr>
          <w:rFonts w:hint="eastAsia" w:ascii="方正仿宋简体" w:hAnsi="方正仿宋简体" w:eastAsia="方正仿宋简体" w:cs="方正仿宋简体"/>
          <w:color w:val="000000"/>
          <w:spacing w:val="0"/>
          <w:w w:val="100"/>
          <w:position w:val="0"/>
          <w:sz w:val="32"/>
          <w:szCs w:val="32"/>
        </w:rPr>
        <w:t>所充装的危险货物是否在罐式车辆罐体的适装介质列表 范围内，或者满足可移动罐柜导则、罐箱适用代码的要求。充装或者装载剧毒化学品、民用爆炸物品、烟花爆竹、放射性物品或者危险废物时，还应当查验本办法第十五条规定的单证报告。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page"/>
      </w: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附件4：</w:t>
      </w:r>
    </w:p>
    <w:p>
      <w:pPr>
        <w:pStyle w:val="1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危险货物车辆允许通行路线表</w:t>
      </w:r>
    </w:p>
    <w:tbl>
      <w:tblPr>
        <w:tblStyle w:val="7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4"/>
        <w:gridCol w:w="981"/>
        <w:gridCol w:w="6255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734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往返节点</w:t>
            </w:r>
          </w:p>
        </w:tc>
        <w:tc>
          <w:tcPr>
            <w:tcW w:w="62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通行路线</w:t>
            </w:r>
          </w:p>
        </w:tc>
        <w:tc>
          <w:tcPr>
            <w:tcW w:w="1310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exact"/>
          <w:jc w:val="center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81" w:lineRule="exact"/>
              <w:ind w:left="0" w:right="0" w:firstLine="0"/>
              <w:jc w:val="center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进入</w:t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巩留县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95" w:lineRule="exact"/>
              <w:ind w:left="0" w:right="0" w:firstLine="0"/>
              <w:jc w:val="center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 xml:space="preserve">G30 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连霍高速）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 xml:space="preserve">-G3016 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（清伊高速）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 xml:space="preserve">-S12 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（伊顼高速）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 xml:space="preserve">-S12 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墩那高速）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-S2</w:t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（巩尼公路）-老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316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线-巩留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95" w:lineRule="exact"/>
              <w:ind w:left="0" w:right="0" w:firstLine="0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巩留县城区禁止进入</w:t>
            </w:r>
          </w:p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  <w:jc w:val="center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color w:val="000000" w:themeColor="text1"/>
                <w:sz w:val="11"/>
                <w:szCs w:val="1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库尔德宁镇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95" w:lineRule="exact"/>
              <w:ind w:left="0" w:right="0" w:firstLine="0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S2</w:t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（巩尼公路）-老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316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线-</w:t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G578-X737-库尔德宁镇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60" w:afterAutospacing="0" w:line="240" w:lineRule="auto"/>
              <w:ind w:left="0" w:right="0" w:firstLine="180"/>
              <w:jc w:val="center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300"/>
              <w:jc w:val="both"/>
              <w:rPr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吉尔格郎乡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S2</w:t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（巩尼公路）-老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316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线-</w:t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G578-X737-X742-吉尔格郎乡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1" w:hRule="exact"/>
          <w:jc w:val="center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300"/>
              <w:jc w:val="both"/>
              <w:rPr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阿尕尔森镇、牛场片区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180"/>
              <w:jc w:val="center"/>
              <w:rPr>
                <w:rFonts w:hint="default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S2</w:t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（巩尼公路）-老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316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线-</w:t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G578-G578(牛场片区党工委)-X736-阿尕尔森镇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300"/>
              <w:jc w:val="both"/>
              <w:rPr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东买里镇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88" w:lineRule="exact"/>
              <w:ind w:left="0" w:right="0" w:firstLine="0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S2</w:t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（巩尼公路）</w:t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-X738-东买里镇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8" w:hRule="exact"/>
          <w:jc w:val="center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300"/>
              <w:jc w:val="both"/>
              <w:rPr>
                <w:rFonts w:hint="default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0"/>
                <w:w w:val="100"/>
                <w:positio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塔斯托别乡、提克阿热克镇、阿克吐别克镇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S2</w:t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（巩尼公路）-老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316</w:t>
            </w:r>
            <w:r>
              <w:rPr>
                <w:rFonts w:hint="default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线-</w:t>
            </w: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G578-G578（塔斯托别乡）-G578（提克阿热克镇）-阿克吐别克镇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18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0" w:num="1"/>
      <w:titlePg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 w:firstLineChars="20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EnclosedCircle"/>
      <w:lvlText w:val="%1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25D37"/>
    <w:rsid w:val="000433D9"/>
    <w:rsid w:val="001E6EC1"/>
    <w:rsid w:val="005A108B"/>
    <w:rsid w:val="008C0937"/>
    <w:rsid w:val="00A15AB7"/>
    <w:rsid w:val="00AF322E"/>
    <w:rsid w:val="00B34993"/>
    <w:rsid w:val="00BB6F45"/>
    <w:rsid w:val="00F40366"/>
    <w:rsid w:val="01247630"/>
    <w:rsid w:val="0194674A"/>
    <w:rsid w:val="01A3567A"/>
    <w:rsid w:val="01EF3FB1"/>
    <w:rsid w:val="01EF42C1"/>
    <w:rsid w:val="01F47E58"/>
    <w:rsid w:val="02510A5B"/>
    <w:rsid w:val="02A92BE5"/>
    <w:rsid w:val="034501C2"/>
    <w:rsid w:val="034722ED"/>
    <w:rsid w:val="038D088F"/>
    <w:rsid w:val="03A03D81"/>
    <w:rsid w:val="03C2176D"/>
    <w:rsid w:val="03D22BD7"/>
    <w:rsid w:val="03D943BD"/>
    <w:rsid w:val="03DB72E2"/>
    <w:rsid w:val="04B83BE7"/>
    <w:rsid w:val="04EB4ED7"/>
    <w:rsid w:val="04F24C33"/>
    <w:rsid w:val="05055332"/>
    <w:rsid w:val="05071540"/>
    <w:rsid w:val="050A408A"/>
    <w:rsid w:val="05603EEA"/>
    <w:rsid w:val="05C8036E"/>
    <w:rsid w:val="05CF104A"/>
    <w:rsid w:val="05D05065"/>
    <w:rsid w:val="05D36BE7"/>
    <w:rsid w:val="06042928"/>
    <w:rsid w:val="062B1905"/>
    <w:rsid w:val="065A1573"/>
    <w:rsid w:val="06875D43"/>
    <w:rsid w:val="06DA36CA"/>
    <w:rsid w:val="06E05F9E"/>
    <w:rsid w:val="07154FB3"/>
    <w:rsid w:val="0814037F"/>
    <w:rsid w:val="08B72A9F"/>
    <w:rsid w:val="08C41DE8"/>
    <w:rsid w:val="08FF3732"/>
    <w:rsid w:val="09654FA9"/>
    <w:rsid w:val="09734D27"/>
    <w:rsid w:val="0993264C"/>
    <w:rsid w:val="099C0BCC"/>
    <w:rsid w:val="09A46BB8"/>
    <w:rsid w:val="09B8257F"/>
    <w:rsid w:val="09EC36B1"/>
    <w:rsid w:val="09F548F3"/>
    <w:rsid w:val="0A8E3B42"/>
    <w:rsid w:val="0A942213"/>
    <w:rsid w:val="0ACC55C1"/>
    <w:rsid w:val="0B1A5F4E"/>
    <w:rsid w:val="0B4B6D1A"/>
    <w:rsid w:val="0B7064D2"/>
    <w:rsid w:val="0BF95E7A"/>
    <w:rsid w:val="0C223CC7"/>
    <w:rsid w:val="0C3E104F"/>
    <w:rsid w:val="0C417397"/>
    <w:rsid w:val="0C68037E"/>
    <w:rsid w:val="0C975BEA"/>
    <w:rsid w:val="0CAC4428"/>
    <w:rsid w:val="0CDA5444"/>
    <w:rsid w:val="0D0B228A"/>
    <w:rsid w:val="0D152A50"/>
    <w:rsid w:val="0D303A2A"/>
    <w:rsid w:val="0DBA62D8"/>
    <w:rsid w:val="0DDE36D3"/>
    <w:rsid w:val="0DE77975"/>
    <w:rsid w:val="0DF648E7"/>
    <w:rsid w:val="0E23374D"/>
    <w:rsid w:val="0E635085"/>
    <w:rsid w:val="0ED96345"/>
    <w:rsid w:val="0F220CCA"/>
    <w:rsid w:val="0F5B5496"/>
    <w:rsid w:val="0F935E53"/>
    <w:rsid w:val="10044481"/>
    <w:rsid w:val="101E0346"/>
    <w:rsid w:val="102B7B8A"/>
    <w:rsid w:val="103223A1"/>
    <w:rsid w:val="109F3578"/>
    <w:rsid w:val="10C519AD"/>
    <w:rsid w:val="10DB5C8A"/>
    <w:rsid w:val="114126FF"/>
    <w:rsid w:val="11647F51"/>
    <w:rsid w:val="11864D6A"/>
    <w:rsid w:val="11994643"/>
    <w:rsid w:val="11E574F6"/>
    <w:rsid w:val="11EA5FF3"/>
    <w:rsid w:val="11FD4264"/>
    <w:rsid w:val="120A03B2"/>
    <w:rsid w:val="123C151E"/>
    <w:rsid w:val="124C3264"/>
    <w:rsid w:val="12706505"/>
    <w:rsid w:val="127C5DFC"/>
    <w:rsid w:val="12880202"/>
    <w:rsid w:val="12E7554C"/>
    <w:rsid w:val="13010003"/>
    <w:rsid w:val="132A3760"/>
    <w:rsid w:val="134A67B5"/>
    <w:rsid w:val="135F7574"/>
    <w:rsid w:val="13781E39"/>
    <w:rsid w:val="13A81DA0"/>
    <w:rsid w:val="143C7CD9"/>
    <w:rsid w:val="14403B57"/>
    <w:rsid w:val="144A3E74"/>
    <w:rsid w:val="14786E96"/>
    <w:rsid w:val="14DB6FE7"/>
    <w:rsid w:val="156C51B2"/>
    <w:rsid w:val="157066B7"/>
    <w:rsid w:val="1587520D"/>
    <w:rsid w:val="15B43584"/>
    <w:rsid w:val="164E6F16"/>
    <w:rsid w:val="16617F23"/>
    <w:rsid w:val="16675E77"/>
    <w:rsid w:val="168F42FB"/>
    <w:rsid w:val="16E90653"/>
    <w:rsid w:val="17321A93"/>
    <w:rsid w:val="17677C4A"/>
    <w:rsid w:val="177E682D"/>
    <w:rsid w:val="17A25A79"/>
    <w:rsid w:val="17CF7A2D"/>
    <w:rsid w:val="17E10A45"/>
    <w:rsid w:val="180970C5"/>
    <w:rsid w:val="183274D5"/>
    <w:rsid w:val="184F25FD"/>
    <w:rsid w:val="187F3395"/>
    <w:rsid w:val="18B03C56"/>
    <w:rsid w:val="18D048A9"/>
    <w:rsid w:val="18DD7807"/>
    <w:rsid w:val="18F75409"/>
    <w:rsid w:val="193F68A6"/>
    <w:rsid w:val="19670819"/>
    <w:rsid w:val="198022DD"/>
    <w:rsid w:val="19840340"/>
    <w:rsid w:val="1A0C1A73"/>
    <w:rsid w:val="1A3A4AC1"/>
    <w:rsid w:val="1A5D6CE7"/>
    <w:rsid w:val="1A867B88"/>
    <w:rsid w:val="1AA633B0"/>
    <w:rsid w:val="1AB24A44"/>
    <w:rsid w:val="1ADE2386"/>
    <w:rsid w:val="1B650BB9"/>
    <w:rsid w:val="1B857436"/>
    <w:rsid w:val="1BDE467B"/>
    <w:rsid w:val="1BEE7F16"/>
    <w:rsid w:val="1C171C7C"/>
    <w:rsid w:val="1C263798"/>
    <w:rsid w:val="1C3A0E39"/>
    <w:rsid w:val="1C4358E2"/>
    <w:rsid w:val="1C7E730F"/>
    <w:rsid w:val="1C851782"/>
    <w:rsid w:val="1C8A46A4"/>
    <w:rsid w:val="1CAF21D1"/>
    <w:rsid w:val="1CF6783E"/>
    <w:rsid w:val="1D202877"/>
    <w:rsid w:val="1D6C618B"/>
    <w:rsid w:val="1D6E3646"/>
    <w:rsid w:val="1D9F7833"/>
    <w:rsid w:val="1DA25F36"/>
    <w:rsid w:val="1DA673B0"/>
    <w:rsid w:val="1DCC1A4E"/>
    <w:rsid w:val="1DDD1822"/>
    <w:rsid w:val="1E7558E2"/>
    <w:rsid w:val="1EDC4CF7"/>
    <w:rsid w:val="1F574108"/>
    <w:rsid w:val="1F594D38"/>
    <w:rsid w:val="1FD60449"/>
    <w:rsid w:val="204167CF"/>
    <w:rsid w:val="205D3EDD"/>
    <w:rsid w:val="206B65B3"/>
    <w:rsid w:val="207E75B7"/>
    <w:rsid w:val="209A2A99"/>
    <w:rsid w:val="20B04DE3"/>
    <w:rsid w:val="20F86A07"/>
    <w:rsid w:val="2102690E"/>
    <w:rsid w:val="21083CFD"/>
    <w:rsid w:val="212C1A02"/>
    <w:rsid w:val="21F87F7C"/>
    <w:rsid w:val="23082CDD"/>
    <w:rsid w:val="231E39E6"/>
    <w:rsid w:val="23411BFC"/>
    <w:rsid w:val="237C32F1"/>
    <w:rsid w:val="239E4CAA"/>
    <w:rsid w:val="23BB4338"/>
    <w:rsid w:val="23D460E5"/>
    <w:rsid w:val="23E618EB"/>
    <w:rsid w:val="23ED346B"/>
    <w:rsid w:val="23EE6324"/>
    <w:rsid w:val="23FD4D64"/>
    <w:rsid w:val="240E19A4"/>
    <w:rsid w:val="2419459D"/>
    <w:rsid w:val="244506ED"/>
    <w:rsid w:val="24702C60"/>
    <w:rsid w:val="24822179"/>
    <w:rsid w:val="24A604FA"/>
    <w:rsid w:val="25792521"/>
    <w:rsid w:val="266F799A"/>
    <w:rsid w:val="26722EA4"/>
    <w:rsid w:val="269B1BCE"/>
    <w:rsid w:val="26D52044"/>
    <w:rsid w:val="2732179F"/>
    <w:rsid w:val="27363369"/>
    <w:rsid w:val="273C446A"/>
    <w:rsid w:val="27D00A69"/>
    <w:rsid w:val="27D34B54"/>
    <w:rsid w:val="27D64B88"/>
    <w:rsid w:val="281B4227"/>
    <w:rsid w:val="28756E45"/>
    <w:rsid w:val="2878597F"/>
    <w:rsid w:val="28A12F9A"/>
    <w:rsid w:val="291501B6"/>
    <w:rsid w:val="29322B8E"/>
    <w:rsid w:val="29667C96"/>
    <w:rsid w:val="29F57D1E"/>
    <w:rsid w:val="29FE4ABE"/>
    <w:rsid w:val="2A04379E"/>
    <w:rsid w:val="2A557943"/>
    <w:rsid w:val="2A764E17"/>
    <w:rsid w:val="2A9D3B12"/>
    <w:rsid w:val="2AAD6CD5"/>
    <w:rsid w:val="2B3016B9"/>
    <w:rsid w:val="2B3E698D"/>
    <w:rsid w:val="2B466C7A"/>
    <w:rsid w:val="2B630A04"/>
    <w:rsid w:val="2BD9162E"/>
    <w:rsid w:val="2BE15431"/>
    <w:rsid w:val="2C3B4E5C"/>
    <w:rsid w:val="2C3D0DB5"/>
    <w:rsid w:val="2C9C4EB4"/>
    <w:rsid w:val="2CDB1478"/>
    <w:rsid w:val="2D252AA9"/>
    <w:rsid w:val="2D6C2E87"/>
    <w:rsid w:val="2D78706A"/>
    <w:rsid w:val="2DCC62F2"/>
    <w:rsid w:val="2DE3065E"/>
    <w:rsid w:val="2DEE69D4"/>
    <w:rsid w:val="2E3E3DE9"/>
    <w:rsid w:val="2EF8504F"/>
    <w:rsid w:val="2F343AF7"/>
    <w:rsid w:val="2F3E1157"/>
    <w:rsid w:val="2F75178C"/>
    <w:rsid w:val="2F987FA5"/>
    <w:rsid w:val="2FC5502D"/>
    <w:rsid w:val="2FF338ED"/>
    <w:rsid w:val="304608EA"/>
    <w:rsid w:val="30546C49"/>
    <w:rsid w:val="3066546A"/>
    <w:rsid w:val="308E6D78"/>
    <w:rsid w:val="30E85BFD"/>
    <w:rsid w:val="31100528"/>
    <w:rsid w:val="315936E8"/>
    <w:rsid w:val="31740ADE"/>
    <w:rsid w:val="31875BC3"/>
    <w:rsid w:val="31977C20"/>
    <w:rsid w:val="31A421D3"/>
    <w:rsid w:val="31DA189F"/>
    <w:rsid w:val="321B0494"/>
    <w:rsid w:val="32461743"/>
    <w:rsid w:val="32707E86"/>
    <w:rsid w:val="32765822"/>
    <w:rsid w:val="32A25382"/>
    <w:rsid w:val="32E326FE"/>
    <w:rsid w:val="330A5D02"/>
    <w:rsid w:val="331A4E11"/>
    <w:rsid w:val="332759BC"/>
    <w:rsid w:val="337420C2"/>
    <w:rsid w:val="337C0271"/>
    <w:rsid w:val="337D2EA5"/>
    <w:rsid w:val="338169A4"/>
    <w:rsid w:val="33967A6B"/>
    <w:rsid w:val="33B235A6"/>
    <w:rsid w:val="347F6985"/>
    <w:rsid w:val="349E4A1C"/>
    <w:rsid w:val="34B37553"/>
    <w:rsid w:val="34D74DC9"/>
    <w:rsid w:val="34E55709"/>
    <w:rsid w:val="350E7B20"/>
    <w:rsid w:val="35102429"/>
    <w:rsid w:val="352401B9"/>
    <w:rsid w:val="35246CA8"/>
    <w:rsid w:val="352A7F33"/>
    <w:rsid w:val="35736B03"/>
    <w:rsid w:val="3578352E"/>
    <w:rsid w:val="35D22EE9"/>
    <w:rsid w:val="362847C1"/>
    <w:rsid w:val="362C3E9D"/>
    <w:rsid w:val="36482BE2"/>
    <w:rsid w:val="36B43CA6"/>
    <w:rsid w:val="37126BC7"/>
    <w:rsid w:val="376421AC"/>
    <w:rsid w:val="377069A0"/>
    <w:rsid w:val="37932BD0"/>
    <w:rsid w:val="37C27489"/>
    <w:rsid w:val="37E739FF"/>
    <w:rsid w:val="382B425E"/>
    <w:rsid w:val="382E4251"/>
    <w:rsid w:val="38354B20"/>
    <w:rsid w:val="386C6E22"/>
    <w:rsid w:val="38B24073"/>
    <w:rsid w:val="38F14172"/>
    <w:rsid w:val="38FE52CA"/>
    <w:rsid w:val="39395A12"/>
    <w:rsid w:val="393E0D7A"/>
    <w:rsid w:val="3991701F"/>
    <w:rsid w:val="399426AE"/>
    <w:rsid w:val="39993745"/>
    <w:rsid w:val="399B5569"/>
    <w:rsid w:val="39CE741E"/>
    <w:rsid w:val="39CE7F3D"/>
    <w:rsid w:val="3A1D4334"/>
    <w:rsid w:val="3A4F5858"/>
    <w:rsid w:val="3A825D37"/>
    <w:rsid w:val="3AD3399C"/>
    <w:rsid w:val="3AD859BD"/>
    <w:rsid w:val="3ADA64EB"/>
    <w:rsid w:val="3B180D9D"/>
    <w:rsid w:val="3B267220"/>
    <w:rsid w:val="3B461CD1"/>
    <w:rsid w:val="3B4D7BC2"/>
    <w:rsid w:val="3B5702A0"/>
    <w:rsid w:val="3B6125B5"/>
    <w:rsid w:val="3B8F18DF"/>
    <w:rsid w:val="3B8F764D"/>
    <w:rsid w:val="3BA26A85"/>
    <w:rsid w:val="3BB10606"/>
    <w:rsid w:val="3BC84EC2"/>
    <w:rsid w:val="3BDA6B12"/>
    <w:rsid w:val="3BE7275C"/>
    <w:rsid w:val="3C444F03"/>
    <w:rsid w:val="3C970D40"/>
    <w:rsid w:val="3CA73F0B"/>
    <w:rsid w:val="3CE33D78"/>
    <w:rsid w:val="3D0B6137"/>
    <w:rsid w:val="3D1A1B45"/>
    <w:rsid w:val="3D585D6B"/>
    <w:rsid w:val="3DAA16FB"/>
    <w:rsid w:val="3E2F74E8"/>
    <w:rsid w:val="3E646EDA"/>
    <w:rsid w:val="3E9C5324"/>
    <w:rsid w:val="3F0B5CE3"/>
    <w:rsid w:val="3F0C2F41"/>
    <w:rsid w:val="3F5937B7"/>
    <w:rsid w:val="3FC02050"/>
    <w:rsid w:val="3FC406F4"/>
    <w:rsid w:val="3FC8528B"/>
    <w:rsid w:val="3FCF6677"/>
    <w:rsid w:val="400979C7"/>
    <w:rsid w:val="406265CD"/>
    <w:rsid w:val="40BD4895"/>
    <w:rsid w:val="40E2646F"/>
    <w:rsid w:val="414E0D92"/>
    <w:rsid w:val="421D0598"/>
    <w:rsid w:val="422975BF"/>
    <w:rsid w:val="42965CFB"/>
    <w:rsid w:val="42AC53E6"/>
    <w:rsid w:val="42BD7896"/>
    <w:rsid w:val="42D1153C"/>
    <w:rsid w:val="432562DF"/>
    <w:rsid w:val="432758B2"/>
    <w:rsid w:val="43544F1F"/>
    <w:rsid w:val="435B50BE"/>
    <w:rsid w:val="43B676F0"/>
    <w:rsid w:val="43C32FF7"/>
    <w:rsid w:val="43DA7CB0"/>
    <w:rsid w:val="44025158"/>
    <w:rsid w:val="44077CAE"/>
    <w:rsid w:val="4549155B"/>
    <w:rsid w:val="460A7002"/>
    <w:rsid w:val="462166EF"/>
    <w:rsid w:val="462B0B59"/>
    <w:rsid w:val="46505844"/>
    <w:rsid w:val="46600357"/>
    <w:rsid w:val="467658C8"/>
    <w:rsid w:val="47024924"/>
    <w:rsid w:val="47027687"/>
    <w:rsid w:val="47204449"/>
    <w:rsid w:val="473B0504"/>
    <w:rsid w:val="47851C98"/>
    <w:rsid w:val="47A56A26"/>
    <w:rsid w:val="48031589"/>
    <w:rsid w:val="485C6F5B"/>
    <w:rsid w:val="486D04C1"/>
    <w:rsid w:val="48713A37"/>
    <w:rsid w:val="488661F1"/>
    <w:rsid w:val="489A4E17"/>
    <w:rsid w:val="48F841CE"/>
    <w:rsid w:val="48FA40A1"/>
    <w:rsid w:val="490B7A60"/>
    <w:rsid w:val="49342F26"/>
    <w:rsid w:val="494F7CB4"/>
    <w:rsid w:val="496832A1"/>
    <w:rsid w:val="497A0C12"/>
    <w:rsid w:val="497F67B0"/>
    <w:rsid w:val="49C56B6B"/>
    <w:rsid w:val="49CA3B5E"/>
    <w:rsid w:val="49D03B00"/>
    <w:rsid w:val="4A080191"/>
    <w:rsid w:val="4A17323B"/>
    <w:rsid w:val="4A7B0E7A"/>
    <w:rsid w:val="4A983BCC"/>
    <w:rsid w:val="4A9B3547"/>
    <w:rsid w:val="4AA73086"/>
    <w:rsid w:val="4AAE0AA5"/>
    <w:rsid w:val="4AC1789D"/>
    <w:rsid w:val="4AC7337A"/>
    <w:rsid w:val="4AEC1D9E"/>
    <w:rsid w:val="4B8157A4"/>
    <w:rsid w:val="4BAD2E87"/>
    <w:rsid w:val="4C5F1971"/>
    <w:rsid w:val="4C83604A"/>
    <w:rsid w:val="4C9D046F"/>
    <w:rsid w:val="4CA72890"/>
    <w:rsid w:val="4D3040F8"/>
    <w:rsid w:val="4D443FD6"/>
    <w:rsid w:val="4DA63D12"/>
    <w:rsid w:val="4DC90BA5"/>
    <w:rsid w:val="4DE03FE6"/>
    <w:rsid w:val="4E204B43"/>
    <w:rsid w:val="4E2607D6"/>
    <w:rsid w:val="4E310F13"/>
    <w:rsid w:val="4E6F60A5"/>
    <w:rsid w:val="4EC7465F"/>
    <w:rsid w:val="4F1E4347"/>
    <w:rsid w:val="4F5D3339"/>
    <w:rsid w:val="4F7F70B8"/>
    <w:rsid w:val="4FE912AB"/>
    <w:rsid w:val="4FF50967"/>
    <w:rsid w:val="504848A1"/>
    <w:rsid w:val="505F7D3F"/>
    <w:rsid w:val="50AA187F"/>
    <w:rsid w:val="50D70789"/>
    <w:rsid w:val="51013D67"/>
    <w:rsid w:val="51445A20"/>
    <w:rsid w:val="5160358C"/>
    <w:rsid w:val="51776C51"/>
    <w:rsid w:val="517F53C4"/>
    <w:rsid w:val="51827C6D"/>
    <w:rsid w:val="51893A96"/>
    <w:rsid w:val="51BC24A9"/>
    <w:rsid w:val="51C9106E"/>
    <w:rsid w:val="525F2F84"/>
    <w:rsid w:val="5295438C"/>
    <w:rsid w:val="52B45E6A"/>
    <w:rsid w:val="52CB5587"/>
    <w:rsid w:val="52F0015F"/>
    <w:rsid w:val="530D77D0"/>
    <w:rsid w:val="531E724B"/>
    <w:rsid w:val="53334763"/>
    <w:rsid w:val="53343EE6"/>
    <w:rsid w:val="53626883"/>
    <w:rsid w:val="53722C92"/>
    <w:rsid w:val="53A877AE"/>
    <w:rsid w:val="53D11760"/>
    <w:rsid w:val="5435341F"/>
    <w:rsid w:val="54670BBE"/>
    <w:rsid w:val="54876209"/>
    <w:rsid w:val="550011B9"/>
    <w:rsid w:val="5540120C"/>
    <w:rsid w:val="55854075"/>
    <w:rsid w:val="55E86AAF"/>
    <w:rsid w:val="55FF64F1"/>
    <w:rsid w:val="564C4253"/>
    <w:rsid w:val="56C73F9E"/>
    <w:rsid w:val="56C8215C"/>
    <w:rsid w:val="588230E9"/>
    <w:rsid w:val="58A9584A"/>
    <w:rsid w:val="58C263AC"/>
    <w:rsid w:val="59624340"/>
    <w:rsid w:val="59745DBA"/>
    <w:rsid w:val="59845A85"/>
    <w:rsid w:val="59C44BE7"/>
    <w:rsid w:val="59CC73BB"/>
    <w:rsid w:val="5A020ADA"/>
    <w:rsid w:val="5A137DCD"/>
    <w:rsid w:val="5A145E31"/>
    <w:rsid w:val="5A3D56B5"/>
    <w:rsid w:val="5A4F6CC0"/>
    <w:rsid w:val="5AAD68BD"/>
    <w:rsid w:val="5AAE51B4"/>
    <w:rsid w:val="5ADF12CA"/>
    <w:rsid w:val="5B1E5328"/>
    <w:rsid w:val="5B2C6541"/>
    <w:rsid w:val="5B474A5A"/>
    <w:rsid w:val="5BB579D1"/>
    <w:rsid w:val="5BDC5829"/>
    <w:rsid w:val="5C110DDD"/>
    <w:rsid w:val="5C3A2032"/>
    <w:rsid w:val="5CF61B93"/>
    <w:rsid w:val="5D1052FA"/>
    <w:rsid w:val="5D1D0851"/>
    <w:rsid w:val="5D3E1C2F"/>
    <w:rsid w:val="5D583DE7"/>
    <w:rsid w:val="5D6342E6"/>
    <w:rsid w:val="5D8636AE"/>
    <w:rsid w:val="5DCD0939"/>
    <w:rsid w:val="5DD233EE"/>
    <w:rsid w:val="5E496A35"/>
    <w:rsid w:val="5EE41D7B"/>
    <w:rsid w:val="5F1F3A7C"/>
    <w:rsid w:val="5F350EF6"/>
    <w:rsid w:val="5F4B31B1"/>
    <w:rsid w:val="5F4F7E6B"/>
    <w:rsid w:val="5F883B49"/>
    <w:rsid w:val="5FB46B08"/>
    <w:rsid w:val="5FFE1BA0"/>
    <w:rsid w:val="604A6BC5"/>
    <w:rsid w:val="60BD362F"/>
    <w:rsid w:val="60F12A63"/>
    <w:rsid w:val="61367DEF"/>
    <w:rsid w:val="616B3FB4"/>
    <w:rsid w:val="61CF5246"/>
    <w:rsid w:val="62652AD0"/>
    <w:rsid w:val="62B34B22"/>
    <w:rsid w:val="62C429E6"/>
    <w:rsid w:val="62E66109"/>
    <w:rsid w:val="62EA6012"/>
    <w:rsid w:val="630A05E5"/>
    <w:rsid w:val="63E63D24"/>
    <w:rsid w:val="63EA33F4"/>
    <w:rsid w:val="64854F16"/>
    <w:rsid w:val="64AA10BE"/>
    <w:rsid w:val="64B4673E"/>
    <w:rsid w:val="64CA32F0"/>
    <w:rsid w:val="6533040D"/>
    <w:rsid w:val="654A6FC0"/>
    <w:rsid w:val="65576517"/>
    <w:rsid w:val="655B7CD2"/>
    <w:rsid w:val="65BA371C"/>
    <w:rsid w:val="66023D88"/>
    <w:rsid w:val="66561BB5"/>
    <w:rsid w:val="66D70B92"/>
    <w:rsid w:val="67451EB4"/>
    <w:rsid w:val="674C0C24"/>
    <w:rsid w:val="67827335"/>
    <w:rsid w:val="67962470"/>
    <w:rsid w:val="680C353D"/>
    <w:rsid w:val="68412F23"/>
    <w:rsid w:val="6879555A"/>
    <w:rsid w:val="68981A38"/>
    <w:rsid w:val="689F1341"/>
    <w:rsid w:val="68C61C72"/>
    <w:rsid w:val="69476EF6"/>
    <w:rsid w:val="69612C3B"/>
    <w:rsid w:val="69661D25"/>
    <w:rsid w:val="69E80277"/>
    <w:rsid w:val="6A2A6526"/>
    <w:rsid w:val="6ACE6DEF"/>
    <w:rsid w:val="6AF8551B"/>
    <w:rsid w:val="6B1B32C5"/>
    <w:rsid w:val="6BBE2420"/>
    <w:rsid w:val="6BEF6186"/>
    <w:rsid w:val="6BFD6556"/>
    <w:rsid w:val="6C581DD8"/>
    <w:rsid w:val="6C824305"/>
    <w:rsid w:val="6CC232C6"/>
    <w:rsid w:val="6CDA1E20"/>
    <w:rsid w:val="6D0E6661"/>
    <w:rsid w:val="6D290925"/>
    <w:rsid w:val="6D2A2BA7"/>
    <w:rsid w:val="6D4C6237"/>
    <w:rsid w:val="6D6E0874"/>
    <w:rsid w:val="6D6F0E0F"/>
    <w:rsid w:val="6D8B7BE0"/>
    <w:rsid w:val="6DE225B5"/>
    <w:rsid w:val="6DF808E6"/>
    <w:rsid w:val="6E386DE1"/>
    <w:rsid w:val="6EEA4463"/>
    <w:rsid w:val="6F0412AC"/>
    <w:rsid w:val="6F123965"/>
    <w:rsid w:val="6F3127DE"/>
    <w:rsid w:val="6F536AAE"/>
    <w:rsid w:val="6F627B35"/>
    <w:rsid w:val="6F9D5130"/>
    <w:rsid w:val="6FA159F4"/>
    <w:rsid w:val="6FAF43A0"/>
    <w:rsid w:val="6FBB7D76"/>
    <w:rsid w:val="70083DDD"/>
    <w:rsid w:val="70420520"/>
    <w:rsid w:val="70665B5C"/>
    <w:rsid w:val="70845663"/>
    <w:rsid w:val="70BC3DBE"/>
    <w:rsid w:val="70BD1051"/>
    <w:rsid w:val="70D855FA"/>
    <w:rsid w:val="70F86CD1"/>
    <w:rsid w:val="70FB46C0"/>
    <w:rsid w:val="711F4A4F"/>
    <w:rsid w:val="71411F38"/>
    <w:rsid w:val="71423F1B"/>
    <w:rsid w:val="71531D8A"/>
    <w:rsid w:val="717E2FD5"/>
    <w:rsid w:val="71AB7CC2"/>
    <w:rsid w:val="7263130C"/>
    <w:rsid w:val="72663B44"/>
    <w:rsid w:val="72831E21"/>
    <w:rsid w:val="72BC25AD"/>
    <w:rsid w:val="72C75D75"/>
    <w:rsid w:val="72F273BC"/>
    <w:rsid w:val="73055085"/>
    <w:rsid w:val="732F26CA"/>
    <w:rsid w:val="735D2E9E"/>
    <w:rsid w:val="735F2BF7"/>
    <w:rsid w:val="73780350"/>
    <w:rsid w:val="738A331A"/>
    <w:rsid w:val="738D2D9F"/>
    <w:rsid w:val="73C246A6"/>
    <w:rsid w:val="73D37D0D"/>
    <w:rsid w:val="73D50435"/>
    <w:rsid w:val="74081607"/>
    <w:rsid w:val="7445044C"/>
    <w:rsid w:val="744E2ED4"/>
    <w:rsid w:val="74955E77"/>
    <w:rsid w:val="74D939AB"/>
    <w:rsid w:val="757F1E34"/>
    <w:rsid w:val="75BB52CB"/>
    <w:rsid w:val="75C261C2"/>
    <w:rsid w:val="760A5FEB"/>
    <w:rsid w:val="76105A95"/>
    <w:rsid w:val="7678025A"/>
    <w:rsid w:val="76A8365F"/>
    <w:rsid w:val="7772689D"/>
    <w:rsid w:val="77853D23"/>
    <w:rsid w:val="77C97A90"/>
    <w:rsid w:val="77D51898"/>
    <w:rsid w:val="7806366E"/>
    <w:rsid w:val="780F0556"/>
    <w:rsid w:val="78997F9D"/>
    <w:rsid w:val="78A05C73"/>
    <w:rsid w:val="78C80459"/>
    <w:rsid w:val="78ED7CAC"/>
    <w:rsid w:val="79327B46"/>
    <w:rsid w:val="794938EC"/>
    <w:rsid w:val="795E7307"/>
    <w:rsid w:val="79B618A7"/>
    <w:rsid w:val="79C063FE"/>
    <w:rsid w:val="79E743FA"/>
    <w:rsid w:val="79ED3A6D"/>
    <w:rsid w:val="7A343CC5"/>
    <w:rsid w:val="7A37630F"/>
    <w:rsid w:val="7A643CF3"/>
    <w:rsid w:val="7AA010F2"/>
    <w:rsid w:val="7AC8294B"/>
    <w:rsid w:val="7B1328A5"/>
    <w:rsid w:val="7B741F9B"/>
    <w:rsid w:val="7B7D36D7"/>
    <w:rsid w:val="7B830A1C"/>
    <w:rsid w:val="7BB568D7"/>
    <w:rsid w:val="7BDA430F"/>
    <w:rsid w:val="7BEE0603"/>
    <w:rsid w:val="7BF553EF"/>
    <w:rsid w:val="7C36472A"/>
    <w:rsid w:val="7C415568"/>
    <w:rsid w:val="7C467D34"/>
    <w:rsid w:val="7C583E05"/>
    <w:rsid w:val="7C66421B"/>
    <w:rsid w:val="7C6F180A"/>
    <w:rsid w:val="7C735EC8"/>
    <w:rsid w:val="7C75516B"/>
    <w:rsid w:val="7C7D0880"/>
    <w:rsid w:val="7CDE15A0"/>
    <w:rsid w:val="7D865B3C"/>
    <w:rsid w:val="7D901AF7"/>
    <w:rsid w:val="7DF6467E"/>
    <w:rsid w:val="7DF96DF3"/>
    <w:rsid w:val="7E4232F1"/>
    <w:rsid w:val="7E4729C6"/>
    <w:rsid w:val="7EBB27C9"/>
    <w:rsid w:val="7F1561EA"/>
    <w:rsid w:val="7F512C53"/>
    <w:rsid w:val="7F7926C2"/>
    <w:rsid w:val="7FBD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  <w:rPr>
      <w:rFonts w:ascii="Times New Roman" w:hAnsi="Times New Roman" w:eastAsia="仿宋体" w:cs="Times New Roman"/>
      <w:sz w:val="32"/>
      <w:szCs w:val="32"/>
    </w:rPr>
  </w:style>
  <w:style w:type="paragraph" w:styleId="3">
    <w:name w:val="Body Text Indent"/>
    <w:basedOn w:val="1"/>
    <w:qFormat/>
    <w:uiPriority w:val="0"/>
    <w:pPr>
      <w:tabs>
        <w:tab w:val="left" w:pos="720"/>
      </w:tabs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</w:style>
  <w:style w:type="character" w:styleId="11">
    <w:name w:val="FollowedHyperlink"/>
    <w:basedOn w:val="9"/>
    <w:qFormat/>
    <w:uiPriority w:val="0"/>
    <w:rPr>
      <w:color w:val="0000FF"/>
      <w:sz w:val="18"/>
      <w:szCs w:val="18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内文"/>
    <w:basedOn w:val="1"/>
    <w:qFormat/>
    <w:uiPriority w:val="0"/>
    <w:pPr>
      <w:spacing w:line="560" w:lineRule="exact"/>
      <w:ind w:firstLine="200" w:firstLineChars="200"/>
    </w:pPr>
    <w:rPr>
      <w:color w:val="000000"/>
      <w:sz w:val="28"/>
      <w:szCs w:val="28"/>
    </w:rPr>
  </w:style>
  <w:style w:type="paragraph" w:customStyle="1" w:styleId="15">
    <w:name w:val="Heading #2|1"/>
    <w:basedOn w:val="1"/>
    <w:qFormat/>
    <w:uiPriority w:val="0"/>
    <w:pPr>
      <w:widowControl w:val="0"/>
      <w:shd w:val="clear" w:color="auto" w:fill="auto"/>
      <w:spacing w:after="640" w:line="648" w:lineRule="exact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2020-03-23T03:32:00Z</dcterms:created>
  <dc:creator>Administrator</dc:creator>
  <cp:lastModifiedBy>Administrator</cp:lastModifiedBy>
  <cp:lastPrinted>2021-12-22T10:33:24Z</cp:lastPrinted>
  <dcterms:modified xsi:type="dcterms:W3CDTF">2021-12-22T10:46:16Z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03D6A2D92CD34E9A8063A1E4CBF74F0B</vt:lpwstr>
  </property>
</Properties>
</file>