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pacing w:line="480" w:lineRule="exact"/>
        <w:rPr>
          <w:rFonts w:ascii="Times New Roman" w:hAnsi="Times New Roman" w:eastAsia="黑体"/>
          <w:sz w:val="32"/>
          <w:szCs w:val="32"/>
        </w:rPr>
      </w:pPr>
      <w:r>
        <w:rPr>
          <w:rFonts w:ascii="Times New Roman" w:hAnsi="Times New Roman" w:eastAsia="黑体"/>
          <w:sz w:val="32"/>
          <w:szCs w:val="32"/>
        </w:rPr>
        <w:t xml:space="preserve">                                                       </w:t>
      </w:r>
    </w:p>
    <w:tbl>
      <w:tblPr>
        <w:tblStyle w:val="7"/>
        <w:tblW w:w="9173" w:type="dxa"/>
        <w:tblInd w:w="0" w:type="dxa"/>
        <w:tblBorders>
          <w:top w:val="none" w:color="auto" w:sz="0" w:space="0"/>
          <w:left w:val="none" w:color="auto" w:sz="0" w:space="0"/>
          <w:bottom w:val="single" w:color="auto" w:sz="4"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9173"/>
      </w:tblGrid>
      <w:tr>
        <w:tblPrEx>
          <w:tblBorders>
            <w:top w:val="none" w:color="auto" w:sz="0" w:space="0"/>
            <w:left w:val="none" w:color="auto" w:sz="0" w:space="0"/>
            <w:bottom w:val="single" w:color="auto" w:sz="4"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9173" w:type="dxa"/>
            <w:noWrap w:val="0"/>
            <w:vAlign w:val="top"/>
          </w:tcPr>
          <w:p>
            <w:pPr>
              <w:spacing w:line="360" w:lineRule="auto"/>
              <w:jc w:val="center"/>
              <w:rPr>
                <w:rFonts w:hint="eastAsia" w:ascii="黑体" w:hAnsi="黑体" w:eastAsia="黑体" w:cs="黑体"/>
                <w:b/>
                <w:bCs/>
                <w:spacing w:val="20"/>
                <w:w w:val="105"/>
                <w:sz w:val="44"/>
                <w:szCs w:val="44"/>
              </w:rPr>
            </w:pPr>
            <w:r>
              <w:rPr>
                <w:rFonts w:hint="eastAsia" w:ascii="黑体" w:hAnsi="黑体" w:eastAsia="黑体" w:cs="黑体"/>
                <w:b/>
                <w:bCs/>
                <w:spacing w:val="20"/>
                <w:w w:val="105"/>
                <w:sz w:val="44"/>
                <w:szCs w:val="44"/>
              </w:rPr>
              <w:t>产品质量监督抽查实施细则</w:t>
            </w:r>
          </w:p>
        </w:tc>
      </w:tr>
    </w:tbl>
    <w:p>
      <w:pPr>
        <w:adjustRightInd w:val="0"/>
        <w:spacing w:line="480" w:lineRule="exact"/>
        <w:jc w:val="center"/>
        <w:rPr>
          <w:rFonts w:hint="eastAsia" w:ascii="黑体" w:hAnsi="黑体" w:eastAsia="黑体" w:cs="黑体"/>
          <w:b/>
          <w:bCs/>
          <w:sz w:val="44"/>
          <w:szCs w:val="44"/>
        </w:rPr>
      </w:pPr>
    </w:p>
    <w:p>
      <w:pPr>
        <w:adjustRightInd w:val="0"/>
        <w:spacing w:line="480" w:lineRule="exact"/>
        <w:jc w:val="center"/>
        <w:rPr>
          <w:rFonts w:hint="eastAsia" w:ascii="黑体" w:hAnsi="黑体" w:eastAsia="黑体" w:cs="黑体"/>
          <w:b/>
          <w:bCs/>
          <w:sz w:val="44"/>
          <w:szCs w:val="44"/>
        </w:rPr>
      </w:pPr>
    </w:p>
    <w:p>
      <w:pPr>
        <w:adjustRightInd w:val="0"/>
        <w:spacing w:line="480" w:lineRule="exact"/>
        <w:jc w:val="center"/>
        <w:rPr>
          <w:rFonts w:hint="eastAsia" w:ascii="黑体" w:hAnsi="黑体" w:eastAsia="黑体" w:cs="黑体"/>
          <w:b/>
          <w:bCs/>
          <w:sz w:val="44"/>
          <w:szCs w:val="44"/>
        </w:rPr>
      </w:pPr>
    </w:p>
    <w:p>
      <w:pPr>
        <w:adjustRightInd w:val="0"/>
        <w:spacing w:line="480" w:lineRule="exact"/>
        <w:jc w:val="center"/>
        <w:rPr>
          <w:rFonts w:hint="eastAsia" w:ascii="黑体" w:hAnsi="黑体" w:eastAsia="黑体" w:cs="黑体"/>
          <w:b/>
          <w:bCs/>
          <w:sz w:val="44"/>
          <w:szCs w:val="44"/>
        </w:rPr>
      </w:pPr>
    </w:p>
    <w:p>
      <w:pPr>
        <w:adjustRightInd w:val="0"/>
        <w:spacing w:line="480" w:lineRule="exact"/>
        <w:jc w:val="center"/>
        <w:rPr>
          <w:rFonts w:hint="eastAsia" w:ascii="黑体" w:hAnsi="黑体" w:eastAsia="黑体" w:cs="黑体"/>
          <w:b/>
          <w:bCs/>
          <w:sz w:val="44"/>
          <w:szCs w:val="44"/>
        </w:rPr>
      </w:pPr>
    </w:p>
    <w:p>
      <w:pPr>
        <w:adjustRightInd w:val="0"/>
        <w:spacing w:line="480" w:lineRule="exact"/>
        <w:jc w:val="center"/>
        <w:rPr>
          <w:rFonts w:hint="eastAsia" w:ascii="黑体" w:hAnsi="黑体" w:eastAsia="黑体" w:cs="黑体"/>
          <w:b/>
          <w:bCs/>
          <w:sz w:val="44"/>
          <w:szCs w:val="44"/>
        </w:rPr>
      </w:pPr>
    </w:p>
    <w:p>
      <w:pPr>
        <w:adjustRightInd w:val="0"/>
        <w:spacing w:line="480" w:lineRule="exact"/>
        <w:jc w:val="center"/>
        <w:rPr>
          <w:rFonts w:hint="eastAsia" w:ascii="黑体" w:hAnsi="黑体" w:eastAsia="黑体" w:cs="黑体"/>
          <w:b/>
          <w:bCs/>
          <w:sz w:val="44"/>
          <w:szCs w:val="44"/>
        </w:rPr>
      </w:pPr>
    </w:p>
    <w:p>
      <w:pPr>
        <w:adjustRightInd w:val="0"/>
        <w:spacing w:line="480" w:lineRule="exact"/>
        <w:jc w:val="center"/>
        <w:rPr>
          <w:rFonts w:hint="eastAsia" w:ascii="黑体" w:hAnsi="黑体" w:eastAsia="黑体" w:cs="黑体"/>
          <w:b/>
          <w:bCs/>
          <w:sz w:val="44"/>
          <w:szCs w:val="44"/>
        </w:rPr>
      </w:pPr>
    </w:p>
    <w:p>
      <w:pPr>
        <w:spacing w:line="600" w:lineRule="exact"/>
        <w:jc w:val="center"/>
        <w:rPr>
          <w:rFonts w:hint="eastAsia" w:ascii="黑体" w:hAnsi="黑体" w:eastAsia="黑体" w:cs="黑体"/>
          <w:b/>
          <w:bCs/>
          <w:sz w:val="44"/>
          <w:szCs w:val="44"/>
        </w:rPr>
      </w:pPr>
      <w:r>
        <w:rPr>
          <w:rFonts w:hint="eastAsia" w:ascii="黑体" w:hAnsi="黑体" w:eastAsia="黑体" w:cs="黑体"/>
          <w:b/>
          <w:bCs/>
          <w:sz w:val="44"/>
          <w:szCs w:val="44"/>
        </w:rPr>
        <w:t>202</w:t>
      </w:r>
      <w:r>
        <w:rPr>
          <w:rFonts w:hint="eastAsia" w:ascii="黑体" w:hAnsi="黑体" w:eastAsia="黑体" w:cs="黑体"/>
          <w:b/>
          <w:bCs/>
          <w:sz w:val="44"/>
          <w:szCs w:val="44"/>
          <w:lang w:val="en-US" w:eastAsia="zh-CN"/>
        </w:rPr>
        <w:t>4</w:t>
      </w:r>
      <w:r>
        <w:rPr>
          <w:rFonts w:hint="eastAsia" w:ascii="黑体" w:hAnsi="黑体" w:eastAsia="黑体" w:cs="黑体"/>
          <w:b/>
          <w:bCs/>
          <w:sz w:val="44"/>
          <w:szCs w:val="44"/>
        </w:rPr>
        <w:t>年</w:t>
      </w:r>
      <w:r>
        <w:rPr>
          <w:rFonts w:hint="eastAsia" w:ascii="黑体" w:hAnsi="黑体" w:eastAsia="黑体" w:cs="黑体"/>
          <w:b/>
          <w:bCs/>
          <w:sz w:val="44"/>
          <w:szCs w:val="44"/>
          <w:lang w:eastAsia="zh-CN"/>
        </w:rPr>
        <w:t>巩留县</w:t>
      </w:r>
      <w:r>
        <w:rPr>
          <w:rFonts w:hint="eastAsia" w:ascii="黑体" w:hAnsi="黑体" w:eastAsia="黑体" w:cs="黑体"/>
          <w:b/>
          <w:bCs/>
          <w:sz w:val="44"/>
          <w:szCs w:val="44"/>
        </w:rPr>
        <w:t>化肥产品质量监督抽查</w:t>
      </w:r>
    </w:p>
    <w:p>
      <w:pPr>
        <w:spacing w:line="600" w:lineRule="exact"/>
        <w:jc w:val="center"/>
        <w:rPr>
          <w:rFonts w:hint="eastAsia" w:ascii="黑体" w:hAnsi="黑体" w:eastAsia="黑体" w:cs="黑体"/>
          <w:b/>
          <w:bCs/>
          <w:sz w:val="44"/>
          <w:szCs w:val="44"/>
        </w:rPr>
      </w:pPr>
      <w:r>
        <w:rPr>
          <w:rFonts w:hint="eastAsia" w:ascii="黑体" w:hAnsi="黑体" w:eastAsia="黑体" w:cs="黑体"/>
          <w:b/>
          <w:bCs/>
          <w:sz w:val="44"/>
          <w:szCs w:val="44"/>
        </w:rPr>
        <w:t>实施细则</w:t>
      </w:r>
    </w:p>
    <w:p>
      <w:pPr>
        <w:tabs>
          <w:tab w:val="left" w:pos="6930"/>
        </w:tabs>
        <w:adjustRightInd w:val="0"/>
        <w:spacing w:line="480" w:lineRule="exact"/>
        <w:jc w:val="left"/>
        <w:rPr>
          <w:rFonts w:ascii="Times New Roman" w:hAnsi="Times New Roman" w:eastAsia="黑体"/>
          <w:b/>
          <w:bCs/>
          <w:sz w:val="44"/>
          <w:szCs w:val="44"/>
        </w:rPr>
      </w:pPr>
      <w:r>
        <w:rPr>
          <w:rFonts w:hint="eastAsia" w:ascii="黑体" w:hAnsi="黑体" w:eastAsia="黑体" w:cs="黑体"/>
          <w:b/>
          <w:bCs/>
          <w:sz w:val="44"/>
          <w:szCs w:val="44"/>
        </w:rPr>
        <w:t xml:space="preserve">           </w:t>
      </w:r>
    </w:p>
    <w:p>
      <w:pPr>
        <w:adjustRightInd w:val="0"/>
        <w:spacing w:line="480" w:lineRule="exact"/>
        <w:jc w:val="center"/>
        <w:rPr>
          <w:rFonts w:ascii="Times New Roman" w:hAnsi="Times New Roman" w:eastAsia="黑体"/>
          <w:b/>
          <w:sz w:val="52"/>
          <w:szCs w:val="52"/>
        </w:rPr>
      </w:pPr>
    </w:p>
    <w:p>
      <w:pPr>
        <w:adjustRightInd w:val="0"/>
        <w:spacing w:line="480" w:lineRule="exact"/>
        <w:jc w:val="center"/>
        <w:rPr>
          <w:rFonts w:ascii="Times New Roman" w:hAnsi="Times New Roman" w:eastAsia="黑体"/>
          <w:b/>
          <w:sz w:val="52"/>
          <w:szCs w:val="52"/>
        </w:rPr>
      </w:pPr>
    </w:p>
    <w:p>
      <w:pPr>
        <w:adjustRightInd w:val="0"/>
        <w:spacing w:line="480" w:lineRule="exact"/>
        <w:jc w:val="center"/>
        <w:rPr>
          <w:rFonts w:ascii="Times New Roman" w:hAnsi="Times New Roman" w:eastAsia="黑体"/>
          <w:b/>
          <w:sz w:val="52"/>
          <w:szCs w:val="52"/>
        </w:rPr>
      </w:pPr>
      <w:r>
        <w:rPr>
          <w:rFonts w:ascii="Times New Roman" w:hAnsi="Times New Roman"/>
        </w:rPr>
        <mc:AlternateContent>
          <mc:Choice Requires="wps">
            <w:drawing>
              <wp:anchor distT="0" distB="0" distL="114300" distR="114300" simplePos="0" relativeHeight="251659264" behindDoc="0" locked="0" layoutInCell="1" allowOverlap="1">
                <wp:simplePos x="0" y="0"/>
                <wp:positionH relativeFrom="page">
                  <wp:posOffset>3657600</wp:posOffset>
                </wp:positionH>
                <wp:positionV relativeFrom="page">
                  <wp:posOffset>6865620</wp:posOffset>
                </wp:positionV>
                <wp:extent cx="1440180" cy="198120"/>
                <wp:effectExtent l="0" t="0" r="7620" b="11430"/>
                <wp:wrapNone/>
                <wp:docPr id="1" name="文本框 3"/>
                <wp:cNvGraphicFramePr/>
                <a:graphic xmlns:a="http://schemas.openxmlformats.org/drawingml/2006/main">
                  <a:graphicData uri="http://schemas.microsoft.com/office/word/2010/wordprocessingShape">
                    <wps:wsp>
                      <wps:cNvSpPr txBox="1"/>
                      <wps:spPr>
                        <a:xfrm>
                          <a:off x="0" y="0"/>
                          <a:ext cx="1440180" cy="198120"/>
                        </a:xfrm>
                        <a:prstGeom prst="rect">
                          <a:avLst/>
                        </a:prstGeom>
                        <a:solidFill>
                          <a:srgbClr val="FFFFFF"/>
                        </a:solidFill>
                        <a:ln>
                          <a:noFill/>
                        </a:ln>
                      </wps:spPr>
                      <wps:txbx>
                        <w:txbxContent>
                          <w:p/>
                        </w:txbxContent>
                      </wps:txbx>
                      <wps:bodyPr wrap="square" lIns="0" tIns="0" rIns="0" bIns="0" upright="1"/>
                    </wps:wsp>
                  </a:graphicData>
                </a:graphic>
              </wp:anchor>
            </w:drawing>
          </mc:Choice>
          <mc:Fallback>
            <w:pict>
              <v:shape id="文本框 3" o:spid="_x0000_s1026" o:spt="202" type="#_x0000_t202" style="position:absolute;left:0pt;margin-left:288pt;margin-top:540.6pt;height:15.6pt;width:113.4pt;mso-position-horizontal-relative:page;mso-position-vertical-relative:page;z-index:251659264;mso-width-relative:page;mso-height-relative:page;" fillcolor="#FFFFFF" filled="t" stroked="f" coordsize="21600,21600" o:gfxdata="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">
                <v:fill on="t" focussize="0,0"/>
                <v:stroke on="f"/>
                <v:imagedata o:title=""/>
                <o:lock v:ext="edit" aspectratio="f"/>
                <v:textbox inset="0mm,0mm,0mm,0mm">
                  <w:txbxContent>
                    <w:p/>
                  </w:txbxContent>
                </v:textbox>
              </v:shape>
            </w:pict>
          </mc:Fallback>
        </mc:AlternateContent>
      </w:r>
    </w:p>
    <w:p>
      <w:pPr>
        <w:adjustRightInd w:val="0"/>
        <w:spacing w:line="480" w:lineRule="exact"/>
        <w:jc w:val="center"/>
        <w:rPr>
          <w:rFonts w:ascii="Times New Roman" w:hAnsi="Times New Roman" w:eastAsia="黑体"/>
          <w:b/>
          <w:sz w:val="52"/>
          <w:szCs w:val="52"/>
        </w:rPr>
      </w:pPr>
    </w:p>
    <w:p>
      <w:pPr>
        <w:adjustRightInd w:val="0"/>
        <w:spacing w:line="480" w:lineRule="exact"/>
        <w:jc w:val="center"/>
        <w:rPr>
          <w:rFonts w:ascii="Times New Roman" w:hAnsi="Times New Roman" w:eastAsia="黑体"/>
          <w:b/>
          <w:sz w:val="52"/>
          <w:szCs w:val="52"/>
        </w:rPr>
      </w:pPr>
    </w:p>
    <w:p>
      <w:pPr>
        <w:adjustRightInd w:val="0"/>
        <w:spacing w:line="480" w:lineRule="exact"/>
        <w:jc w:val="center"/>
        <w:rPr>
          <w:rFonts w:ascii="Times New Roman" w:hAnsi="Times New Roman" w:eastAsia="黑体"/>
          <w:b/>
          <w:sz w:val="52"/>
          <w:szCs w:val="52"/>
        </w:rPr>
      </w:pPr>
    </w:p>
    <w:p>
      <w:pPr>
        <w:adjustRightInd w:val="0"/>
        <w:spacing w:line="480" w:lineRule="exact"/>
        <w:jc w:val="center"/>
        <w:rPr>
          <w:rFonts w:ascii="Times New Roman" w:hAnsi="Times New Roman" w:eastAsia="黑体"/>
          <w:b/>
          <w:sz w:val="52"/>
          <w:szCs w:val="52"/>
        </w:rPr>
      </w:pPr>
    </w:p>
    <w:p>
      <w:pPr>
        <w:adjustRightInd w:val="0"/>
        <w:spacing w:line="480" w:lineRule="exact"/>
        <w:rPr>
          <w:rFonts w:ascii="Times New Roman" w:hAnsi="Times New Roman" w:eastAsia="黑体"/>
          <w:b/>
          <w:sz w:val="52"/>
          <w:szCs w:val="52"/>
        </w:rPr>
      </w:pPr>
    </w:p>
    <w:p>
      <w:pPr>
        <w:adjustRightInd w:val="0"/>
        <w:spacing w:line="480" w:lineRule="exact"/>
        <w:rPr>
          <w:rFonts w:ascii="Times New Roman" w:hAnsi="Times New Roman" w:eastAsia="黑体"/>
          <w:b/>
          <w:sz w:val="52"/>
          <w:szCs w:val="52"/>
        </w:rPr>
      </w:pPr>
    </w:p>
    <w:p>
      <w:pPr>
        <w:adjustRightInd w:val="0"/>
        <w:spacing w:line="480" w:lineRule="exact"/>
        <w:rPr>
          <w:rFonts w:ascii="Times New Roman" w:hAnsi="Times New Roman" w:eastAsia="黑体"/>
          <w:b/>
          <w:sz w:val="52"/>
          <w:szCs w:val="52"/>
        </w:rPr>
      </w:pPr>
    </w:p>
    <w:p>
      <w:pPr>
        <w:adjustRightInd w:val="0"/>
        <w:spacing w:line="480" w:lineRule="exact"/>
        <w:ind w:right="-693" w:rightChars="-330"/>
        <w:rPr>
          <w:rFonts w:hint="eastAsia" w:ascii="黑体" w:hAnsi="宋体" w:eastAsia="黑体"/>
          <w:b/>
          <w:bCs/>
          <w:color w:val="000000"/>
          <w:sz w:val="28"/>
          <w:szCs w:val="28"/>
          <w:u w:val="single"/>
        </w:rPr>
      </w:pPr>
      <w:r>
        <w:rPr>
          <w:rFonts w:hint="eastAsia" w:ascii="黑体" w:hAnsi="宋体" w:eastAsia="黑体"/>
          <w:color w:val="000000"/>
          <w:sz w:val="28"/>
          <w:szCs w:val="28"/>
          <w:u w:val="single"/>
        </w:rPr>
        <w:t xml:space="preserve"> </w:t>
      </w:r>
      <w:r>
        <w:rPr>
          <w:rFonts w:hint="eastAsia" w:ascii="黑体" w:hAnsi="宋体" w:eastAsia="黑体"/>
          <w:b/>
          <w:bCs/>
          <w:color w:val="000000"/>
          <w:sz w:val="28"/>
          <w:szCs w:val="28"/>
          <w:u w:val="single"/>
        </w:rPr>
        <w:t>202</w:t>
      </w:r>
      <w:r>
        <w:rPr>
          <w:rFonts w:hint="eastAsia" w:ascii="黑体" w:hAnsi="宋体" w:eastAsia="黑体"/>
          <w:b/>
          <w:bCs/>
          <w:color w:val="000000"/>
          <w:sz w:val="28"/>
          <w:szCs w:val="28"/>
          <w:u w:val="single"/>
          <w:lang w:val="en-US" w:eastAsia="zh-CN"/>
        </w:rPr>
        <w:t>4</w:t>
      </w:r>
      <w:r>
        <w:rPr>
          <w:rFonts w:hint="eastAsia" w:ascii="黑体" w:hAnsi="宋体" w:eastAsia="黑体"/>
          <w:b/>
          <w:bCs/>
          <w:color w:val="000000"/>
          <w:sz w:val="28"/>
          <w:szCs w:val="28"/>
          <w:u w:val="single"/>
        </w:rPr>
        <w:t>-</w:t>
      </w:r>
      <w:r>
        <w:rPr>
          <w:rFonts w:ascii="黑体" w:hAnsi="宋体" w:eastAsia="黑体"/>
          <w:b/>
          <w:bCs/>
          <w:color w:val="000000"/>
          <w:sz w:val="28"/>
          <w:szCs w:val="28"/>
          <w:u w:val="single"/>
        </w:rPr>
        <w:t>0</w:t>
      </w:r>
      <w:r>
        <w:rPr>
          <w:rFonts w:hint="eastAsia" w:ascii="黑体" w:hAnsi="宋体" w:eastAsia="黑体"/>
          <w:b/>
          <w:bCs/>
          <w:color w:val="000000"/>
          <w:sz w:val="28"/>
          <w:szCs w:val="28"/>
          <w:u w:val="single"/>
          <w:lang w:val="en-US" w:eastAsia="zh-CN"/>
        </w:rPr>
        <w:t>6</w:t>
      </w:r>
      <w:r>
        <w:rPr>
          <w:rFonts w:hint="eastAsia" w:ascii="黑体" w:hAnsi="宋体" w:eastAsia="黑体"/>
          <w:b/>
          <w:bCs/>
          <w:color w:val="000000"/>
          <w:sz w:val="28"/>
          <w:szCs w:val="28"/>
          <w:u w:val="single"/>
        </w:rPr>
        <w:t>-</w:t>
      </w:r>
      <w:r>
        <w:rPr>
          <w:rFonts w:hint="eastAsia" w:ascii="黑体" w:hAnsi="宋体" w:eastAsia="黑体"/>
          <w:b/>
          <w:bCs/>
          <w:color w:val="000000"/>
          <w:sz w:val="28"/>
          <w:szCs w:val="28"/>
          <w:u w:val="single"/>
          <w:lang w:val="en-US" w:eastAsia="zh-CN"/>
        </w:rPr>
        <w:t>15</w:t>
      </w:r>
      <w:r>
        <w:rPr>
          <w:rFonts w:hint="eastAsia" w:ascii="黑体" w:hAnsi="宋体" w:eastAsia="黑体"/>
          <w:b/>
          <w:bCs/>
          <w:color w:val="000000"/>
          <w:sz w:val="28"/>
          <w:szCs w:val="28"/>
          <w:u w:val="single"/>
        </w:rPr>
        <w:t>发布                                202</w:t>
      </w:r>
      <w:r>
        <w:rPr>
          <w:rFonts w:hint="eastAsia" w:ascii="黑体" w:hAnsi="宋体" w:eastAsia="黑体"/>
          <w:b/>
          <w:bCs/>
          <w:color w:val="000000"/>
          <w:sz w:val="28"/>
          <w:szCs w:val="28"/>
          <w:u w:val="single"/>
          <w:lang w:val="en-US" w:eastAsia="zh-CN"/>
        </w:rPr>
        <w:t>4</w:t>
      </w:r>
      <w:r>
        <w:rPr>
          <w:rFonts w:hint="eastAsia" w:ascii="黑体" w:hAnsi="宋体" w:eastAsia="黑体"/>
          <w:b/>
          <w:bCs/>
          <w:color w:val="000000"/>
          <w:sz w:val="28"/>
          <w:szCs w:val="28"/>
          <w:u w:val="single"/>
        </w:rPr>
        <w:t>-</w:t>
      </w:r>
      <w:r>
        <w:rPr>
          <w:rFonts w:ascii="黑体" w:hAnsi="宋体" w:eastAsia="黑体"/>
          <w:b/>
          <w:bCs/>
          <w:color w:val="000000"/>
          <w:sz w:val="28"/>
          <w:szCs w:val="28"/>
          <w:u w:val="single"/>
        </w:rPr>
        <w:t>0</w:t>
      </w:r>
      <w:r>
        <w:rPr>
          <w:rFonts w:hint="eastAsia" w:ascii="黑体" w:hAnsi="宋体" w:eastAsia="黑体"/>
          <w:b/>
          <w:bCs/>
          <w:color w:val="000000"/>
          <w:sz w:val="28"/>
          <w:szCs w:val="28"/>
          <w:u w:val="single"/>
          <w:lang w:val="en-US" w:eastAsia="zh-CN"/>
        </w:rPr>
        <w:t>6</w:t>
      </w:r>
      <w:r>
        <w:rPr>
          <w:rFonts w:hint="eastAsia" w:ascii="黑体" w:hAnsi="宋体" w:eastAsia="黑体"/>
          <w:b/>
          <w:bCs/>
          <w:color w:val="000000"/>
          <w:sz w:val="28"/>
          <w:szCs w:val="28"/>
          <w:u w:val="single"/>
        </w:rPr>
        <w:t>-</w:t>
      </w:r>
      <w:r>
        <w:rPr>
          <w:rFonts w:hint="eastAsia" w:ascii="黑体" w:hAnsi="宋体" w:eastAsia="黑体"/>
          <w:b/>
          <w:bCs/>
          <w:color w:val="000000"/>
          <w:sz w:val="28"/>
          <w:szCs w:val="28"/>
          <w:u w:val="single"/>
          <w:lang w:val="en-US" w:eastAsia="zh-CN"/>
        </w:rPr>
        <w:t>21</w:t>
      </w:r>
      <w:r>
        <w:rPr>
          <w:rFonts w:hint="eastAsia" w:ascii="黑体" w:hAnsi="宋体" w:eastAsia="黑体"/>
          <w:b/>
          <w:bCs/>
          <w:color w:val="000000"/>
          <w:sz w:val="28"/>
          <w:szCs w:val="28"/>
          <w:u w:val="single"/>
        </w:rPr>
        <w:t xml:space="preserve">实施 </w:t>
      </w:r>
    </w:p>
    <w:p>
      <w:pPr>
        <w:adjustRightInd w:val="0"/>
        <w:spacing w:line="480" w:lineRule="exact"/>
        <w:ind w:right="-693" w:rightChars="-330"/>
        <w:jc w:val="center"/>
        <w:rPr>
          <w:rFonts w:hint="eastAsia" w:ascii="黑体" w:hAnsi="宋体" w:eastAsia="黑体"/>
          <w:b/>
          <w:bCs/>
          <w:color w:val="000000"/>
          <w:sz w:val="36"/>
          <w:szCs w:val="36"/>
        </w:rPr>
      </w:pPr>
      <w:r>
        <w:rPr>
          <w:rFonts w:hint="eastAsia" w:ascii="黑体" w:hAnsi="宋体" w:eastAsia="黑体"/>
          <w:b/>
          <w:bCs/>
          <w:color w:val="000000"/>
          <w:sz w:val="36"/>
          <w:szCs w:val="36"/>
          <w:lang w:eastAsia="zh-CN"/>
        </w:rPr>
        <w:t>巩留县</w:t>
      </w:r>
      <w:r>
        <w:rPr>
          <w:rFonts w:hint="eastAsia" w:ascii="黑体" w:hAnsi="宋体" w:eastAsia="黑体"/>
          <w:b/>
          <w:bCs/>
          <w:color w:val="000000"/>
          <w:sz w:val="36"/>
          <w:szCs w:val="36"/>
        </w:rPr>
        <w:t>市场监督管理局</w:t>
      </w:r>
    </w:p>
    <w:p>
      <w:pPr>
        <w:adjustRightInd w:val="0"/>
        <w:snapToGrid w:val="0"/>
        <w:spacing w:line="360" w:lineRule="auto"/>
        <w:jc w:val="center"/>
        <w:rPr>
          <w:rFonts w:ascii="Times New Roman" w:hAnsi="Times New Roman" w:eastAsia="方正小标宋简体"/>
          <w:b/>
          <w:bCs/>
          <w:sz w:val="32"/>
          <w:szCs w:val="32"/>
        </w:rPr>
        <w:sectPr>
          <w:headerReference r:id="rId3" w:type="default"/>
          <w:footerReference r:id="rId4" w:type="default"/>
          <w:footerReference r:id="rId5" w:type="even"/>
          <w:pgSz w:w="11906" w:h="16838"/>
          <w:pgMar w:top="1985" w:right="1361" w:bottom="1361" w:left="1588" w:header="851" w:footer="992" w:gutter="0"/>
          <w:cols w:space="720" w:num="1"/>
          <w:docGrid w:type="lines" w:linePitch="312" w:charSpace="0"/>
        </w:sectPr>
      </w:pPr>
    </w:p>
    <w:p>
      <w:pPr>
        <w:adjustRightInd w:val="0"/>
        <w:snapToGrid w:val="0"/>
        <w:spacing w:line="360" w:lineRule="auto"/>
        <w:jc w:val="center"/>
        <w:rPr>
          <w:rFonts w:hint="eastAsia" w:ascii="黑体" w:hAnsi="黑体" w:eastAsia="黑体" w:cs="黑体"/>
          <w:b/>
          <w:bCs/>
          <w:sz w:val="32"/>
          <w:szCs w:val="32"/>
        </w:rPr>
      </w:pPr>
      <w:r>
        <w:rPr>
          <w:rFonts w:hint="eastAsia" w:ascii="黑体" w:hAnsi="黑体" w:eastAsia="黑体" w:cs="黑体"/>
          <w:b/>
          <w:bCs/>
          <w:sz w:val="32"/>
          <w:szCs w:val="32"/>
        </w:rPr>
        <w:t>202</w:t>
      </w:r>
      <w:r>
        <w:rPr>
          <w:rFonts w:hint="eastAsia" w:ascii="黑体" w:hAnsi="黑体" w:eastAsia="黑体" w:cs="黑体"/>
          <w:b/>
          <w:bCs/>
          <w:sz w:val="32"/>
          <w:szCs w:val="32"/>
          <w:lang w:val="en-US" w:eastAsia="zh-CN"/>
        </w:rPr>
        <w:t>4</w:t>
      </w:r>
      <w:r>
        <w:rPr>
          <w:rFonts w:hint="eastAsia" w:ascii="黑体" w:hAnsi="黑体" w:eastAsia="黑体" w:cs="黑体"/>
          <w:b/>
          <w:bCs/>
          <w:sz w:val="32"/>
          <w:szCs w:val="32"/>
        </w:rPr>
        <w:t>年</w:t>
      </w:r>
      <w:r>
        <w:rPr>
          <w:rFonts w:hint="eastAsia" w:ascii="黑体" w:hAnsi="黑体" w:eastAsia="黑体" w:cs="黑体"/>
          <w:b/>
          <w:bCs/>
          <w:sz w:val="32"/>
          <w:szCs w:val="32"/>
          <w:lang w:eastAsia="zh-CN"/>
        </w:rPr>
        <w:t>巩留县</w:t>
      </w:r>
      <w:r>
        <w:rPr>
          <w:rFonts w:hint="eastAsia" w:ascii="黑体" w:hAnsi="黑体" w:eastAsia="黑体" w:cs="黑体"/>
          <w:b/>
          <w:bCs/>
          <w:sz w:val="32"/>
          <w:szCs w:val="32"/>
        </w:rPr>
        <w:t>化肥产品质量监督抽查实施细则</w:t>
      </w:r>
    </w:p>
    <w:p>
      <w:pPr>
        <w:adjustRightInd w:val="0"/>
        <w:snapToGrid w:val="0"/>
        <w:spacing w:line="360" w:lineRule="auto"/>
        <w:ind w:firstLine="422" w:firstLineChars="200"/>
        <w:jc w:val="left"/>
        <w:rPr>
          <w:rFonts w:ascii="Times New Roman" w:hAnsi="Times New Roman" w:eastAsia="黑体"/>
          <w:b/>
          <w:szCs w:val="21"/>
        </w:rPr>
      </w:pPr>
    </w:p>
    <w:p>
      <w:pPr>
        <w:keepNext w:val="0"/>
        <w:keepLines w:val="0"/>
        <w:pageBreakBefore w:val="0"/>
        <w:widowControl w:val="0"/>
        <w:kinsoku/>
        <w:wordWrap/>
        <w:overflowPunct/>
        <w:topLinePunct w:val="0"/>
        <w:bidi w:val="0"/>
        <w:adjustRightInd w:val="0"/>
        <w:snapToGrid w:val="0"/>
        <w:spacing w:line="400" w:lineRule="exact"/>
        <w:ind w:firstLine="422" w:firstLineChars="200"/>
        <w:jc w:val="left"/>
        <w:textAlignment w:val="auto"/>
        <w:rPr>
          <w:rFonts w:ascii="Times New Roman" w:hAnsi="Times New Roman" w:eastAsia="黑体"/>
          <w:b/>
          <w:szCs w:val="21"/>
        </w:rPr>
      </w:pPr>
      <w:r>
        <w:rPr>
          <w:rFonts w:ascii="Times New Roman" w:hAnsi="Times New Roman" w:eastAsia="黑体"/>
          <w:b/>
          <w:szCs w:val="21"/>
        </w:rPr>
        <w:t xml:space="preserve">1 </w:t>
      </w:r>
      <w:r>
        <w:rPr>
          <w:rFonts w:ascii="Times New Roman" w:hAnsi="黑体" w:eastAsia="黑体"/>
          <w:b/>
          <w:szCs w:val="21"/>
        </w:rPr>
        <w:t>抽样方法</w:t>
      </w:r>
    </w:p>
    <w:p>
      <w:pPr>
        <w:keepNext w:val="0"/>
        <w:keepLines w:val="0"/>
        <w:pageBreakBefore w:val="0"/>
        <w:widowControl w:val="0"/>
        <w:kinsoku/>
        <w:wordWrap/>
        <w:overflowPunct/>
        <w:topLinePunct w:val="0"/>
        <w:bidi w:val="0"/>
        <w:adjustRightInd w:val="0"/>
        <w:snapToGrid w:val="0"/>
        <w:spacing w:line="400" w:lineRule="exact"/>
        <w:ind w:firstLine="420" w:firstLineChars="200"/>
        <w:textAlignment w:val="auto"/>
        <w:rPr>
          <w:rFonts w:ascii="Times New Roman" w:hAnsi="Times New Roman"/>
          <w:b w:val="0"/>
          <w:bCs/>
        </w:rPr>
      </w:pPr>
      <w:r>
        <w:rPr>
          <w:rFonts w:ascii="Times New Roman" w:hAnsi="Times New Roman"/>
          <w:b w:val="0"/>
          <w:bCs/>
        </w:rPr>
        <w:t xml:space="preserve">1.1 </w:t>
      </w:r>
      <w:r>
        <w:rPr>
          <w:rFonts w:ascii="Times New Roman"/>
          <w:b w:val="0"/>
          <w:bCs/>
        </w:rPr>
        <w:t>抽样地点及型号或规格</w:t>
      </w:r>
    </w:p>
    <w:p>
      <w:pPr>
        <w:keepNext w:val="0"/>
        <w:keepLines w:val="0"/>
        <w:pageBreakBefore w:val="0"/>
        <w:widowControl w:val="0"/>
        <w:kinsoku/>
        <w:wordWrap/>
        <w:overflowPunct/>
        <w:topLinePunct w:val="0"/>
        <w:bidi w:val="0"/>
        <w:adjustRightInd w:val="0"/>
        <w:snapToGrid w:val="0"/>
        <w:spacing w:line="400" w:lineRule="exact"/>
        <w:ind w:firstLine="420" w:firstLineChars="200"/>
        <w:textAlignment w:val="auto"/>
        <w:rPr>
          <w:rFonts w:ascii="Times New Roman" w:hAnsi="Times New Roman"/>
        </w:rPr>
      </w:pPr>
      <w:r>
        <w:rPr>
          <w:rFonts w:ascii="Times New Roman"/>
        </w:rPr>
        <w:t>抽样地点为</w:t>
      </w:r>
      <w:r>
        <w:rPr>
          <w:rFonts w:hint="eastAsia" w:ascii="Times New Roman"/>
          <w:lang w:eastAsia="zh-CN"/>
        </w:rPr>
        <w:t>巩留县</w:t>
      </w:r>
      <w:r>
        <w:rPr>
          <w:rFonts w:ascii="Times New Roman"/>
        </w:rPr>
        <w:t>辖区内</w:t>
      </w:r>
      <w:r>
        <w:rPr>
          <w:rFonts w:ascii="Times New Roman"/>
          <w:color w:val="000000"/>
          <w:szCs w:val="21"/>
        </w:rPr>
        <w:t>化肥产品</w:t>
      </w:r>
      <w:r>
        <w:rPr>
          <w:rFonts w:ascii="Times New Roman"/>
        </w:rPr>
        <w:t>生产及销售企业。</w:t>
      </w:r>
    </w:p>
    <w:p>
      <w:pPr>
        <w:keepNext w:val="0"/>
        <w:keepLines w:val="0"/>
        <w:pageBreakBefore w:val="0"/>
        <w:widowControl w:val="0"/>
        <w:kinsoku/>
        <w:wordWrap/>
        <w:overflowPunct/>
        <w:topLinePunct w:val="0"/>
        <w:bidi w:val="0"/>
        <w:adjustRightInd w:val="0"/>
        <w:snapToGrid w:val="0"/>
        <w:spacing w:line="400" w:lineRule="exact"/>
        <w:ind w:firstLine="420" w:firstLineChars="200"/>
        <w:textAlignment w:val="auto"/>
        <w:rPr>
          <w:rFonts w:ascii="Times New Roman" w:hAnsi="Times New Roman"/>
          <w:szCs w:val="21"/>
        </w:rPr>
      </w:pPr>
      <w:r>
        <w:rPr>
          <w:rFonts w:ascii="Times New Roman" w:hAnsi="宋体"/>
          <w:szCs w:val="21"/>
        </w:rPr>
        <w:t>抽取样品应为</w:t>
      </w:r>
      <w:r>
        <w:rPr>
          <w:rFonts w:ascii="Times New Roman"/>
          <w:kern w:val="0"/>
          <w:szCs w:val="21"/>
          <w:lang w:val="zh-CN"/>
        </w:rPr>
        <w:t>同一生产企业生产的同一种类、</w:t>
      </w:r>
      <w:r>
        <w:rPr>
          <w:rFonts w:ascii="Times New Roman" w:hAnsi="宋体"/>
          <w:szCs w:val="21"/>
        </w:rPr>
        <w:t>同一型号规格、同一批次的产品。</w:t>
      </w:r>
    </w:p>
    <w:p>
      <w:pPr>
        <w:keepNext w:val="0"/>
        <w:keepLines w:val="0"/>
        <w:pageBreakBefore w:val="0"/>
        <w:widowControl w:val="0"/>
        <w:kinsoku/>
        <w:wordWrap/>
        <w:overflowPunct/>
        <w:topLinePunct w:val="0"/>
        <w:bidi w:val="0"/>
        <w:adjustRightInd w:val="0"/>
        <w:snapToGrid w:val="0"/>
        <w:spacing w:line="400" w:lineRule="exact"/>
        <w:ind w:firstLine="420" w:firstLineChars="200"/>
        <w:textAlignment w:val="auto"/>
        <w:rPr>
          <w:rFonts w:ascii="Times New Roman" w:hAnsi="Times New Roman"/>
          <w:szCs w:val="21"/>
        </w:rPr>
      </w:pPr>
      <w:r>
        <w:rPr>
          <w:rFonts w:ascii="Times New Roman" w:hAnsi="宋体"/>
          <w:szCs w:val="21"/>
        </w:rPr>
        <w:t>在生产、销售企业抽样时，应抽取在待销产品中有产品质量检验合格证明或者以其他形式表明合格的产品。</w:t>
      </w:r>
    </w:p>
    <w:p>
      <w:pPr>
        <w:keepNext w:val="0"/>
        <w:keepLines w:val="0"/>
        <w:pageBreakBefore w:val="0"/>
        <w:widowControl w:val="0"/>
        <w:kinsoku/>
        <w:wordWrap/>
        <w:overflowPunct/>
        <w:topLinePunct w:val="0"/>
        <w:bidi w:val="0"/>
        <w:adjustRightInd w:val="0"/>
        <w:snapToGrid w:val="0"/>
        <w:spacing w:line="400" w:lineRule="exact"/>
        <w:ind w:firstLine="411" w:firstLineChars="196"/>
        <w:textAlignment w:val="auto"/>
        <w:outlineLvl w:val="0"/>
        <w:rPr>
          <w:rFonts w:ascii="Times New Roman" w:hAnsi="Times New Roman"/>
          <w:b w:val="0"/>
          <w:bCs/>
          <w:kern w:val="0"/>
          <w:szCs w:val="21"/>
        </w:rPr>
      </w:pPr>
      <w:r>
        <w:rPr>
          <w:rFonts w:ascii="Times New Roman" w:hAnsi="Times New Roman"/>
          <w:b w:val="0"/>
          <w:bCs/>
        </w:rPr>
        <w:t xml:space="preserve">1.2 </w:t>
      </w:r>
      <w:r>
        <w:rPr>
          <w:rFonts w:ascii="Times New Roman"/>
          <w:b w:val="0"/>
          <w:bCs/>
          <w:kern w:val="0"/>
          <w:szCs w:val="21"/>
        </w:rPr>
        <w:t>抽样方法、基数及数量</w:t>
      </w:r>
    </w:p>
    <w:p>
      <w:pPr>
        <w:pStyle w:val="19"/>
        <w:keepNext w:val="0"/>
        <w:keepLines w:val="0"/>
        <w:pageBreakBefore w:val="0"/>
        <w:widowControl w:val="0"/>
        <w:kinsoku/>
        <w:wordWrap/>
        <w:overflowPunct/>
        <w:topLinePunct w:val="0"/>
        <w:bidi w:val="0"/>
        <w:adjustRightInd w:val="0"/>
        <w:snapToGrid w:val="0"/>
        <w:spacing w:line="400" w:lineRule="exact"/>
        <w:ind w:firstLine="420"/>
        <w:textAlignment w:val="auto"/>
        <w:rPr>
          <w:rFonts w:ascii="Times New Roman" w:hAnsi="Times New Roman"/>
        </w:rPr>
      </w:pPr>
      <w:r>
        <w:rPr>
          <w:rFonts w:ascii="Times New Roman" w:hAnsi="Times New Roman"/>
          <w:bCs/>
          <w:szCs w:val="21"/>
        </w:rPr>
        <w:t>严格按照相关产品标准中有关抽样规则进行样品抽取</w:t>
      </w:r>
      <w:r>
        <w:rPr>
          <w:rFonts w:ascii="Times New Roman" w:hAnsi="Times New Roman"/>
          <w:szCs w:val="21"/>
        </w:rPr>
        <w:t>，</w:t>
      </w:r>
      <w:r>
        <w:rPr>
          <w:rFonts w:ascii="Times New Roman" w:hAnsi="Times New Roman"/>
        </w:rPr>
        <w:t>随机抽取</w:t>
      </w:r>
      <w:r>
        <w:rPr>
          <w:rFonts w:ascii="Times New Roman" w:hAnsi="Times New Roman"/>
          <w:szCs w:val="21"/>
          <w:lang w:val="zh-CN"/>
        </w:rPr>
        <w:t>同一生产企业生产的同一种类、</w:t>
      </w:r>
      <w:r>
        <w:rPr>
          <w:rFonts w:ascii="Times New Roman" w:hAnsi="宋体"/>
          <w:szCs w:val="21"/>
        </w:rPr>
        <w:t>同一型号规格、同一批次的产品。</w:t>
      </w:r>
    </w:p>
    <w:p>
      <w:pPr>
        <w:pStyle w:val="19"/>
        <w:keepNext w:val="0"/>
        <w:keepLines w:val="0"/>
        <w:pageBreakBefore w:val="0"/>
        <w:widowControl w:val="0"/>
        <w:kinsoku/>
        <w:wordWrap/>
        <w:overflowPunct/>
        <w:topLinePunct w:val="0"/>
        <w:bidi w:val="0"/>
        <w:adjustRightInd w:val="0"/>
        <w:snapToGrid w:val="0"/>
        <w:spacing w:line="400" w:lineRule="exact"/>
        <w:ind w:firstLine="420"/>
        <w:textAlignment w:val="auto"/>
        <w:rPr>
          <w:rFonts w:ascii="Times New Roman" w:hAnsi="Times New Roman"/>
        </w:rPr>
      </w:pPr>
      <w:r>
        <w:rPr>
          <w:rFonts w:ascii="Times New Roman" w:hAnsi="Times New Roman"/>
          <w:szCs w:val="21"/>
        </w:rPr>
        <w:t>随机数一般可使用随机数表、骰子或扑克牌等方法产生。</w:t>
      </w:r>
    </w:p>
    <w:p>
      <w:pPr>
        <w:pStyle w:val="19"/>
        <w:keepNext w:val="0"/>
        <w:keepLines w:val="0"/>
        <w:pageBreakBefore w:val="0"/>
        <w:widowControl w:val="0"/>
        <w:kinsoku/>
        <w:wordWrap/>
        <w:overflowPunct/>
        <w:topLinePunct w:val="0"/>
        <w:bidi w:val="0"/>
        <w:adjustRightInd w:val="0"/>
        <w:snapToGrid w:val="0"/>
        <w:spacing w:line="400" w:lineRule="exact"/>
        <w:ind w:firstLine="420"/>
        <w:textAlignment w:val="auto"/>
        <w:rPr>
          <w:rFonts w:ascii="Times New Roman" w:hAnsi="Times New Roman"/>
        </w:rPr>
      </w:pPr>
      <w:r>
        <w:rPr>
          <w:rFonts w:ascii="Times New Roman" w:hAnsi="Times New Roman"/>
        </w:rPr>
        <w:t>抽样基数满足抽样数量即可。</w:t>
      </w:r>
    </w:p>
    <w:p>
      <w:pPr>
        <w:pStyle w:val="19"/>
        <w:keepNext w:val="0"/>
        <w:keepLines w:val="0"/>
        <w:pageBreakBefore w:val="0"/>
        <w:widowControl w:val="0"/>
        <w:kinsoku/>
        <w:wordWrap/>
        <w:overflowPunct/>
        <w:topLinePunct w:val="0"/>
        <w:bidi w:val="0"/>
        <w:adjustRightInd w:val="0"/>
        <w:snapToGrid w:val="0"/>
        <w:spacing w:line="400" w:lineRule="exact"/>
        <w:ind w:firstLine="420"/>
        <w:textAlignment w:val="auto"/>
        <w:rPr>
          <w:rFonts w:ascii="Times New Roman" w:hAnsi="Times New Roman" w:eastAsia="黑体"/>
          <w:b/>
          <w:szCs w:val="21"/>
        </w:rPr>
      </w:pPr>
      <w:r>
        <w:rPr>
          <w:rFonts w:ascii="Times New Roman" w:hAnsi="Times New Roman"/>
        </w:rPr>
        <w:t>抽样</w:t>
      </w:r>
      <w:r>
        <w:rPr>
          <w:rFonts w:ascii="Times New Roman" w:hAnsi="Times New Roman"/>
          <w:szCs w:val="21"/>
        </w:rPr>
        <w:t>数量和抽样过程要求</w:t>
      </w:r>
      <w:r>
        <w:rPr>
          <w:rFonts w:hint="eastAsia" w:ascii="Times New Roman" w:hAnsi="Times New Roman"/>
          <w:szCs w:val="21"/>
        </w:rPr>
        <w:t>依据产品执行标准确定</w:t>
      </w:r>
      <w:r>
        <w:rPr>
          <w:rFonts w:ascii="Times New Roman" w:hAnsi="Times New Roman"/>
          <w:szCs w:val="21"/>
        </w:rPr>
        <w:t>。</w:t>
      </w:r>
      <w:bookmarkStart w:id="0" w:name="_GoBack"/>
      <w:bookmarkEnd w:id="0"/>
    </w:p>
    <w:p>
      <w:pPr>
        <w:keepNext w:val="0"/>
        <w:keepLines w:val="0"/>
        <w:pageBreakBefore w:val="0"/>
        <w:widowControl w:val="0"/>
        <w:kinsoku/>
        <w:wordWrap/>
        <w:overflowPunct/>
        <w:topLinePunct w:val="0"/>
        <w:bidi w:val="0"/>
        <w:adjustRightInd w:val="0"/>
        <w:snapToGrid w:val="0"/>
        <w:spacing w:line="400" w:lineRule="exact"/>
        <w:ind w:firstLine="413" w:firstLineChars="196"/>
        <w:textAlignment w:val="auto"/>
        <w:rPr>
          <w:rFonts w:ascii="Times New Roman" w:hAnsi="Times New Roman" w:eastAsia="黑体"/>
          <w:b/>
          <w:szCs w:val="21"/>
        </w:rPr>
      </w:pPr>
      <w:r>
        <w:rPr>
          <w:rFonts w:ascii="Times New Roman" w:hAnsi="Times New Roman" w:eastAsia="黑体"/>
          <w:b/>
          <w:szCs w:val="21"/>
        </w:rPr>
        <w:t xml:space="preserve">2 </w:t>
      </w:r>
      <w:r>
        <w:rPr>
          <w:rFonts w:ascii="Times New Roman" w:hAnsi="黑体" w:eastAsia="黑体"/>
          <w:b/>
          <w:szCs w:val="21"/>
        </w:rPr>
        <w:t>检验依据</w:t>
      </w:r>
    </w:p>
    <w:p>
      <w:pPr>
        <w:keepNext w:val="0"/>
        <w:keepLines w:val="0"/>
        <w:pageBreakBefore w:val="0"/>
        <w:widowControl w:val="0"/>
        <w:kinsoku/>
        <w:wordWrap/>
        <w:overflowPunct/>
        <w:topLinePunct w:val="0"/>
        <w:bidi w:val="0"/>
        <w:adjustRightInd w:val="0"/>
        <w:snapToGrid w:val="0"/>
        <w:spacing w:line="400" w:lineRule="exact"/>
        <w:ind w:firstLine="420" w:firstLineChars="200"/>
        <w:textAlignment w:val="auto"/>
        <w:rPr>
          <w:rFonts w:ascii="Times New Roman" w:hAnsi="Times New Roman"/>
          <w:color w:val="000000"/>
          <w:szCs w:val="21"/>
        </w:rPr>
      </w:pPr>
      <w:r>
        <w:rPr>
          <w:rFonts w:ascii="Times New Roman" w:hAnsi="宋体"/>
          <w:color w:val="000000"/>
          <w:szCs w:val="21"/>
        </w:rPr>
        <w:t>检验项目见表</w:t>
      </w:r>
      <w:r>
        <w:rPr>
          <w:rFonts w:ascii="Times New Roman" w:hAnsi="Times New Roman"/>
          <w:color w:val="000000"/>
          <w:szCs w:val="21"/>
        </w:rPr>
        <w:t>1-</w:t>
      </w:r>
      <w:r>
        <w:rPr>
          <w:rFonts w:ascii="Times New Roman" w:hAnsi="宋体"/>
          <w:color w:val="000000"/>
          <w:szCs w:val="21"/>
        </w:rPr>
        <w:t>表</w:t>
      </w:r>
      <w:r>
        <w:rPr>
          <w:rFonts w:hint="eastAsia" w:ascii="Times New Roman" w:hAnsi="Times New Roman"/>
          <w:color w:val="000000"/>
          <w:szCs w:val="21"/>
        </w:rPr>
        <w:t>3</w:t>
      </w:r>
      <w:r>
        <w:rPr>
          <w:rFonts w:ascii="Times New Roman" w:hAnsi="宋体"/>
          <w:color w:val="000000"/>
          <w:szCs w:val="21"/>
        </w:rPr>
        <w:t>。</w:t>
      </w:r>
    </w:p>
    <w:p>
      <w:pPr>
        <w:snapToGrid w:val="0"/>
        <w:jc w:val="center"/>
        <w:rPr>
          <w:rFonts w:ascii="Times New Roman" w:hAnsi="Times New Roman"/>
          <w:bCs/>
          <w:color w:val="000000"/>
          <w:sz w:val="18"/>
          <w:szCs w:val="18"/>
        </w:rPr>
      </w:pPr>
      <w:r>
        <w:rPr>
          <w:rFonts w:ascii="Times New Roman" w:hAnsi="宋体"/>
          <w:bCs/>
          <w:color w:val="000000"/>
          <w:sz w:val="18"/>
          <w:szCs w:val="18"/>
        </w:rPr>
        <w:t>表</w:t>
      </w:r>
      <w:r>
        <w:rPr>
          <w:rFonts w:ascii="Times New Roman" w:hAnsi="Times New Roman"/>
          <w:bCs/>
          <w:color w:val="000000"/>
          <w:sz w:val="18"/>
          <w:szCs w:val="18"/>
        </w:rPr>
        <w:t xml:space="preserve">1  </w:t>
      </w:r>
      <w:r>
        <w:rPr>
          <w:rFonts w:ascii="Times New Roman" w:hAnsi="宋体"/>
          <w:bCs/>
          <w:color w:val="000000"/>
          <w:sz w:val="18"/>
          <w:szCs w:val="18"/>
        </w:rPr>
        <w:t>复合肥料检验项目</w:t>
      </w:r>
    </w:p>
    <w:tbl>
      <w:tblPr>
        <w:tblStyle w:val="7"/>
        <w:tblW w:w="8715"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46"/>
        <w:gridCol w:w="3402"/>
        <w:gridCol w:w="2552"/>
        <w:gridCol w:w="23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jc w:val="center"/>
        </w:trPr>
        <w:tc>
          <w:tcPr>
            <w:tcW w:w="446" w:type="dxa"/>
            <w:noWrap w:val="0"/>
            <w:vAlign w:val="center"/>
          </w:tcPr>
          <w:p>
            <w:pPr>
              <w:snapToGrid w:val="0"/>
              <w:jc w:val="center"/>
              <w:rPr>
                <w:rFonts w:ascii="Times New Roman" w:hAnsi="Times New Roman"/>
                <w:bCs/>
                <w:color w:val="000000"/>
                <w:sz w:val="18"/>
                <w:szCs w:val="18"/>
              </w:rPr>
            </w:pPr>
            <w:r>
              <w:rPr>
                <w:rFonts w:ascii="Times New Roman" w:hAnsi="宋体"/>
                <w:bCs/>
                <w:color w:val="000000"/>
                <w:sz w:val="18"/>
                <w:szCs w:val="18"/>
              </w:rPr>
              <w:t>序号</w:t>
            </w:r>
          </w:p>
        </w:tc>
        <w:tc>
          <w:tcPr>
            <w:tcW w:w="3402" w:type="dxa"/>
            <w:noWrap w:val="0"/>
            <w:vAlign w:val="center"/>
          </w:tcPr>
          <w:p>
            <w:pPr>
              <w:snapToGrid w:val="0"/>
              <w:jc w:val="center"/>
              <w:rPr>
                <w:rFonts w:ascii="Times New Roman" w:hAnsi="Times New Roman"/>
                <w:bCs/>
                <w:color w:val="000000"/>
                <w:sz w:val="18"/>
                <w:szCs w:val="18"/>
              </w:rPr>
            </w:pPr>
            <w:r>
              <w:rPr>
                <w:rFonts w:ascii="Times New Roman" w:hAnsi="宋体"/>
                <w:bCs/>
                <w:color w:val="000000"/>
                <w:sz w:val="18"/>
                <w:szCs w:val="18"/>
              </w:rPr>
              <w:t>检验项目</w:t>
            </w:r>
          </w:p>
        </w:tc>
        <w:tc>
          <w:tcPr>
            <w:tcW w:w="2552" w:type="dxa"/>
            <w:noWrap w:val="0"/>
            <w:vAlign w:val="center"/>
          </w:tcPr>
          <w:p>
            <w:pPr>
              <w:jc w:val="center"/>
              <w:rPr>
                <w:rFonts w:ascii="Times New Roman" w:hAnsi="Times New Roman"/>
                <w:sz w:val="18"/>
                <w:szCs w:val="18"/>
              </w:rPr>
            </w:pPr>
            <w:r>
              <w:rPr>
                <w:rFonts w:ascii="Times New Roman" w:hAnsi="宋体"/>
                <w:sz w:val="18"/>
                <w:szCs w:val="18"/>
              </w:rPr>
              <w:t>判定依据</w:t>
            </w:r>
          </w:p>
        </w:tc>
        <w:tc>
          <w:tcPr>
            <w:tcW w:w="2315" w:type="dxa"/>
            <w:noWrap w:val="0"/>
            <w:vAlign w:val="center"/>
          </w:tcPr>
          <w:p>
            <w:pPr>
              <w:jc w:val="center"/>
              <w:rPr>
                <w:rFonts w:ascii="Times New Roman" w:hAnsi="Times New Roman"/>
                <w:sz w:val="18"/>
                <w:szCs w:val="18"/>
              </w:rPr>
            </w:pPr>
            <w:r>
              <w:rPr>
                <w:rFonts w:ascii="Times New Roman" w:hAnsi="宋体"/>
                <w:sz w:val="18"/>
                <w:szCs w:val="18"/>
              </w:rPr>
              <w:t>检验方法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jc w:val="center"/>
        </w:trPr>
        <w:tc>
          <w:tcPr>
            <w:tcW w:w="446" w:type="dxa"/>
            <w:noWrap w:val="0"/>
            <w:vAlign w:val="center"/>
          </w:tcPr>
          <w:p>
            <w:pPr>
              <w:snapToGrid w:val="0"/>
              <w:jc w:val="center"/>
              <w:rPr>
                <w:rFonts w:ascii="Times New Roman" w:hAnsi="Times New Roman"/>
                <w:bCs/>
                <w:color w:val="000000"/>
                <w:sz w:val="18"/>
                <w:szCs w:val="18"/>
              </w:rPr>
            </w:pPr>
            <w:r>
              <w:rPr>
                <w:rFonts w:ascii="Times New Roman" w:hAnsi="Times New Roman"/>
                <w:bCs/>
                <w:color w:val="000000"/>
                <w:sz w:val="18"/>
                <w:szCs w:val="18"/>
              </w:rPr>
              <w:t>1</w:t>
            </w:r>
          </w:p>
        </w:tc>
        <w:tc>
          <w:tcPr>
            <w:tcW w:w="3402" w:type="dxa"/>
            <w:noWrap w:val="0"/>
            <w:vAlign w:val="center"/>
          </w:tcPr>
          <w:p>
            <w:pPr>
              <w:jc w:val="center"/>
              <w:rPr>
                <w:rFonts w:ascii="Times New Roman" w:hAnsi="Times New Roman"/>
                <w:sz w:val="18"/>
                <w:szCs w:val="18"/>
              </w:rPr>
            </w:pPr>
            <w:r>
              <w:rPr>
                <w:rFonts w:ascii="Times New Roman" w:hAnsi="宋体"/>
                <w:sz w:val="18"/>
                <w:szCs w:val="18"/>
              </w:rPr>
              <w:t>总氮（</w:t>
            </w:r>
            <w:r>
              <w:rPr>
                <w:rFonts w:ascii="Times New Roman" w:hAnsi="Times New Roman"/>
                <w:sz w:val="18"/>
                <w:szCs w:val="18"/>
              </w:rPr>
              <w:t>N</w:t>
            </w:r>
            <w:r>
              <w:rPr>
                <w:rFonts w:ascii="Times New Roman" w:hAnsi="宋体"/>
                <w:sz w:val="18"/>
                <w:szCs w:val="18"/>
              </w:rPr>
              <w:t>）的质量分数</w:t>
            </w:r>
          </w:p>
        </w:tc>
        <w:tc>
          <w:tcPr>
            <w:tcW w:w="2552" w:type="dxa"/>
            <w:vMerge w:val="restart"/>
            <w:noWrap w:val="0"/>
            <w:vAlign w:val="center"/>
          </w:tcPr>
          <w:p>
            <w:pPr>
              <w:snapToGrid w:val="0"/>
              <w:jc w:val="center"/>
              <w:rPr>
                <w:rFonts w:ascii="Times New Roman" w:hAnsi="Times New Roman"/>
                <w:bCs/>
                <w:color w:val="000000"/>
                <w:sz w:val="18"/>
                <w:szCs w:val="18"/>
              </w:rPr>
            </w:pPr>
            <w:r>
              <w:rPr>
                <w:rFonts w:ascii="Times New Roman" w:hAnsi="Times New Roman"/>
                <w:bCs/>
                <w:color w:val="000000"/>
                <w:sz w:val="18"/>
                <w:szCs w:val="18"/>
              </w:rPr>
              <w:t>GB/T 15063-20</w:t>
            </w:r>
            <w:r>
              <w:rPr>
                <w:rFonts w:hint="eastAsia" w:ascii="Times New Roman" w:hAnsi="Times New Roman"/>
                <w:bCs/>
                <w:color w:val="000000"/>
                <w:sz w:val="18"/>
                <w:szCs w:val="18"/>
              </w:rPr>
              <w:t>20</w:t>
            </w:r>
          </w:p>
        </w:tc>
        <w:tc>
          <w:tcPr>
            <w:tcW w:w="2315" w:type="dxa"/>
            <w:noWrap w:val="0"/>
            <w:vAlign w:val="center"/>
          </w:tcPr>
          <w:p>
            <w:pPr>
              <w:snapToGrid w:val="0"/>
              <w:jc w:val="center"/>
              <w:rPr>
                <w:rFonts w:ascii="Times New Roman" w:hAnsi="Times New Roman"/>
                <w:bCs/>
                <w:color w:val="000000"/>
                <w:sz w:val="18"/>
                <w:szCs w:val="18"/>
              </w:rPr>
            </w:pPr>
            <w:r>
              <w:rPr>
                <w:rFonts w:ascii="Times New Roman" w:hAnsi="Times New Roman"/>
                <w:bCs/>
                <w:color w:val="000000"/>
                <w:sz w:val="18"/>
                <w:szCs w:val="18"/>
              </w:rPr>
              <w:t>GB/T 8572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jc w:val="center"/>
        </w:trPr>
        <w:tc>
          <w:tcPr>
            <w:tcW w:w="446" w:type="dxa"/>
            <w:noWrap w:val="0"/>
            <w:vAlign w:val="center"/>
          </w:tcPr>
          <w:p>
            <w:pPr>
              <w:snapToGrid w:val="0"/>
              <w:jc w:val="center"/>
              <w:rPr>
                <w:rFonts w:ascii="Times New Roman" w:hAnsi="Times New Roman"/>
                <w:bCs/>
                <w:color w:val="000000"/>
                <w:sz w:val="18"/>
                <w:szCs w:val="18"/>
              </w:rPr>
            </w:pPr>
            <w:r>
              <w:rPr>
                <w:rFonts w:ascii="Times New Roman" w:hAnsi="Times New Roman"/>
                <w:bCs/>
                <w:color w:val="000000"/>
                <w:sz w:val="18"/>
                <w:szCs w:val="18"/>
              </w:rPr>
              <w:t>2</w:t>
            </w:r>
          </w:p>
        </w:tc>
        <w:tc>
          <w:tcPr>
            <w:tcW w:w="3402" w:type="dxa"/>
            <w:noWrap w:val="0"/>
            <w:vAlign w:val="center"/>
          </w:tcPr>
          <w:p>
            <w:pPr>
              <w:jc w:val="center"/>
              <w:rPr>
                <w:rFonts w:ascii="Times New Roman" w:hAnsi="Times New Roman"/>
                <w:sz w:val="18"/>
                <w:szCs w:val="18"/>
              </w:rPr>
            </w:pPr>
            <w:r>
              <w:rPr>
                <w:rFonts w:ascii="Times New Roman" w:hAnsi="宋体"/>
                <w:sz w:val="18"/>
                <w:szCs w:val="18"/>
              </w:rPr>
              <w:t>有效磷（</w:t>
            </w:r>
            <w:r>
              <w:rPr>
                <w:rFonts w:ascii="Times New Roman" w:hAnsi="Times New Roman"/>
                <w:sz w:val="18"/>
                <w:szCs w:val="18"/>
              </w:rPr>
              <w:t>P</w:t>
            </w:r>
            <w:r>
              <w:rPr>
                <w:rFonts w:ascii="Times New Roman" w:hAnsi="Times New Roman"/>
                <w:sz w:val="18"/>
                <w:szCs w:val="18"/>
                <w:vertAlign w:val="subscript"/>
              </w:rPr>
              <w:t>2</w:t>
            </w:r>
            <w:r>
              <w:rPr>
                <w:rFonts w:ascii="Times New Roman" w:hAnsi="Times New Roman"/>
                <w:sz w:val="18"/>
                <w:szCs w:val="18"/>
              </w:rPr>
              <w:t>O</w:t>
            </w:r>
            <w:r>
              <w:rPr>
                <w:rFonts w:ascii="Times New Roman" w:hAnsi="Times New Roman"/>
                <w:sz w:val="18"/>
                <w:szCs w:val="18"/>
                <w:vertAlign w:val="subscript"/>
              </w:rPr>
              <w:t>5</w:t>
            </w:r>
            <w:r>
              <w:rPr>
                <w:rFonts w:ascii="Times New Roman" w:hAnsi="宋体"/>
                <w:sz w:val="18"/>
                <w:szCs w:val="18"/>
              </w:rPr>
              <w:t>）的质量分数</w:t>
            </w:r>
          </w:p>
        </w:tc>
        <w:tc>
          <w:tcPr>
            <w:tcW w:w="2552" w:type="dxa"/>
            <w:vMerge w:val="continue"/>
            <w:noWrap w:val="0"/>
            <w:vAlign w:val="center"/>
          </w:tcPr>
          <w:p>
            <w:pPr>
              <w:snapToGrid w:val="0"/>
              <w:jc w:val="center"/>
              <w:rPr>
                <w:rFonts w:ascii="Times New Roman" w:hAnsi="Times New Roman"/>
                <w:bCs/>
                <w:color w:val="000000"/>
                <w:sz w:val="18"/>
                <w:szCs w:val="18"/>
              </w:rPr>
            </w:pPr>
          </w:p>
        </w:tc>
        <w:tc>
          <w:tcPr>
            <w:tcW w:w="2315" w:type="dxa"/>
            <w:noWrap w:val="0"/>
            <w:vAlign w:val="center"/>
          </w:tcPr>
          <w:p>
            <w:pPr>
              <w:snapToGrid w:val="0"/>
              <w:jc w:val="center"/>
              <w:rPr>
                <w:rFonts w:ascii="Times New Roman" w:hAnsi="Times New Roman"/>
                <w:bCs/>
                <w:color w:val="000000"/>
                <w:sz w:val="18"/>
                <w:szCs w:val="18"/>
              </w:rPr>
            </w:pPr>
            <w:r>
              <w:rPr>
                <w:rFonts w:ascii="Times New Roman" w:hAnsi="Times New Roman"/>
                <w:bCs/>
                <w:color w:val="000000"/>
                <w:sz w:val="18"/>
                <w:szCs w:val="18"/>
              </w:rPr>
              <w:t>GB/T 8573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jc w:val="center"/>
        </w:trPr>
        <w:tc>
          <w:tcPr>
            <w:tcW w:w="446" w:type="dxa"/>
            <w:noWrap w:val="0"/>
            <w:vAlign w:val="center"/>
          </w:tcPr>
          <w:p>
            <w:pPr>
              <w:snapToGrid w:val="0"/>
              <w:jc w:val="center"/>
              <w:rPr>
                <w:rFonts w:ascii="Times New Roman" w:hAnsi="Times New Roman"/>
                <w:bCs/>
                <w:color w:val="000000"/>
                <w:sz w:val="18"/>
                <w:szCs w:val="18"/>
              </w:rPr>
            </w:pPr>
            <w:r>
              <w:rPr>
                <w:rFonts w:ascii="Times New Roman" w:hAnsi="Times New Roman"/>
                <w:bCs/>
                <w:color w:val="000000"/>
                <w:sz w:val="18"/>
                <w:szCs w:val="18"/>
              </w:rPr>
              <w:t>3</w:t>
            </w:r>
          </w:p>
        </w:tc>
        <w:tc>
          <w:tcPr>
            <w:tcW w:w="3402" w:type="dxa"/>
            <w:noWrap w:val="0"/>
            <w:vAlign w:val="center"/>
          </w:tcPr>
          <w:p>
            <w:pPr>
              <w:jc w:val="center"/>
              <w:rPr>
                <w:rFonts w:ascii="Times New Roman" w:hAnsi="Times New Roman"/>
                <w:sz w:val="18"/>
                <w:szCs w:val="18"/>
              </w:rPr>
            </w:pPr>
            <w:r>
              <w:rPr>
                <w:rFonts w:ascii="Times New Roman" w:hAnsi="宋体"/>
                <w:sz w:val="18"/>
                <w:szCs w:val="18"/>
              </w:rPr>
              <w:t>氧化钾（</w:t>
            </w:r>
            <w:r>
              <w:rPr>
                <w:rFonts w:ascii="Times New Roman" w:hAnsi="Times New Roman"/>
                <w:sz w:val="18"/>
                <w:szCs w:val="18"/>
              </w:rPr>
              <w:t>K</w:t>
            </w:r>
            <w:r>
              <w:rPr>
                <w:rFonts w:ascii="Times New Roman" w:hAnsi="Times New Roman"/>
                <w:sz w:val="18"/>
                <w:szCs w:val="18"/>
                <w:vertAlign w:val="subscript"/>
              </w:rPr>
              <w:t>2</w:t>
            </w:r>
            <w:r>
              <w:rPr>
                <w:rFonts w:ascii="Times New Roman" w:hAnsi="Times New Roman"/>
                <w:sz w:val="18"/>
                <w:szCs w:val="18"/>
              </w:rPr>
              <w:t>O</w:t>
            </w:r>
            <w:r>
              <w:rPr>
                <w:rFonts w:ascii="Times New Roman" w:hAnsi="宋体"/>
                <w:sz w:val="18"/>
                <w:szCs w:val="18"/>
              </w:rPr>
              <w:t>）的质量分数</w:t>
            </w:r>
          </w:p>
        </w:tc>
        <w:tc>
          <w:tcPr>
            <w:tcW w:w="2552" w:type="dxa"/>
            <w:vMerge w:val="continue"/>
            <w:noWrap w:val="0"/>
            <w:vAlign w:val="center"/>
          </w:tcPr>
          <w:p>
            <w:pPr>
              <w:snapToGrid w:val="0"/>
              <w:jc w:val="center"/>
              <w:rPr>
                <w:rFonts w:ascii="Times New Roman" w:hAnsi="Times New Roman"/>
                <w:bCs/>
                <w:color w:val="000000"/>
                <w:sz w:val="18"/>
                <w:szCs w:val="18"/>
              </w:rPr>
            </w:pPr>
          </w:p>
        </w:tc>
        <w:tc>
          <w:tcPr>
            <w:tcW w:w="2315" w:type="dxa"/>
            <w:noWrap w:val="0"/>
            <w:vAlign w:val="center"/>
          </w:tcPr>
          <w:p>
            <w:pPr>
              <w:snapToGrid w:val="0"/>
              <w:jc w:val="center"/>
              <w:rPr>
                <w:rFonts w:ascii="Times New Roman" w:hAnsi="Times New Roman"/>
                <w:bCs/>
                <w:color w:val="000000"/>
                <w:sz w:val="18"/>
                <w:szCs w:val="18"/>
              </w:rPr>
            </w:pPr>
            <w:r>
              <w:rPr>
                <w:rFonts w:ascii="Times New Roman" w:hAnsi="Times New Roman"/>
                <w:bCs/>
                <w:color w:val="000000"/>
                <w:sz w:val="18"/>
                <w:szCs w:val="18"/>
              </w:rPr>
              <w:t>GB/T 8574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jc w:val="center"/>
        </w:trPr>
        <w:tc>
          <w:tcPr>
            <w:tcW w:w="446" w:type="dxa"/>
            <w:noWrap w:val="0"/>
            <w:vAlign w:val="center"/>
          </w:tcPr>
          <w:p>
            <w:pPr>
              <w:snapToGrid w:val="0"/>
              <w:jc w:val="center"/>
              <w:rPr>
                <w:rFonts w:ascii="Times New Roman" w:hAnsi="Times New Roman"/>
                <w:bCs/>
                <w:color w:val="000000"/>
                <w:sz w:val="18"/>
                <w:szCs w:val="18"/>
              </w:rPr>
            </w:pPr>
            <w:r>
              <w:rPr>
                <w:rFonts w:ascii="Times New Roman" w:hAnsi="Times New Roman"/>
                <w:bCs/>
                <w:color w:val="000000"/>
                <w:sz w:val="18"/>
                <w:szCs w:val="18"/>
              </w:rPr>
              <w:t>4</w:t>
            </w:r>
          </w:p>
        </w:tc>
        <w:tc>
          <w:tcPr>
            <w:tcW w:w="3402" w:type="dxa"/>
            <w:noWrap w:val="0"/>
            <w:vAlign w:val="center"/>
          </w:tcPr>
          <w:p>
            <w:pPr>
              <w:snapToGrid w:val="0"/>
              <w:jc w:val="center"/>
              <w:rPr>
                <w:rFonts w:ascii="Times New Roman" w:hAnsi="Times New Roman"/>
                <w:bCs/>
                <w:color w:val="000000"/>
                <w:sz w:val="18"/>
                <w:szCs w:val="18"/>
              </w:rPr>
            </w:pPr>
            <w:r>
              <w:rPr>
                <w:rFonts w:ascii="Times New Roman" w:hAnsi="宋体"/>
                <w:bCs/>
                <w:color w:val="000000"/>
                <w:sz w:val="18"/>
                <w:szCs w:val="18"/>
              </w:rPr>
              <w:t>总养分（</w:t>
            </w:r>
            <w:r>
              <w:rPr>
                <w:rFonts w:ascii="Times New Roman" w:hAnsi="Times New Roman"/>
                <w:bCs/>
                <w:color w:val="000000"/>
                <w:sz w:val="18"/>
                <w:szCs w:val="18"/>
              </w:rPr>
              <w:t>N+P</w:t>
            </w:r>
            <w:r>
              <w:rPr>
                <w:rFonts w:ascii="Times New Roman" w:hAnsi="Times New Roman"/>
                <w:bCs/>
                <w:color w:val="000000"/>
                <w:sz w:val="18"/>
                <w:szCs w:val="18"/>
                <w:vertAlign w:val="subscript"/>
              </w:rPr>
              <w:t>2</w:t>
            </w:r>
            <w:r>
              <w:rPr>
                <w:rFonts w:ascii="Times New Roman" w:hAnsi="Times New Roman"/>
                <w:bCs/>
                <w:color w:val="000000"/>
                <w:sz w:val="18"/>
                <w:szCs w:val="18"/>
              </w:rPr>
              <w:t>O</w:t>
            </w:r>
            <w:r>
              <w:rPr>
                <w:rFonts w:ascii="Times New Roman" w:hAnsi="Times New Roman"/>
                <w:bCs/>
                <w:color w:val="000000"/>
                <w:sz w:val="18"/>
                <w:szCs w:val="18"/>
                <w:vertAlign w:val="subscript"/>
              </w:rPr>
              <w:t>5</w:t>
            </w:r>
            <w:r>
              <w:rPr>
                <w:rFonts w:ascii="Times New Roman" w:hAnsi="Times New Roman"/>
                <w:bCs/>
                <w:color w:val="000000"/>
                <w:sz w:val="18"/>
                <w:szCs w:val="18"/>
              </w:rPr>
              <w:t>+K</w:t>
            </w:r>
            <w:r>
              <w:rPr>
                <w:rFonts w:ascii="Times New Roman" w:hAnsi="Times New Roman"/>
                <w:bCs/>
                <w:color w:val="000000"/>
                <w:sz w:val="18"/>
                <w:szCs w:val="18"/>
                <w:vertAlign w:val="subscript"/>
              </w:rPr>
              <w:t>2</w:t>
            </w:r>
            <w:r>
              <w:rPr>
                <w:rFonts w:ascii="Times New Roman" w:hAnsi="Times New Roman"/>
                <w:bCs/>
                <w:color w:val="000000"/>
                <w:sz w:val="18"/>
                <w:szCs w:val="18"/>
              </w:rPr>
              <w:t>O</w:t>
            </w:r>
            <w:r>
              <w:rPr>
                <w:rFonts w:ascii="Times New Roman" w:hAnsi="宋体"/>
                <w:bCs/>
                <w:color w:val="000000"/>
                <w:sz w:val="18"/>
                <w:szCs w:val="18"/>
              </w:rPr>
              <w:t>）的质量分数</w:t>
            </w:r>
          </w:p>
        </w:tc>
        <w:tc>
          <w:tcPr>
            <w:tcW w:w="2552" w:type="dxa"/>
            <w:vMerge w:val="continue"/>
            <w:noWrap w:val="0"/>
            <w:vAlign w:val="center"/>
          </w:tcPr>
          <w:p>
            <w:pPr>
              <w:snapToGrid w:val="0"/>
              <w:jc w:val="center"/>
              <w:rPr>
                <w:rFonts w:ascii="Times New Roman" w:hAnsi="Times New Roman"/>
                <w:bCs/>
                <w:color w:val="000000"/>
                <w:sz w:val="18"/>
                <w:szCs w:val="18"/>
              </w:rPr>
            </w:pPr>
          </w:p>
        </w:tc>
        <w:tc>
          <w:tcPr>
            <w:tcW w:w="2315" w:type="dxa"/>
            <w:noWrap w:val="0"/>
            <w:vAlign w:val="center"/>
          </w:tcPr>
          <w:p>
            <w:pPr>
              <w:snapToGrid w:val="0"/>
              <w:jc w:val="center"/>
              <w:rPr>
                <w:rFonts w:ascii="Times New Roman" w:hAnsi="Times New Roman"/>
                <w:bCs/>
                <w:color w:val="000000"/>
                <w:sz w:val="18"/>
                <w:szCs w:val="18"/>
              </w:rPr>
            </w:pPr>
            <w:r>
              <w:rPr>
                <w:rFonts w:ascii="Times New Roman" w:hAnsi="Times New Roman"/>
                <w:bCs/>
                <w:color w:val="000000"/>
                <w:sz w:val="18"/>
                <w:szCs w:val="18"/>
              </w:rPr>
              <w:t>GB/T 8572</w:t>
            </w:r>
          </w:p>
          <w:p>
            <w:pPr>
              <w:snapToGrid w:val="0"/>
              <w:jc w:val="center"/>
              <w:rPr>
                <w:rFonts w:ascii="Times New Roman" w:hAnsi="Times New Roman"/>
                <w:bCs/>
                <w:color w:val="000000"/>
                <w:sz w:val="18"/>
                <w:szCs w:val="18"/>
              </w:rPr>
            </w:pPr>
            <w:r>
              <w:rPr>
                <w:rFonts w:ascii="Times New Roman" w:hAnsi="Times New Roman"/>
                <w:bCs/>
                <w:color w:val="000000"/>
                <w:sz w:val="18"/>
                <w:szCs w:val="18"/>
              </w:rPr>
              <w:t>GB/T 8573</w:t>
            </w:r>
          </w:p>
          <w:p>
            <w:pPr>
              <w:snapToGrid w:val="0"/>
              <w:jc w:val="center"/>
              <w:rPr>
                <w:rFonts w:ascii="Times New Roman" w:hAnsi="Times New Roman"/>
                <w:bCs/>
                <w:color w:val="000000"/>
                <w:sz w:val="18"/>
                <w:szCs w:val="18"/>
              </w:rPr>
            </w:pPr>
            <w:r>
              <w:rPr>
                <w:rFonts w:ascii="Times New Roman" w:hAnsi="Times New Roman"/>
                <w:bCs/>
                <w:color w:val="000000"/>
                <w:sz w:val="18"/>
                <w:szCs w:val="18"/>
              </w:rPr>
              <w:t>GB/T 8574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jc w:val="center"/>
        </w:trPr>
        <w:tc>
          <w:tcPr>
            <w:tcW w:w="446" w:type="dxa"/>
            <w:noWrap w:val="0"/>
            <w:vAlign w:val="center"/>
          </w:tcPr>
          <w:p>
            <w:pPr>
              <w:snapToGrid w:val="0"/>
              <w:jc w:val="center"/>
              <w:rPr>
                <w:rFonts w:ascii="Times New Roman" w:hAnsi="Times New Roman"/>
                <w:bCs/>
                <w:color w:val="000000"/>
                <w:sz w:val="18"/>
                <w:szCs w:val="18"/>
              </w:rPr>
            </w:pPr>
            <w:r>
              <w:rPr>
                <w:rFonts w:ascii="Times New Roman" w:hAnsi="Times New Roman"/>
                <w:bCs/>
                <w:color w:val="000000"/>
                <w:sz w:val="18"/>
                <w:szCs w:val="18"/>
              </w:rPr>
              <w:t>5</w:t>
            </w:r>
          </w:p>
        </w:tc>
        <w:tc>
          <w:tcPr>
            <w:tcW w:w="3402" w:type="dxa"/>
            <w:noWrap w:val="0"/>
            <w:vAlign w:val="center"/>
          </w:tcPr>
          <w:p>
            <w:pPr>
              <w:snapToGrid w:val="0"/>
              <w:jc w:val="center"/>
              <w:rPr>
                <w:rFonts w:ascii="Times New Roman" w:hAnsi="Times New Roman"/>
                <w:bCs/>
                <w:color w:val="000000"/>
                <w:sz w:val="18"/>
                <w:szCs w:val="18"/>
              </w:rPr>
            </w:pPr>
            <w:r>
              <w:rPr>
                <w:rFonts w:ascii="Times New Roman" w:hAnsi="宋体"/>
                <w:bCs/>
                <w:color w:val="000000"/>
                <w:sz w:val="18"/>
                <w:szCs w:val="18"/>
              </w:rPr>
              <w:t>氯离子的质量分数</w:t>
            </w:r>
          </w:p>
        </w:tc>
        <w:tc>
          <w:tcPr>
            <w:tcW w:w="2552" w:type="dxa"/>
            <w:vMerge w:val="continue"/>
            <w:noWrap w:val="0"/>
            <w:vAlign w:val="center"/>
          </w:tcPr>
          <w:p>
            <w:pPr>
              <w:snapToGrid w:val="0"/>
              <w:jc w:val="center"/>
              <w:rPr>
                <w:rFonts w:ascii="Times New Roman" w:hAnsi="Times New Roman"/>
                <w:bCs/>
                <w:color w:val="000000"/>
                <w:sz w:val="18"/>
                <w:szCs w:val="18"/>
              </w:rPr>
            </w:pPr>
          </w:p>
        </w:tc>
        <w:tc>
          <w:tcPr>
            <w:tcW w:w="2315" w:type="dxa"/>
            <w:noWrap w:val="0"/>
            <w:vAlign w:val="center"/>
          </w:tcPr>
          <w:p>
            <w:pPr>
              <w:snapToGrid w:val="0"/>
              <w:jc w:val="center"/>
              <w:rPr>
                <w:rFonts w:ascii="Times New Roman" w:hAnsi="Times New Roman"/>
                <w:bCs/>
                <w:color w:val="000000"/>
                <w:sz w:val="18"/>
                <w:szCs w:val="18"/>
              </w:rPr>
            </w:pPr>
            <w:r>
              <w:rPr>
                <w:rFonts w:ascii="Times New Roman" w:hAnsi="Times New Roman"/>
                <w:bCs/>
                <w:color w:val="000000"/>
                <w:sz w:val="18"/>
                <w:szCs w:val="18"/>
              </w:rPr>
              <w:t>GB/T 15063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jc w:val="center"/>
        </w:trPr>
        <w:tc>
          <w:tcPr>
            <w:tcW w:w="446" w:type="dxa"/>
            <w:noWrap w:val="0"/>
            <w:vAlign w:val="center"/>
          </w:tcPr>
          <w:p>
            <w:pPr>
              <w:snapToGrid w:val="0"/>
              <w:jc w:val="center"/>
              <w:rPr>
                <w:rFonts w:ascii="Times New Roman" w:hAnsi="Times New Roman"/>
                <w:bCs/>
                <w:color w:val="000000"/>
                <w:sz w:val="18"/>
                <w:szCs w:val="18"/>
              </w:rPr>
            </w:pPr>
            <w:r>
              <w:rPr>
                <w:rFonts w:ascii="Times New Roman" w:hAnsi="Times New Roman"/>
                <w:bCs/>
                <w:color w:val="000000"/>
                <w:sz w:val="18"/>
                <w:szCs w:val="18"/>
              </w:rPr>
              <w:t>6</w:t>
            </w:r>
          </w:p>
        </w:tc>
        <w:tc>
          <w:tcPr>
            <w:tcW w:w="3402" w:type="dxa"/>
            <w:noWrap w:val="0"/>
            <w:vAlign w:val="center"/>
          </w:tcPr>
          <w:p>
            <w:pPr>
              <w:snapToGrid w:val="0"/>
              <w:jc w:val="center"/>
              <w:rPr>
                <w:rFonts w:ascii="Times New Roman" w:hAnsi="Times New Roman"/>
                <w:bCs/>
                <w:color w:val="000000"/>
                <w:sz w:val="18"/>
                <w:szCs w:val="18"/>
              </w:rPr>
            </w:pPr>
            <w:r>
              <w:rPr>
                <w:rFonts w:ascii="Times New Roman" w:hAnsi="宋体"/>
                <w:bCs/>
                <w:color w:val="000000"/>
                <w:sz w:val="18"/>
                <w:szCs w:val="18"/>
              </w:rPr>
              <w:t>水溶性磷占有效磷百分率</w:t>
            </w:r>
          </w:p>
        </w:tc>
        <w:tc>
          <w:tcPr>
            <w:tcW w:w="2552" w:type="dxa"/>
            <w:vMerge w:val="continue"/>
            <w:noWrap w:val="0"/>
            <w:vAlign w:val="center"/>
          </w:tcPr>
          <w:p>
            <w:pPr>
              <w:snapToGrid w:val="0"/>
              <w:jc w:val="center"/>
              <w:rPr>
                <w:rFonts w:ascii="Times New Roman" w:hAnsi="Times New Roman"/>
                <w:bCs/>
                <w:color w:val="000000"/>
                <w:sz w:val="18"/>
                <w:szCs w:val="18"/>
              </w:rPr>
            </w:pPr>
          </w:p>
        </w:tc>
        <w:tc>
          <w:tcPr>
            <w:tcW w:w="2315" w:type="dxa"/>
            <w:noWrap w:val="0"/>
            <w:vAlign w:val="center"/>
          </w:tcPr>
          <w:p>
            <w:pPr>
              <w:snapToGrid w:val="0"/>
              <w:jc w:val="center"/>
              <w:rPr>
                <w:rFonts w:ascii="Times New Roman" w:hAnsi="Times New Roman"/>
                <w:bCs/>
                <w:color w:val="000000"/>
                <w:sz w:val="18"/>
                <w:szCs w:val="18"/>
              </w:rPr>
            </w:pPr>
            <w:r>
              <w:rPr>
                <w:rFonts w:ascii="Times New Roman" w:hAnsi="Times New Roman"/>
                <w:bCs/>
                <w:color w:val="000000"/>
                <w:sz w:val="18"/>
                <w:szCs w:val="18"/>
              </w:rPr>
              <w:t>GB/T 8573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jc w:val="center"/>
        </w:trPr>
        <w:tc>
          <w:tcPr>
            <w:tcW w:w="446" w:type="dxa"/>
            <w:noWrap w:val="0"/>
            <w:vAlign w:val="center"/>
          </w:tcPr>
          <w:p>
            <w:pPr>
              <w:snapToGrid w:val="0"/>
              <w:jc w:val="center"/>
              <w:rPr>
                <w:rFonts w:hint="eastAsia" w:ascii="Times New Roman" w:hAnsi="Times New Roman"/>
                <w:bCs/>
                <w:color w:val="000000"/>
                <w:sz w:val="18"/>
                <w:szCs w:val="18"/>
              </w:rPr>
            </w:pPr>
            <w:r>
              <w:rPr>
                <w:rFonts w:hint="eastAsia" w:ascii="Times New Roman" w:hAnsi="Times New Roman"/>
                <w:bCs/>
                <w:color w:val="000000"/>
                <w:sz w:val="18"/>
                <w:szCs w:val="18"/>
              </w:rPr>
              <w:t>7</w:t>
            </w:r>
          </w:p>
        </w:tc>
        <w:tc>
          <w:tcPr>
            <w:tcW w:w="3402" w:type="dxa"/>
            <w:noWrap w:val="0"/>
            <w:vAlign w:val="center"/>
          </w:tcPr>
          <w:p>
            <w:pPr>
              <w:snapToGrid w:val="0"/>
              <w:jc w:val="center"/>
              <w:rPr>
                <w:rFonts w:ascii="Times New Roman" w:hAnsi="宋体"/>
                <w:bCs/>
                <w:sz w:val="18"/>
                <w:szCs w:val="18"/>
              </w:rPr>
            </w:pPr>
            <w:r>
              <w:rPr>
                <w:rFonts w:hint="eastAsia" w:ascii="Times New Roman" w:hAnsi="宋体"/>
                <w:bCs/>
                <w:sz w:val="18"/>
                <w:szCs w:val="18"/>
              </w:rPr>
              <w:t>水分（H</w:t>
            </w:r>
            <w:r>
              <w:rPr>
                <w:rFonts w:hint="eastAsia" w:ascii="Times New Roman" w:hAnsi="宋体"/>
                <w:bCs/>
                <w:sz w:val="18"/>
                <w:szCs w:val="18"/>
                <w:vertAlign w:val="subscript"/>
              </w:rPr>
              <w:t>2</w:t>
            </w:r>
            <w:r>
              <w:rPr>
                <w:rFonts w:hint="eastAsia" w:ascii="Times New Roman" w:hAnsi="宋体"/>
                <w:bCs/>
                <w:sz w:val="18"/>
                <w:szCs w:val="18"/>
              </w:rPr>
              <w:t>O）</w:t>
            </w:r>
          </w:p>
        </w:tc>
        <w:tc>
          <w:tcPr>
            <w:tcW w:w="2552" w:type="dxa"/>
            <w:vMerge w:val="continue"/>
            <w:tcBorders>
              <w:bottom w:val="single" w:color="auto" w:sz="4" w:space="0"/>
            </w:tcBorders>
            <w:noWrap w:val="0"/>
            <w:vAlign w:val="center"/>
          </w:tcPr>
          <w:p>
            <w:pPr>
              <w:snapToGrid w:val="0"/>
              <w:jc w:val="center"/>
              <w:rPr>
                <w:rFonts w:ascii="Times New Roman" w:hAnsi="Times New Roman"/>
                <w:bCs/>
                <w:color w:val="FF0000"/>
                <w:sz w:val="18"/>
                <w:szCs w:val="18"/>
              </w:rPr>
            </w:pPr>
          </w:p>
        </w:tc>
        <w:tc>
          <w:tcPr>
            <w:tcW w:w="2315" w:type="dxa"/>
            <w:noWrap w:val="0"/>
            <w:vAlign w:val="center"/>
          </w:tcPr>
          <w:p>
            <w:pPr>
              <w:snapToGrid w:val="0"/>
              <w:jc w:val="center"/>
              <w:rPr>
                <w:rFonts w:ascii="Times New Roman" w:hAnsi="Times New Roman"/>
                <w:bCs/>
                <w:color w:val="000000"/>
                <w:sz w:val="18"/>
                <w:szCs w:val="18"/>
              </w:rPr>
            </w:pPr>
            <w:r>
              <w:rPr>
                <w:rFonts w:ascii="Times New Roman" w:hAnsi="Times New Roman"/>
                <w:bCs/>
                <w:color w:val="000000"/>
                <w:sz w:val="18"/>
                <w:szCs w:val="18"/>
              </w:rPr>
              <w:t>GB/T 857</w:t>
            </w:r>
            <w:r>
              <w:rPr>
                <w:rFonts w:hint="eastAsia" w:ascii="Times New Roman" w:hAnsi="Times New Roman"/>
                <w:bCs/>
                <w:color w:val="000000"/>
                <w:sz w:val="18"/>
                <w:szCs w:val="18"/>
              </w:rPr>
              <w:t>7</w:t>
            </w:r>
          </w:p>
          <w:p>
            <w:pPr>
              <w:snapToGrid w:val="0"/>
              <w:jc w:val="center"/>
              <w:rPr>
                <w:rFonts w:ascii="Times New Roman" w:hAnsi="Times New Roman"/>
                <w:bCs/>
                <w:color w:val="FF0000"/>
                <w:sz w:val="18"/>
                <w:szCs w:val="18"/>
              </w:rPr>
            </w:pPr>
            <w:r>
              <w:rPr>
                <w:rFonts w:ascii="Times New Roman" w:hAnsi="Times New Roman"/>
                <w:bCs/>
                <w:color w:val="000000"/>
                <w:sz w:val="18"/>
                <w:szCs w:val="18"/>
              </w:rPr>
              <w:t>GB/T 857</w:t>
            </w:r>
            <w:r>
              <w:rPr>
                <w:rFonts w:hint="eastAsia" w:ascii="Times New Roman" w:hAnsi="Times New Roman"/>
                <w:bCs/>
                <w:color w:val="000000"/>
                <w:sz w:val="18"/>
                <w:szCs w:val="18"/>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jc w:val="center"/>
        </w:trPr>
        <w:tc>
          <w:tcPr>
            <w:tcW w:w="446" w:type="dxa"/>
            <w:noWrap w:val="0"/>
            <w:vAlign w:val="center"/>
          </w:tcPr>
          <w:p>
            <w:pPr>
              <w:snapToGrid w:val="0"/>
              <w:jc w:val="center"/>
              <w:rPr>
                <w:rFonts w:hint="eastAsia" w:ascii="Times New Roman" w:hAnsi="Times New Roman"/>
                <w:bCs/>
                <w:color w:val="000000"/>
                <w:sz w:val="18"/>
                <w:szCs w:val="18"/>
              </w:rPr>
            </w:pPr>
            <w:r>
              <w:rPr>
                <w:rFonts w:hint="eastAsia" w:ascii="Times New Roman" w:hAnsi="Times New Roman"/>
                <w:bCs/>
                <w:color w:val="000000"/>
                <w:sz w:val="18"/>
                <w:szCs w:val="18"/>
              </w:rPr>
              <w:t>8</w:t>
            </w:r>
          </w:p>
        </w:tc>
        <w:tc>
          <w:tcPr>
            <w:tcW w:w="3402" w:type="dxa"/>
            <w:noWrap w:val="0"/>
            <w:vAlign w:val="center"/>
          </w:tcPr>
          <w:p>
            <w:pPr>
              <w:snapToGrid w:val="0"/>
              <w:jc w:val="center"/>
              <w:rPr>
                <w:rFonts w:ascii="Times New Roman" w:hAnsi="Times New Roman"/>
                <w:bCs/>
                <w:color w:val="FF0000"/>
                <w:sz w:val="18"/>
                <w:szCs w:val="18"/>
              </w:rPr>
            </w:pPr>
            <w:r>
              <w:rPr>
                <w:rFonts w:ascii="Times New Roman" w:hAnsi="宋体"/>
                <w:bCs/>
                <w:color w:val="FF0000"/>
                <w:sz w:val="18"/>
                <w:szCs w:val="18"/>
              </w:rPr>
              <w:t>缩二脲含量</w:t>
            </w:r>
          </w:p>
        </w:tc>
        <w:tc>
          <w:tcPr>
            <w:tcW w:w="2552" w:type="dxa"/>
            <w:vMerge w:val="continue"/>
            <w:tcBorders>
              <w:bottom w:val="single" w:color="auto" w:sz="4" w:space="0"/>
            </w:tcBorders>
            <w:noWrap w:val="0"/>
            <w:vAlign w:val="center"/>
          </w:tcPr>
          <w:p>
            <w:pPr>
              <w:snapToGrid w:val="0"/>
              <w:jc w:val="center"/>
              <w:rPr>
                <w:rFonts w:ascii="Times New Roman" w:hAnsi="Times New Roman"/>
                <w:bCs/>
                <w:color w:val="FF0000"/>
                <w:sz w:val="18"/>
                <w:szCs w:val="18"/>
              </w:rPr>
            </w:pPr>
          </w:p>
        </w:tc>
        <w:tc>
          <w:tcPr>
            <w:tcW w:w="2315" w:type="dxa"/>
            <w:noWrap w:val="0"/>
            <w:vAlign w:val="center"/>
          </w:tcPr>
          <w:p>
            <w:pPr>
              <w:snapToGrid w:val="0"/>
              <w:jc w:val="center"/>
              <w:rPr>
                <w:rFonts w:ascii="Times New Roman" w:hAnsi="Times New Roman"/>
                <w:bCs/>
                <w:color w:val="FF0000"/>
                <w:sz w:val="18"/>
                <w:szCs w:val="18"/>
              </w:rPr>
            </w:pPr>
            <w:r>
              <w:rPr>
                <w:rFonts w:ascii="Times New Roman" w:hAnsi="Times New Roman"/>
                <w:bCs/>
                <w:color w:val="FF0000"/>
                <w:sz w:val="18"/>
                <w:szCs w:val="18"/>
              </w:rPr>
              <w:t>GB/T22924</w:t>
            </w:r>
          </w:p>
        </w:tc>
      </w:tr>
    </w:tbl>
    <w:p>
      <w:pPr>
        <w:adjustRightInd w:val="0"/>
        <w:snapToGrid w:val="0"/>
        <w:jc w:val="center"/>
        <w:rPr>
          <w:rFonts w:hint="eastAsia" w:ascii="Times New Roman" w:hAnsi="宋体"/>
          <w:bCs/>
          <w:color w:val="000000"/>
          <w:sz w:val="18"/>
          <w:szCs w:val="18"/>
        </w:rPr>
      </w:pPr>
    </w:p>
    <w:p>
      <w:pPr>
        <w:adjustRightInd w:val="0"/>
        <w:snapToGrid w:val="0"/>
        <w:jc w:val="center"/>
        <w:rPr>
          <w:rFonts w:ascii="Times New Roman" w:hAnsi="Times New Roman"/>
          <w:bCs/>
          <w:color w:val="000000"/>
          <w:sz w:val="18"/>
          <w:szCs w:val="18"/>
        </w:rPr>
      </w:pPr>
      <w:r>
        <w:rPr>
          <w:rFonts w:ascii="Times New Roman" w:hAnsi="宋体"/>
          <w:bCs/>
          <w:color w:val="000000"/>
          <w:sz w:val="18"/>
          <w:szCs w:val="18"/>
        </w:rPr>
        <w:t>表</w:t>
      </w:r>
      <w:r>
        <w:rPr>
          <w:rFonts w:ascii="Times New Roman" w:hAnsi="Times New Roman"/>
          <w:bCs/>
          <w:color w:val="000000"/>
          <w:sz w:val="18"/>
          <w:szCs w:val="18"/>
        </w:rPr>
        <w:t xml:space="preserve">2  </w:t>
      </w:r>
      <w:r>
        <w:rPr>
          <w:rFonts w:hint="eastAsia" w:ascii="Times New Roman" w:hAnsi="宋体"/>
          <w:bCs/>
          <w:color w:val="000000"/>
          <w:sz w:val="18"/>
          <w:szCs w:val="18"/>
        </w:rPr>
        <w:t>磷酸二铵</w:t>
      </w:r>
      <w:r>
        <w:rPr>
          <w:rFonts w:ascii="Times New Roman" w:hAnsi="宋体"/>
          <w:bCs/>
          <w:color w:val="000000"/>
          <w:sz w:val="18"/>
          <w:szCs w:val="18"/>
        </w:rPr>
        <w:t>检验项目</w:t>
      </w:r>
    </w:p>
    <w:tbl>
      <w:tblPr>
        <w:tblStyle w:val="7"/>
        <w:tblW w:w="875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5"/>
        <w:gridCol w:w="3402"/>
        <w:gridCol w:w="2552"/>
        <w:gridCol w:w="233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97" w:hRule="atLeast"/>
          <w:tblHeader/>
          <w:jc w:val="center"/>
        </w:trPr>
        <w:tc>
          <w:tcPr>
            <w:tcW w:w="465" w:type="dxa"/>
            <w:noWrap w:val="0"/>
            <w:vAlign w:val="center"/>
          </w:tcPr>
          <w:p>
            <w:pPr>
              <w:adjustRightInd w:val="0"/>
              <w:spacing w:before="100" w:beforeAutospacing="1" w:after="100" w:afterAutospacing="1"/>
              <w:jc w:val="center"/>
              <w:rPr>
                <w:rFonts w:ascii="Times New Roman" w:hAnsi="Times New Roman"/>
                <w:bCs/>
                <w:color w:val="000000"/>
                <w:sz w:val="18"/>
                <w:szCs w:val="18"/>
              </w:rPr>
            </w:pPr>
            <w:r>
              <w:rPr>
                <w:rFonts w:ascii="Times New Roman" w:hAnsi="宋体"/>
                <w:bCs/>
                <w:color w:val="000000"/>
                <w:sz w:val="18"/>
                <w:szCs w:val="18"/>
              </w:rPr>
              <w:t>序号</w:t>
            </w:r>
          </w:p>
        </w:tc>
        <w:tc>
          <w:tcPr>
            <w:tcW w:w="3402" w:type="dxa"/>
            <w:noWrap w:val="0"/>
            <w:vAlign w:val="center"/>
          </w:tcPr>
          <w:p>
            <w:pPr>
              <w:adjustRightInd w:val="0"/>
              <w:spacing w:before="100" w:beforeAutospacing="1" w:after="100" w:afterAutospacing="1"/>
              <w:jc w:val="center"/>
              <w:rPr>
                <w:rFonts w:ascii="Times New Roman" w:hAnsi="Times New Roman"/>
                <w:bCs/>
                <w:color w:val="000000"/>
                <w:sz w:val="18"/>
                <w:szCs w:val="18"/>
              </w:rPr>
            </w:pPr>
            <w:r>
              <w:rPr>
                <w:rFonts w:ascii="Times New Roman" w:hAnsi="宋体"/>
                <w:bCs/>
                <w:color w:val="000000"/>
                <w:sz w:val="18"/>
                <w:szCs w:val="18"/>
              </w:rPr>
              <w:t>检验项目</w:t>
            </w:r>
          </w:p>
        </w:tc>
        <w:tc>
          <w:tcPr>
            <w:tcW w:w="2552" w:type="dxa"/>
            <w:noWrap w:val="0"/>
            <w:vAlign w:val="center"/>
          </w:tcPr>
          <w:p>
            <w:pPr>
              <w:snapToGrid w:val="0"/>
              <w:spacing w:before="100" w:beforeAutospacing="1" w:after="100" w:afterAutospacing="1"/>
              <w:jc w:val="center"/>
              <w:rPr>
                <w:rFonts w:ascii="Times New Roman" w:hAnsi="Times New Roman"/>
                <w:color w:val="000000"/>
                <w:sz w:val="18"/>
                <w:szCs w:val="18"/>
              </w:rPr>
            </w:pPr>
            <w:r>
              <w:rPr>
                <w:rFonts w:ascii="Times New Roman" w:hAnsi="宋体"/>
                <w:color w:val="000000"/>
                <w:sz w:val="18"/>
                <w:szCs w:val="18"/>
              </w:rPr>
              <w:t>判定依据</w:t>
            </w:r>
          </w:p>
        </w:tc>
        <w:tc>
          <w:tcPr>
            <w:tcW w:w="2333" w:type="dxa"/>
            <w:noWrap w:val="0"/>
            <w:vAlign w:val="center"/>
          </w:tcPr>
          <w:p>
            <w:pPr>
              <w:snapToGrid w:val="0"/>
              <w:spacing w:before="100" w:beforeAutospacing="1" w:after="100" w:afterAutospacing="1"/>
              <w:jc w:val="center"/>
              <w:rPr>
                <w:rFonts w:ascii="Times New Roman" w:hAnsi="Times New Roman"/>
                <w:color w:val="000000"/>
                <w:sz w:val="18"/>
                <w:szCs w:val="18"/>
              </w:rPr>
            </w:pPr>
            <w:r>
              <w:rPr>
                <w:rFonts w:ascii="Times New Roman" w:hAnsi="宋体"/>
                <w:color w:val="000000"/>
                <w:sz w:val="18"/>
                <w:szCs w:val="18"/>
              </w:rPr>
              <w:t>检验方法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97" w:hRule="atLeast"/>
          <w:jc w:val="center"/>
        </w:trPr>
        <w:tc>
          <w:tcPr>
            <w:tcW w:w="465" w:type="dxa"/>
            <w:noWrap w:val="0"/>
            <w:vAlign w:val="center"/>
          </w:tcPr>
          <w:p>
            <w:pPr>
              <w:adjustRightInd w:val="0"/>
              <w:spacing w:before="100" w:beforeAutospacing="1" w:after="100" w:afterAutospacing="1"/>
              <w:jc w:val="center"/>
              <w:rPr>
                <w:rFonts w:ascii="Times New Roman" w:hAnsi="Times New Roman"/>
                <w:bCs/>
                <w:color w:val="000000"/>
                <w:sz w:val="18"/>
                <w:szCs w:val="18"/>
              </w:rPr>
            </w:pPr>
            <w:r>
              <w:rPr>
                <w:rFonts w:hint="eastAsia" w:ascii="Times New Roman" w:hAnsi="Times New Roman"/>
                <w:bCs/>
                <w:color w:val="000000"/>
                <w:sz w:val="18"/>
                <w:szCs w:val="18"/>
              </w:rPr>
              <w:t>1</w:t>
            </w:r>
          </w:p>
        </w:tc>
        <w:tc>
          <w:tcPr>
            <w:tcW w:w="3402" w:type="dxa"/>
            <w:noWrap w:val="0"/>
            <w:vAlign w:val="center"/>
          </w:tcPr>
          <w:p>
            <w:pPr>
              <w:adjustRightInd w:val="0"/>
              <w:spacing w:before="100" w:beforeAutospacing="1" w:after="100" w:afterAutospacing="1"/>
              <w:jc w:val="center"/>
              <w:rPr>
                <w:rFonts w:ascii="Times New Roman" w:hAnsi="宋体"/>
                <w:bCs/>
                <w:color w:val="000000"/>
                <w:sz w:val="18"/>
                <w:szCs w:val="18"/>
              </w:rPr>
            </w:pPr>
            <w:r>
              <w:rPr>
                <w:rFonts w:ascii="Times New Roman" w:hAnsi="宋体"/>
                <w:bCs/>
                <w:color w:val="000000"/>
                <w:sz w:val="18"/>
                <w:szCs w:val="18"/>
              </w:rPr>
              <w:t>总养分（</w:t>
            </w:r>
            <w:r>
              <w:rPr>
                <w:rFonts w:ascii="Times New Roman" w:hAnsi="Times New Roman"/>
                <w:bCs/>
                <w:color w:val="000000"/>
                <w:sz w:val="18"/>
                <w:szCs w:val="18"/>
              </w:rPr>
              <w:t>N+P</w:t>
            </w:r>
            <w:r>
              <w:rPr>
                <w:rFonts w:ascii="Times New Roman" w:hAnsi="Times New Roman"/>
                <w:bCs/>
                <w:color w:val="000000"/>
                <w:sz w:val="18"/>
                <w:szCs w:val="18"/>
                <w:vertAlign w:val="subscript"/>
              </w:rPr>
              <w:t>2</w:t>
            </w:r>
            <w:r>
              <w:rPr>
                <w:rFonts w:ascii="Times New Roman" w:hAnsi="Times New Roman"/>
                <w:bCs/>
                <w:color w:val="000000"/>
                <w:sz w:val="18"/>
                <w:szCs w:val="18"/>
              </w:rPr>
              <w:t>O</w:t>
            </w:r>
            <w:r>
              <w:rPr>
                <w:rFonts w:ascii="Times New Roman" w:hAnsi="Times New Roman"/>
                <w:bCs/>
                <w:color w:val="000000"/>
                <w:sz w:val="18"/>
                <w:szCs w:val="18"/>
                <w:vertAlign w:val="subscript"/>
              </w:rPr>
              <w:t>5</w:t>
            </w:r>
            <w:r>
              <w:rPr>
                <w:rFonts w:ascii="Times New Roman" w:hAnsi="宋体"/>
                <w:bCs/>
                <w:color w:val="000000"/>
                <w:sz w:val="18"/>
                <w:szCs w:val="18"/>
              </w:rPr>
              <w:t>）的质量分数</w:t>
            </w:r>
          </w:p>
        </w:tc>
        <w:tc>
          <w:tcPr>
            <w:tcW w:w="2552" w:type="dxa"/>
            <w:vMerge w:val="restart"/>
            <w:noWrap w:val="0"/>
            <w:vAlign w:val="center"/>
          </w:tcPr>
          <w:p>
            <w:pPr>
              <w:adjustRightInd w:val="0"/>
              <w:spacing w:before="100" w:beforeAutospacing="1" w:after="100" w:afterAutospacing="1"/>
              <w:jc w:val="center"/>
              <w:rPr>
                <w:rFonts w:ascii="Times New Roman" w:hAnsi="Times New Roman"/>
                <w:bCs/>
                <w:color w:val="000000"/>
                <w:sz w:val="18"/>
                <w:szCs w:val="18"/>
              </w:rPr>
            </w:pPr>
            <w:r>
              <w:rPr>
                <w:rFonts w:ascii="Times New Roman" w:hAnsi="Times New Roman"/>
                <w:bCs/>
                <w:color w:val="000000"/>
                <w:sz w:val="18"/>
                <w:szCs w:val="18"/>
              </w:rPr>
              <w:t>GB/T</w:t>
            </w:r>
            <w:r>
              <w:rPr>
                <w:rFonts w:hint="eastAsia" w:ascii="Times New Roman" w:hAnsi="Times New Roman"/>
                <w:bCs/>
                <w:color w:val="000000"/>
                <w:sz w:val="18"/>
                <w:szCs w:val="18"/>
              </w:rPr>
              <w:t>10205</w:t>
            </w:r>
            <w:r>
              <w:rPr>
                <w:rFonts w:ascii="Times New Roman" w:hAnsi="Times New Roman"/>
                <w:bCs/>
                <w:color w:val="000000"/>
                <w:sz w:val="18"/>
                <w:szCs w:val="18"/>
              </w:rPr>
              <w:t>-</w:t>
            </w:r>
            <w:r>
              <w:rPr>
                <w:rFonts w:hint="eastAsia" w:ascii="Times New Roman" w:hAnsi="Times New Roman"/>
                <w:bCs/>
                <w:color w:val="000000"/>
                <w:sz w:val="18"/>
                <w:szCs w:val="18"/>
              </w:rPr>
              <w:t>2009</w:t>
            </w:r>
          </w:p>
        </w:tc>
        <w:tc>
          <w:tcPr>
            <w:tcW w:w="2333" w:type="dxa"/>
            <w:noWrap w:val="0"/>
            <w:vAlign w:val="center"/>
          </w:tcPr>
          <w:p>
            <w:pPr>
              <w:adjustRightInd w:val="0"/>
              <w:spacing w:before="100" w:beforeAutospacing="1" w:after="100" w:afterAutospacing="1"/>
              <w:jc w:val="center"/>
              <w:rPr>
                <w:rFonts w:ascii="Times New Roman" w:hAnsi="Times New Roman"/>
                <w:bCs/>
                <w:color w:val="000000"/>
                <w:sz w:val="18"/>
                <w:szCs w:val="18"/>
              </w:rPr>
            </w:pPr>
            <w:r>
              <w:rPr>
                <w:rFonts w:ascii="Times New Roman" w:hAnsi="Times New Roman"/>
                <w:bCs/>
                <w:color w:val="000000"/>
                <w:sz w:val="18"/>
                <w:szCs w:val="18"/>
              </w:rPr>
              <w:t xml:space="preserve">GB/T </w:t>
            </w:r>
            <w:r>
              <w:rPr>
                <w:rFonts w:hint="eastAsia" w:ascii="Times New Roman" w:hAnsi="Times New Roman"/>
                <w:bCs/>
                <w:color w:val="000000"/>
                <w:sz w:val="18"/>
                <w:szCs w:val="18"/>
              </w:rPr>
              <w:t>10209.1、</w:t>
            </w:r>
            <w:r>
              <w:rPr>
                <w:rFonts w:ascii="Times New Roman" w:hAnsi="Times New Roman"/>
                <w:bCs/>
                <w:color w:val="000000"/>
                <w:sz w:val="18"/>
                <w:szCs w:val="18"/>
              </w:rPr>
              <w:t xml:space="preserve">GB/T </w:t>
            </w:r>
            <w:r>
              <w:rPr>
                <w:rFonts w:hint="eastAsia" w:ascii="Times New Roman" w:hAnsi="Times New Roman"/>
                <w:bCs/>
                <w:color w:val="000000"/>
                <w:sz w:val="18"/>
                <w:szCs w:val="18"/>
              </w:rPr>
              <w:t>10209.2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97" w:hRule="atLeast"/>
          <w:jc w:val="center"/>
        </w:trPr>
        <w:tc>
          <w:tcPr>
            <w:tcW w:w="465" w:type="dxa"/>
            <w:noWrap w:val="0"/>
            <w:vAlign w:val="center"/>
          </w:tcPr>
          <w:p>
            <w:pPr>
              <w:adjustRightInd w:val="0"/>
              <w:spacing w:before="100" w:beforeAutospacing="1" w:after="100" w:afterAutospacing="1"/>
              <w:jc w:val="center"/>
              <w:rPr>
                <w:rFonts w:ascii="Times New Roman" w:hAnsi="Times New Roman"/>
                <w:bCs/>
                <w:color w:val="000000"/>
                <w:sz w:val="18"/>
                <w:szCs w:val="18"/>
              </w:rPr>
            </w:pPr>
            <w:r>
              <w:rPr>
                <w:rFonts w:hint="eastAsia" w:ascii="Times New Roman" w:hAnsi="Times New Roman"/>
                <w:bCs/>
                <w:color w:val="000000"/>
                <w:sz w:val="18"/>
                <w:szCs w:val="18"/>
              </w:rPr>
              <w:t>2</w:t>
            </w:r>
          </w:p>
        </w:tc>
        <w:tc>
          <w:tcPr>
            <w:tcW w:w="3402" w:type="dxa"/>
            <w:noWrap w:val="0"/>
            <w:vAlign w:val="center"/>
          </w:tcPr>
          <w:p>
            <w:pPr>
              <w:adjustRightInd w:val="0"/>
              <w:spacing w:before="100" w:beforeAutospacing="1" w:after="100" w:afterAutospacing="1"/>
              <w:jc w:val="center"/>
              <w:rPr>
                <w:rFonts w:ascii="Times New Roman" w:hAnsi="Times New Roman"/>
                <w:bCs/>
                <w:color w:val="000000"/>
                <w:sz w:val="18"/>
                <w:szCs w:val="18"/>
              </w:rPr>
            </w:pPr>
            <w:r>
              <w:rPr>
                <w:rFonts w:ascii="Times New Roman" w:hAnsi="宋体"/>
                <w:bCs/>
                <w:color w:val="000000"/>
                <w:sz w:val="18"/>
                <w:szCs w:val="18"/>
              </w:rPr>
              <w:t>总氮（</w:t>
            </w:r>
            <w:r>
              <w:rPr>
                <w:rFonts w:ascii="Times New Roman" w:hAnsi="Times New Roman"/>
                <w:bCs/>
                <w:color w:val="000000"/>
                <w:sz w:val="18"/>
                <w:szCs w:val="18"/>
              </w:rPr>
              <w:t>N</w:t>
            </w:r>
            <w:r>
              <w:rPr>
                <w:rFonts w:ascii="Times New Roman" w:hAnsi="宋体"/>
                <w:bCs/>
                <w:color w:val="000000"/>
                <w:sz w:val="18"/>
                <w:szCs w:val="18"/>
              </w:rPr>
              <w:t>）的质量分数</w:t>
            </w:r>
          </w:p>
        </w:tc>
        <w:tc>
          <w:tcPr>
            <w:tcW w:w="2552" w:type="dxa"/>
            <w:vMerge w:val="continue"/>
            <w:noWrap w:val="0"/>
            <w:vAlign w:val="center"/>
          </w:tcPr>
          <w:p>
            <w:pPr>
              <w:adjustRightInd w:val="0"/>
              <w:spacing w:before="100" w:beforeAutospacing="1" w:after="100" w:afterAutospacing="1"/>
              <w:jc w:val="center"/>
              <w:rPr>
                <w:rFonts w:ascii="Times New Roman" w:hAnsi="Times New Roman"/>
                <w:bCs/>
                <w:color w:val="000000"/>
                <w:sz w:val="18"/>
                <w:szCs w:val="18"/>
              </w:rPr>
            </w:pPr>
          </w:p>
        </w:tc>
        <w:tc>
          <w:tcPr>
            <w:tcW w:w="2333" w:type="dxa"/>
            <w:noWrap w:val="0"/>
            <w:vAlign w:val="center"/>
          </w:tcPr>
          <w:p>
            <w:pPr>
              <w:adjustRightInd w:val="0"/>
              <w:spacing w:before="100" w:beforeAutospacing="1" w:after="100" w:afterAutospacing="1"/>
              <w:jc w:val="center"/>
              <w:rPr>
                <w:rFonts w:ascii="Times New Roman" w:hAnsi="Times New Roman"/>
                <w:bCs/>
                <w:color w:val="000000"/>
                <w:sz w:val="18"/>
                <w:szCs w:val="18"/>
              </w:rPr>
            </w:pPr>
            <w:r>
              <w:rPr>
                <w:rFonts w:ascii="Times New Roman" w:hAnsi="Times New Roman"/>
                <w:bCs/>
                <w:color w:val="000000"/>
                <w:sz w:val="18"/>
                <w:szCs w:val="18"/>
              </w:rPr>
              <w:t xml:space="preserve">GB/T </w:t>
            </w:r>
            <w:r>
              <w:rPr>
                <w:rFonts w:hint="eastAsia" w:ascii="Times New Roman" w:hAnsi="Times New Roman"/>
                <w:bCs/>
                <w:color w:val="000000"/>
                <w:sz w:val="18"/>
                <w:szCs w:val="18"/>
              </w:rPr>
              <w:t>10209.1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97" w:hRule="atLeast"/>
          <w:jc w:val="center"/>
        </w:trPr>
        <w:tc>
          <w:tcPr>
            <w:tcW w:w="465" w:type="dxa"/>
            <w:noWrap w:val="0"/>
            <w:vAlign w:val="center"/>
          </w:tcPr>
          <w:p>
            <w:pPr>
              <w:adjustRightInd w:val="0"/>
              <w:spacing w:before="100" w:beforeAutospacing="1" w:after="100" w:afterAutospacing="1"/>
              <w:jc w:val="center"/>
              <w:rPr>
                <w:rFonts w:ascii="Times New Roman" w:hAnsi="Times New Roman"/>
                <w:bCs/>
                <w:color w:val="000000"/>
                <w:sz w:val="18"/>
                <w:szCs w:val="18"/>
              </w:rPr>
            </w:pPr>
            <w:r>
              <w:rPr>
                <w:rFonts w:hint="eastAsia" w:ascii="Times New Roman" w:hAnsi="Times New Roman"/>
                <w:bCs/>
                <w:color w:val="000000"/>
                <w:sz w:val="18"/>
                <w:szCs w:val="18"/>
              </w:rPr>
              <w:t>3</w:t>
            </w:r>
          </w:p>
        </w:tc>
        <w:tc>
          <w:tcPr>
            <w:tcW w:w="3402" w:type="dxa"/>
            <w:noWrap w:val="0"/>
            <w:vAlign w:val="center"/>
          </w:tcPr>
          <w:p>
            <w:pPr>
              <w:adjustRightInd w:val="0"/>
              <w:spacing w:before="100" w:beforeAutospacing="1" w:after="100" w:afterAutospacing="1"/>
              <w:jc w:val="center"/>
              <w:rPr>
                <w:rFonts w:ascii="Times New Roman" w:hAnsi="Times New Roman"/>
                <w:bCs/>
                <w:color w:val="000000"/>
                <w:sz w:val="18"/>
                <w:szCs w:val="18"/>
              </w:rPr>
            </w:pPr>
            <w:r>
              <w:rPr>
                <w:rFonts w:ascii="Times New Roman" w:hAnsi="宋体"/>
                <w:bCs/>
                <w:color w:val="000000"/>
                <w:sz w:val="18"/>
                <w:szCs w:val="18"/>
              </w:rPr>
              <w:t>有效磷（</w:t>
            </w:r>
            <w:r>
              <w:rPr>
                <w:rFonts w:ascii="Times New Roman" w:hAnsi="Times New Roman"/>
                <w:sz w:val="18"/>
                <w:szCs w:val="18"/>
              </w:rPr>
              <w:t>P</w:t>
            </w:r>
            <w:r>
              <w:rPr>
                <w:rFonts w:ascii="Times New Roman" w:hAnsi="Times New Roman"/>
                <w:sz w:val="18"/>
                <w:szCs w:val="18"/>
                <w:vertAlign w:val="subscript"/>
              </w:rPr>
              <w:t>2</w:t>
            </w:r>
            <w:r>
              <w:rPr>
                <w:rFonts w:ascii="Times New Roman" w:hAnsi="Times New Roman"/>
                <w:sz w:val="18"/>
                <w:szCs w:val="18"/>
              </w:rPr>
              <w:t>O</w:t>
            </w:r>
            <w:r>
              <w:rPr>
                <w:rFonts w:ascii="Times New Roman" w:hAnsi="Times New Roman"/>
                <w:sz w:val="18"/>
                <w:szCs w:val="18"/>
                <w:vertAlign w:val="subscript"/>
              </w:rPr>
              <w:t>5</w:t>
            </w:r>
            <w:r>
              <w:rPr>
                <w:rFonts w:ascii="Times New Roman" w:hAnsi="宋体"/>
                <w:sz w:val="18"/>
                <w:szCs w:val="18"/>
              </w:rPr>
              <w:t>）</w:t>
            </w:r>
            <w:r>
              <w:rPr>
                <w:rFonts w:ascii="Times New Roman" w:hAnsi="宋体"/>
                <w:bCs/>
                <w:color w:val="000000"/>
                <w:sz w:val="18"/>
                <w:szCs w:val="18"/>
              </w:rPr>
              <w:t>的质量分数</w:t>
            </w:r>
          </w:p>
        </w:tc>
        <w:tc>
          <w:tcPr>
            <w:tcW w:w="2552" w:type="dxa"/>
            <w:vMerge w:val="continue"/>
            <w:noWrap w:val="0"/>
            <w:vAlign w:val="center"/>
          </w:tcPr>
          <w:p>
            <w:pPr>
              <w:adjustRightInd w:val="0"/>
              <w:spacing w:before="100" w:beforeAutospacing="1" w:after="100" w:afterAutospacing="1"/>
              <w:jc w:val="center"/>
              <w:rPr>
                <w:rFonts w:ascii="Times New Roman" w:hAnsi="Times New Roman"/>
                <w:bCs/>
                <w:color w:val="000000"/>
                <w:sz w:val="18"/>
                <w:szCs w:val="18"/>
              </w:rPr>
            </w:pPr>
          </w:p>
        </w:tc>
        <w:tc>
          <w:tcPr>
            <w:tcW w:w="2333" w:type="dxa"/>
            <w:noWrap w:val="0"/>
            <w:vAlign w:val="center"/>
          </w:tcPr>
          <w:p>
            <w:pPr>
              <w:adjustRightInd w:val="0"/>
              <w:spacing w:before="100" w:beforeAutospacing="1" w:after="100" w:afterAutospacing="1"/>
              <w:jc w:val="center"/>
              <w:rPr>
                <w:rFonts w:ascii="Times New Roman" w:hAnsi="Times New Roman"/>
                <w:bCs/>
                <w:color w:val="000000"/>
                <w:sz w:val="18"/>
                <w:szCs w:val="18"/>
              </w:rPr>
            </w:pPr>
            <w:r>
              <w:rPr>
                <w:rFonts w:ascii="Times New Roman" w:hAnsi="Times New Roman"/>
                <w:bCs/>
                <w:color w:val="000000"/>
                <w:sz w:val="18"/>
                <w:szCs w:val="18"/>
              </w:rPr>
              <w:t xml:space="preserve">GB/T </w:t>
            </w:r>
            <w:r>
              <w:rPr>
                <w:rFonts w:hint="eastAsia" w:ascii="Times New Roman" w:hAnsi="Times New Roman"/>
                <w:bCs/>
                <w:color w:val="000000"/>
                <w:sz w:val="18"/>
                <w:szCs w:val="18"/>
              </w:rPr>
              <w:t>10209.2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97" w:hRule="atLeast"/>
          <w:jc w:val="center"/>
        </w:trPr>
        <w:tc>
          <w:tcPr>
            <w:tcW w:w="465" w:type="dxa"/>
            <w:noWrap w:val="0"/>
            <w:vAlign w:val="center"/>
          </w:tcPr>
          <w:p>
            <w:pPr>
              <w:adjustRightInd w:val="0"/>
              <w:spacing w:before="100" w:beforeAutospacing="1" w:after="100" w:afterAutospacing="1"/>
              <w:jc w:val="center"/>
              <w:rPr>
                <w:rFonts w:ascii="Times New Roman" w:hAnsi="Times New Roman"/>
                <w:bCs/>
                <w:color w:val="000000"/>
                <w:sz w:val="18"/>
                <w:szCs w:val="18"/>
              </w:rPr>
            </w:pPr>
            <w:r>
              <w:rPr>
                <w:rFonts w:hint="eastAsia" w:ascii="Times New Roman" w:hAnsi="Times New Roman"/>
                <w:bCs/>
                <w:color w:val="000000"/>
                <w:sz w:val="18"/>
                <w:szCs w:val="18"/>
              </w:rPr>
              <w:t>4</w:t>
            </w:r>
          </w:p>
        </w:tc>
        <w:tc>
          <w:tcPr>
            <w:tcW w:w="3402" w:type="dxa"/>
            <w:noWrap w:val="0"/>
            <w:vAlign w:val="center"/>
          </w:tcPr>
          <w:p>
            <w:pPr>
              <w:adjustRightInd w:val="0"/>
              <w:spacing w:before="100" w:beforeAutospacing="1" w:after="100" w:afterAutospacing="1"/>
              <w:jc w:val="center"/>
              <w:rPr>
                <w:rFonts w:ascii="Times New Roman" w:hAnsi="宋体"/>
                <w:bCs/>
                <w:color w:val="000000"/>
                <w:sz w:val="18"/>
                <w:szCs w:val="18"/>
              </w:rPr>
            </w:pPr>
            <w:r>
              <w:rPr>
                <w:rFonts w:ascii="Times New Roman" w:hAnsi="宋体"/>
                <w:bCs/>
                <w:color w:val="000000"/>
                <w:sz w:val="18"/>
                <w:szCs w:val="18"/>
              </w:rPr>
              <w:t>水溶性磷占有效磷百分率</w:t>
            </w:r>
          </w:p>
        </w:tc>
        <w:tc>
          <w:tcPr>
            <w:tcW w:w="2552" w:type="dxa"/>
            <w:vMerge w:val="continue"/>
            <w:noWrap w:val="0"/>
            <w:vAlign w:val="center"/>
          </w:tcPr>
          <w:p>
            <w:pPr>
              <w:adjustRightInd w:val="0"/>
              <w:spacing w:before="100" w:beforeAutospacing="1" w:after="100" w:afterAutospacing="1"/>
              <w:jc w:val="center"/>
              <w:rPr>
                <w:rFonts w:ascii="Times New Roman" w:hAnsi="Times New Roman"/>
                <w:bCs/>
                <w:color w:val="000000"/>
                <w:sz w:val="18"/>
                <w:szCs w:val="18"/>
              </w:rPr>
            </w:pPr>
          </w:p>
        </w:tc>
        <w:tc>
          <w:tcPr>
            <w:tcW w:w="2333" w:type="dxa"/>
            <w:noWrap w:val="0"/>
            <w:vAlign w:val="center"/>
          </w:tcPr>
          <w:p>
            <w:pPr>
              <w:adjustRightInd w:val="0"/>
              <w:spacing w:before="100" w:beforeAutospacing="1" w:after="100" w:afterAutospacing="1"/>
              <w:jc w:val="center"/>
              <w:rPr>
                <w:rFonts w:ascii="Times New Roman" w:hAnsi="Times New Roman"/>
                <w:bCs/>
                <w:color w:val="000000"/>
                <w:sz w:val="18"/>
                <w:szCs w:val="18"/>
              </w:rPr>
            </w:pPr>
            <w:r>
              <w:rPr>
                <w:rFonts w:ascii="Times New Roman" w:hAnsi="Times New Roman"/>
                <w:bCs/>
                <w:color w:val="000000"/>
                <w:sz w:val="18"/>
                <w:szCs w:val="18"/>
              </w:rPr>
              <w:t xml:space="preserve">GB/T </w:t>
            </w:r>
            <w:r>
              <w:rPr>
                <w:rFonts w:hint="eastAsia" w:ascii="Times New Roman" w:hAnsi="Times New Roman"/>
                <w:bCs/>
                <w:color w:val="000000"/>
                <w:sz w:val="18"/>
                <w:szCs w:val="18"/>
              </w:rPr>
              <w:t>10209.2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97" w:hRule="atLeast"/>
          <w:jc w:val="center"/>
        </w:trPr>
        <w:tc>
          <w:tcPr>
            <w:tcW w:w="465" w:type="dxa"/>
            <w:noWrap w:val="0"/>
            <w:vAlign w:val="center"/>
          </w:tcPr>
          <w:p>
            <w:pPr>
              <w:adjustRightInd w:val="0"/>
              <w:spacing w:before="100" w:beforeAutospacing="1" w:after="100" w:afterAutospacing="1"/>
              <w:jc w:val="center"/>
              <w:rPr>
                <w:rFonts w:ascii="Times New Roman" w:hAnsi="Times New Roman"/>
                <w:bCs/>
                <w:color w:val="000000"/>
                <w:sz w:val="18"/>
                <w:szCs w:val="18"/>
              </w:rPr>
            </w:pPr>
            <w:r>
              <w:rPr>
                <w:rFonts w:hint="eastAsia" w:ascii="Times New Roman" w:hAnsi="Times New Roman"/>
                <w:bCs/>
                <w:color w:val="000000"/>
                <w:sz w:val="18"/>
                <w:szCs w:val="18"/>
              </w:rPr>
              <w:t>5</w:t>
            </w:r>
          </w:p>
        </w:tc>
        <w:tc>
          <w:tcPr>
            <w:tcW w:w="3402" w:type="dxa"/>
            <w:noWrap w:val="0"/>
            <w:vAlign w:val="center"/>
          </w:tcPr>
          <w:p>
            <w:pPr>
              <w:adjustRightInd w:val="0"/>
              <w:spacing w:before="100" w:beforeAutospacing="1" w:after="100" w:afterAutospacing="1"/>
              <w:jc w:val="center"/>
              <w:rPr>
                <w:rFonts w:ascii="Times New Roman" w:hAnsi="Times New Roman"/>
                <w:bCs/>
                <w:color w:val="000000"/>
                <w:sz w:val="18"/>
                <w:szCs w:val="18"/>
              </w:rPr>
            </w:pPr>
            <w:r>
              <w:rPr>
                <w:rFonts w:hint="eastAsia" w:ascii="Times New Roman" w:hAnsi="宋体"/>
                <w:bCs/>
                <w:sz w:val="18"/>
                <w:szCs w:val="18"/>
              </w:rPr>
              <w:t>水分（H</w:t>
            </w:r>
            <w:r>
              <w:rPr>
                <w:rFonts w:hint="eastAsia" w:ascii="Times New Roman" w:hAnsi="宋体"/>
                <w:bCs/>
                <w:sz w:val="18"/>
                <w:szCs w:val="18"/>
                <w:vertAlign w:val="subscript"/>
              </w:rPr>
              <w:t>2</w:t>
            </w:r>
            <w:r>
              <w:rPr>
                <w:rFonts w:hint="eastAsia" w:ascii="Times New Roman" w:hAnsi="宋体"/>
                <w:bCs/>
                <w:sz w:val="18"/>
                <w:szCs w:val="18"/>
              </w:rPr>
              <w:t>O）的质量分数</w:t>
            </w:r>
          </w:p>
        </w:tc>
        <w:tc>
          <w:tcPr>
            <w:tcW w:w="2552" w:type="dxa"/>
            <w:vMerge w:val="continue"/>
            <w:noWrap w:val="0"/>
            <w:vAlign w:val="center"/>
          </w:tcPr>
          <w:p>
            <w:pPr>
              <w:adjustRightInd w:val="0"/>
              <w:spacing w:before="100" w:beforeAutospacing="1" w:after="100" w:afterAutospacing="1"/>
              <w:jc w:val="center"/>
              <w:rPr>
                <w:rFonts w:ascii="Times New Roman" w:hAnsi="Times New Roman"/>
                <w:bCs/>
                <w:color w:val="000000"/>
                <w:sz w:val="18"/>
                <w:szCs w:val="18"/>
              </w:rPr>
            </w:pPr>
          </w:p>
        </w:tc>
        <w:tc>
          <w:tcPr>
            <w:tcW w:w="2333" w:type="dxa"/>
            <w:noWrap w:val="0"/>
            <w:vAlign w:val="center"/>
          </w:tcPr>
          <w:p>
            <w:pPr>
              <w:adjustRightInd w:val="0"/>
              <w:spacing w:before="100" w:beforeAutospacing="1" w:after="100" w:afterAutospacing="1"/>
              <w:jc w:val="center"/>
              <w:rPr>
                <w:rFonts w:ascii="Times New Roman" w:hAnsi="Times New Roman"/>
                <w:bCs/>
                <w:color w:val="000000"/>
                <w:sz w:val="18"/>
                <w:szCs w:val="18"/>
              </w:rPr>
            </w:pPr>
            <w:r>
              <w:rPr>
                <w:rFonts w:ascii="Times New Roman" w:hAnsi="Times New Roman"/>
                <w:bCs/>
                <w:color w:val="000000"/>
                <w:sz w:val="18"/>
                <w:szCs w:val="18"/>
              </w:rPr>
              <w:t xml:space="preserve">GB/T </w:t>
            </w:r>
            <w:r>
              <w:rPr>
                <w:rFonts w:hint="eastAsia" w:ascii="Times New Roman" w:hAnsi="Times New Roman"/>
                <w:bCs/>
                <w:color w:val="000000"/>
                <w:sz w:val="18"/>
                <w:szCs w:val="18"/>
              </w:rPr>
              <w:t>10209.3</w:t>
            </w:r>
          </w:p>
        </w:tc>
      </w:tr>
    </w:tbl>
    <w:p>
      <w:pPr>
        <w:snapToGrid w:val="0"/>
        <w:spacing w:line="440" w:lineRule="exact"/>
        <w:ind w:firstLine="3330" w:firstLineChars="1850"/>
        <w:rPr>
          <w:rFonts w:ascii="Times New Roman" w:hAnsi="Times New Roman"/>
          <w:bCs/>
          <w:sz w:val="18"/>
          <w:szCs w:val="18"/>
        </w:rPr>
      </w:pPr>
      <w:r>
        <w:rPr>
          <w:rFonts w:ascii="Times New Roman" w:hAnsi="宋体"/>
          <w:bCs/>
          <w:color w:val="000000"/>
          <w:sz w:val="18"/>
          <w:szCs w:val="18"/>
        </w:rPr>
        <w:t>表</w:t>
      </w:r>
      <w:r>
        <w:rPr>
          <w:rFonts w:hint="eastAsia" w:ascii="Times New Roman" w:hAnsi="宋体"/>
          <w:bCs/>
          <w:color w:val="000000"/>
          <w:sz w:val="18"/>
          <w:szCs w:val="18"/>
        </w:rPr>
        <w:t>3</w:t>
      </w:r>
      <w:r>
        <w:rPr>
          <w:rFonts w:ascii="Times New Roman" w:hAnsi="Times New Roman"/>
          <w:bCs/>
          <w:color w:val="000000"/>
          <w:sz w:val="18"/>
          <w:szCs w:val="18"/>
        </w:rPr>
        <w:t xml:space="preserve"> </w:t>
      </w:r>
      <w:r>
        <w:rPr>
          <w:rFonts w:ascii="Times New Roman" w:hAnsi="Times New Roman"/>
          <w:bCs/>
          <w:sz w:val="18"/>
          <w:szCs w:val="18"/>
        </w:rPr>
        <w:t xml:space="preserve"> </w:t>
      </w:r>
      <w:r>
        <w:rPr>
          <w:rFonts w:hint="eastAsia" w:ascii="Times New Roman" w:hAnsi="宋体"/>
          <w:sz w:val="18"/>
          <w:szCs w:val="18"/>
        </w:rPr>
        <w:t>尿素</w:t>
      </w:r>
      <w:r>
        <w:rPr>
          <w:rFonts w:ascii="Times New Roman" w:hAnsi="宋体"/>
          <w:bCs/>
          <w:sz w:val="18"/>
          <w:szCs w:val="18"/>
        </w:rPr>
        <w:t>检验项目</w:t>
      </w:r>
    </w:p>
    <w:tbl>
      <w:tblPr>
        <w:tblStyle w:val="7"/>
        <w:tblW w:w="8701"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39"/>
        <w:gridCol w:w="3402"/>
        <w:gridCol w:w="2561"/>
        <w:gridCol w:w="22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97" w:hRule="atLeast"/>
          <w:tblHeader/>
          <w:jc w:val="center"/>
        </w:trPr>
        <w:tc>
          <w:tcPr>
            <w:tcW w:w="439" w:type="dxa"/>
            <w:noWrap w:val="0"/>
            <w:vAlign w:val="center"/>
          </w:tcPr>
          <w:p>
            <w:pPr>
              <w:snapToGrid w:val="0"/>
              <w:jc w:val="center"/>
              <w:rPr>
                <w:rFonts w:ascii="Times New Roman" w:hAnsi="Times New Roman"/>
                <w:bCs/>
                <w:sz w:val="18"/>
                <w:szCs w:val="18"/>
              </w:rPr>
            </w:pPr>
            <w:r>
              <w:rPr>
                <w:rFonts w:ascii="Times New Roman" w:hAnsi="宋体"/>
                <w:bCs/>
                <w:sz w:val="18"/>
                <w:szCs w:val="18"/>
              </w:rPr>
              <w:t>序号</w:t>
            </w:r>
          </w:p>
        </w:tc>
        <w:tc>
          <w:tcPr>
            <w:tcW w:w="3402" w:type="dxa"/>
            <w:noWrap w:val="0"/>
            <w:vAlign w:val="center"/>
          </w:tcPr>
          <w:p>
            <w:pPr>
              <w:snapToGrid w:val="0"/>
              <w:jc w:val="center"/>
              <w:rPr>
                <w:rFonts w:ascii="Times New Roman" w:hAnsi="Times New Roman"/>
                <w:bCs/>
                <w:sz w:val="18"/>
                <w:szCs w:val="18"/>
              </w:rPr>
            </w:pPr>
            <w:r>
              <w:rPr>
                <w:rFonts w:ascii="Times New Roman" w:hAnsi="宋体"/>
                <w:bCs/>
                <w:sz w:val="18"/>
                <w:szCs w:val="18"/>
              </w:rPr>
              <w:t>检验项目</w:t>
            </w:r>
          </w:p>
        </w:tc>
        <w:tc>
          <w:tcPr>
            <w:tcW w:w="2561" w:type="dxa"/>
            <w:noWrap w:val="0"/>
            <w:vAlign w:val="center"/>
          </w:tcPr>
          <w:p>
            <w:pPr>
              <w:jc w:val="center"/>
              <w:rPr>
                <w:rFonts w:ascii="Times New Roman" w:hAnsi="Times New Roman"/>
                <w:sz w:val="18"/>
                <w:szCs w:val="18"/>
              </w:rPr>
            </w:pPr>
            <w:r>
              <w:rPr>
                <w:rFonts w:ascii="Times New Roman" w:hAnsi="宋体"/>
                <w:sz w:val="18"/>
                <w:szCs w:val="18"/>
              </w:rPr>
              <w:t>判定依据</w:t>
            </w:r>
          </w:p>
        </w:tc>
        <w:tc>
          <w:tcPr>
            <w:tcW w:w="2299" w:type="dxa"/>
            <w:noWrap w:val="0"/>
            <w:vAlign w:val="center"/>
          </w:tcPr>
          <w:p>
            <w:pPr>
              <w:jc w:val="center"/>
              <w:rPr>
                <w:rFonts w:ascii="Times New Roman" w:hAnsi="Times New Roman"/>
                <w:sz w:val="18"/>
                <w:szCs w:val="18"/>
              </w:rPr>
            </w:pPr>
            <w:r>
              <w:rPr>
                <w:rFonts w:ascii="Times New Roman" w:hAnsi="宋体"/>
                <w:sz w:val="18"/>
                <w:szCs w:val="18"/>
              </w:rPr>
              <w:t>检验方法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97" w:hRule="atLeast"/>
          <w:tblHeader/>
          <w:jc w:val="center"/>
        </w:trPr>
        <w:tc>
          <w:tcPr>
            <w:tcW w:w="439" w:type="dxa"/>
            <w:noWrap w:val="0"/>
            <w:vAlign w:val="center"/>
          </w:tcPr>
          <w:p>
            <w:pPr>
              <w:snapToGrid w:val="0"/>
              <w:jc w:val="center"/>
              <w:rPr>
                <w:rFonts w:ascii="Times New Roman" w:hAnsi="Times New Roman"/>
                <w:bCs/>
                <w:sz w:val="18"/>
                <w:szCs w:val="18"/>
              </w:rPr>
            </w:pPr>
            <w:r>
              <w:rPr>
                <w:rFonts w:ascii="Times New Roman" w:hAnsi="Times New Roman"/>
                <w:bCs/>
                <w:sz w:val="18"/>
                <w:szCs w:val="18"/>
              </w:rPr>
              <w:t>1</w:t>
            </w:r>
          </w:p>
        </w:tc>
        <w:tc>
          <w:tcPr>
            <w:tcW w:w="3402" w:type="dxa"/>
            <w:noWrap w:val="0"/>
            <w:vAlign w:val="center"/>
          </w:tcPr>
          <w:p>
            <w:pPr>
              <w:snapToGrid w:val="0"/>
              <w:jc w:val="center"/>
              <w:rPr>
                <w:rFonts w:ascii="Times New Roman" w:hAnsi="Times New Roman"/>
                <w:sz w:val="18"/>
                <w:szCs w:val="18"/>
              </w:rPr>
            </w:pPr>
            <w:r>
              <w:rPr>
                <w:rFonts w:ascii="Times New Roman" w:hAnsi="宋体"/>
                <w:bCs/>
                <w:color w:val="000000"/>
                <w:sz w:val="18"/>
                <w:szCs w:val="18"/>
              </w:rPr>
              <w:t>总氮（</w:t>
            </w:r>
            <w:r>
              <w:rPr>
                <w:rFonts w:ascii="Times New Roman" w:hAnsi="Times New Roman"/>
                <w:bCs/>
                <w:color w:val="000000"/>
                <w:sz w:val="18"/>
                <w:szCs w:val="18"/>
              </w:rPr>
              <w:t>N</w:t>
            </w:r>
            <w:r>
              <w:rPr>
                <w:rFonts w:ascii="Times New Roman" w:hAnsi="宋体"/>
                <w:bCs/>
                <w:color w:val="000000"/>
                <w:sz w:val="18"/>
                <w:szCs w:val="18"/>
              </w:rPr>
              <w:t>）的质量分数</w:t>
            </w:r>
          </w:p>
        </w:tc>
        <w:tc>
          <w:tcPr>
            <w:tcW w:w="2561" w:type="dxa"/>
            <w:vMerge w:val="restart"/>
            <w:noWrap w:val="0"/>
            <w:vAlign w:val="center"/>
          </w:tcPr>
          <w:p>
            <w:pPr>
              <w:snapToGrid w:val="0"/>
              <w:jc w:val="center"/>
              <w:rPr>
                <w:rFonts w:ascii="Times New Roman" w:hAnsi="Times New Roman"/>
                <w:bCs/>
                <w:sz w:val="18"/>
                <w:szCs w:val="18"/>
              </w:rPr>
            </w:pPr>
            <w:r>
              <w:rPr>
                <w:rFonts w:ascii="Times New Roman" w:hAnsi="Times New Roman"/>
                <w:sz w:val="18"/>
                <w:szCs w:val="18"/>
              </w:rPr>
              <w:t>GB/T</w:t>
            </w:r>
            <w:r>
              <w:rPr>
                <w:rFonts w:hint="eastAsia" w:ascii="Times New Roman" w:hAnsi="Times New Roman"/>
                <w:sz w:val="18"/>
                <w:szCs w:val="18"/>
              </w:rPr>
              <w:t>2440-2017</w:t>
            </w:r>
          </w:p>
        </w:tc>
        <w:tc>
          <w:tcPr>
            <w:tcW w:w="2299" w:type="dxa"/>
            <w:noWrap w:val="0"/>
            <w:vAlign w:val="center"/>
          </w:tcPr>
          <w:p>
            <w:pPr>
              <w:jc w:val="center"/>
              <w:rPr>
                <w:rFonts w:ascii="Times New Roman" w:hAnsi="Times New Roman"/>
                <w:sz w:val="18"/>
                <w:szCs w:val="18"/>
              </w:rPr>
            </w:pPr>
            <w:r>
              <w:rPr>
                <w:rFonts w:ascii="Times New Roman" w:hAnsi="Times New Roman"/>
                <w:sz w:val="18"/>
                <w:szCs w:val="18"/>
              </w:rPr>
              <w:t>GB/T</w:t>
            </w:r>
            <w:r>
              <w:rPr>
                <w:rFonts w:hint="eastAsia" w:ascii="Times New Roman" w:hAnsi="Times New Roman"/>
                <w:sz w:val="18"/>
                <w:szCs w:val="18"/>
              </w:rPr>
              <w:t>2441.1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97" w:hRule="atLeast"/>
          <w:tblHeader/>
          <w:jc w:val="center"/>
        </w:trPr>
        <w:tc>
          <w:tcPr>
            <w:tcW w:w="439" w:type="dxa"/>
            <w:noWrap w:val="0"/>
            <w:vAlign w:val="center"/>
          </w:tcPr>
          <w:p>
            <w:pPr>
              <w:snapToGrid w:val="0"/>
              <w:jc w:val="center"/>
              <w:rPr>
                <w:rFonts w:ascii="Times New Roman" w:hAnsi="Times New Roman"/>
                <w:bCs/>
                <w:sz w:val="18"/>
                <w:szCs w:val="18"/>
              </w:rPr>
            </w:pPr>
            <w:r>
              <w:rPr>
                <w:rFonts w:ascii="Times New Roman" w:hAnsi="Times New Roman"/>
                <w:bCs/>
                <w:sz w:val="18"/>
                <w:szCs w:val="18"/>
              </w:rPr>
              <w:t>2</w:t>
            </w:r>
          </w:p>
        </w:tc>
        <w:tc>
          <w:tcPr>
            <w:tcW w:w="3402" w:type="dxa"/>
            <w:noWrap w:val="0"/>
            <w:vAlign w:val="center"/>
          </w:tcPr>
          <w:p>
            <w:pPr>
              <w:snapToGrid w:val="0"/>
              <w:jc w:val="center"/>
              <w:rPr>
                <w:rFonts w:ascii="Times New Roman" w:hAnsi="Times New Roman"/>
                <w:sz w:val="18"/>
                <w:szCs w:val="18"/>
              </w:rPr>
            </w:pPr>
            <w:r>
              <w:rPr>
                <w:rFonts w:ascii="Times New Roman" w:hAnsi="宋体"/>
                <w:bCs/>
                <w:sz w:val="18"/>
                <w:szCs w:val="18"/>
              </w:rPr>
              <w:t>缩二脲</w:t>
            </w:r>
            <w:r>
              <w:rPr>
                <w:rFonts w:hint="eastAsia" w:ascii="Times New Roman" w:hAnsi="宋体"/>
                <w:bCs/>
                <w:sz w:val="18"/>
                <w:szCs w:val="18"/>
              </w:rPr>
              <w:t>的质量分数</w:t>
            </w:r>
          </w:p>
        </w:tc>
        <w:tc>
          <w:tcPr>
            <w:tcW w:w="2561" w:type="dxa"/>
            <w:vMerge w:val="continue"/>
            <w:noWrap w:val="0"/>
            <w:vAlign w:val="center"/>
          </w:tcPr>
          <w:p>
            <w:pPr>
              <w:snapToGrid w:val="0"/>
              <w:jc w:val="center"/>
              <w:rPr>
                <w:rFonts w:ascii="Times New Roman" w:hAnsi="Times New Roman"/>
                <w:bCs/>
                <w:sz w:val="18"/>
                <w:szCs w:val="18"/>
              </w:rPr>
            </w:pPr>
          </w:p>
        </w:tc>
        <w:tc>
          <w:tcPr>
            <w:tcW w:w="2299" w:type="dxa"/>
            <w:noWrap w:val="0"/>
            <w:vAlign w:val="center"/>
          </w:tcPr>
          <w:p>
            <w:pPr>
              <w:jc w:val="center"/>
              <w:rPr>
                <w:rFonts w:ascii="Times New Roman" w:hAnsi="Times New Roman"/>
                <w:sz w:val="18"/>
                <w:szCs w:val="18"/>
              </w:rPr>
            </w:pPr>
            <w:r>
              <w:rPr>
                <w:rFonts w:ascii="Times New Roman" w:hAnsi="Times New Roman"/>
                <w:sz w:val="18"/>
                <w:szCs w:val="18"/>
              </w:rPr>
              <w:t>GB/T</w:t>
            </w:r>
            <w:r>
              <w:rPr>
                <w:rFonts w:hint="eastAsia" w:ascii="Times New Roman" w:hAnsi="Times New Roman"/>
                <w:sz w:val="18"/>
                <w:szCs w:val="18"/>
              </w:rPr>
              <w:t>2441.2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97" w:hRule="atLeast"/>
          <w:tblHeader/>
          <w:jc w:val="center"/>
        </w:trPr>
        <w:tc>
          <w:tcPr>
            <w:tcW w:w="439" w:type="dxa"/>
            <w:noWrap w:val="0"/>
            <w:vAlign w:val="center"/>
          </w:tcPr>
          <w:p>
            <w:pPr>
              <w:snapToGrid w:val="0"/>
              <w:jc w:val="center"/>
              <w:rPr>
                <w:rFonts w:ascii="Times New Roman" w:hAnsi="Times New Roman"/>
                <w:bCs/>
                <w:sz w:val="18"/>
                <w:szCs w:val="18"/>
              </w:rPr>
            </w:pPr>
            <w:r>
              <w:rPr>
                <w:rFonts w:ascii="Times New Roman" w:hAnsi="Times New Roman"/>
                <w:bCs/>
                <w:sz w:val="18"/>
                <w:szCs w:val="18"/>
              </w:rPr>
              <w:t>3</w:t>
            </w:r>
          </w:p>
        </w:tc>
        <w:tc>
          <w:tcPr>
            <w:tcW w:w="3402" w:type="dxa"/>
            <w:noWrap w:val="0"/>
            <w:vAlign w:val="center"/>
          </w:tcPr>
          <w:p>
            <w:pPr>
              <w:snapToGrid w:val="0"/>
              <w:jc w:val="center"/>
              <w:rPr>
                <w:rFonts w:ascii="Times New Roman" w:hAnsi="Times New Roman"/>
                <w:sz w:val="18"/>
                <w:szCs w:val="18"/>
              </w:rPr>
            </w:pPr>
            <w:r>
              <w:rPr>
                <w:rFonts w:ascii="Times New Roman" w:hAnsi="宋体"/>
                <w:sz w:val="18"/>
                <w:szCs w:val="18"/>
              </w:rPr>
              <w:t>水分</w:t>
            </w:r>
          </w:p>
        </w:tc>
        <w:tc>
          <w:tcPr>
            <w:tcW w:w="2561" w:type="dxa"/>
            <w:vMerge w:val="continue"/>
            <w:noWrap w:val="0"/>
            <w:vAlign w:val="center"/>
          </w:tcPr>
          <w:p>
            <w:pPr>
              <w:snapToGrid w:val="0"/>
              <w:jc w:val="center"/>
              <w:rPr>
                <w:rFonts w:ascii="Times New Roman" w:hAnsi="Times New Roman"/>
                <w:bCs/>
                <w:sz w:val="18"/>
                <w:szCs w:val="18"/>
              </w:rPr>
            </w:pPr>
          </w:p>
        </w:tc>
        <w:tc>
          <w:tcPr>
            <w:tcW w:w="2299" w:type="dxa"/>
            <w:noWrap w:val="0"/>
            <w:vAlign w:val="center"/>
          </w:tcPr>
          <w:p>
            <w:pPr>
              <w:jc w:val="center"/>
              <w:rPr>
                <w:rFonts w:ascii="Times New Roman" w:hAnsi="Times New Roman"/>
                <w:sz w:val="18"/>
                <w:szCs w:val="18"/>
              </w:rPr>
            </w:pPr>
            <w:r>
              <w:rPr>
                <w:rFonts w:ascii="Times New Roman" w:hAnsi="Times New Roman"/>
                <w:sz w:val="18"/>
                <w:szCs w:val="18"/>
              </w:rPr>
              <w:t>GB/T</w:t>
            </w:r>
            <w:r>
              <w:rPr>
                <w:rFonts w:hint="eastAsia" w:ascii="Times New Roman" w:hAnsi="Times New Roman"/>
                <w:sz w:val="18"/>
                <w:szCs w:val="18"/>
              </w:rPr>
              <w:t>2441.3</w:t>
            </w:r>
          </w:p>
        </w:tc>
      </w:tr>
    </w:tbl>
    <w:p>
      <w:pPr>
        <w:snapToGrid w:val="0"/>
        <w:spacing w:line="276" w:lineRule="auto"/>
        <w:ind w:firstLine="360" w:firstLineChars="200"/>
        <w:rPr>
          <w:rFonts w:hint="eastAsia" w:ascii="Times New Roman" w:hAnsi="宋体"/>
          <w:bCs/>
          <w:color w:val="000000"/>
          <w:sz w:val="18"/>
          <w:szCs w:val="18"/>
        </w:rPr>
      </w:pPr>
    </w:p>
    <w:p>
      <w:pPr>
        <w:snapToGrid w:val="0"/>
        <w:spacing w:line="440" w:lineRule="exact"/>
        <w:ind w:firstLine="3330" w:firstLineChars="1850"/>
        <w:rPr>
          <w:rFonts w:ascii="Times New Roman" w:hAnsi="Times New Roman"/>
          <w:bCs/>
          <w:sz w:val="18"/>
          <w:szCs w:val="18"/>
        </w:rPr>
      </w:pPr>
      <w:r>
        <w:rPr>
          <w:rFonts w:ascii="Times New Roman" w:hAnsi="宋体"/>
          <w:bCs/>
          <w:color w:val="000000"/>
          <w:sz w:val="18"/>
          <w:szCs w:val="18"/>
        </w:rPr>
        <w:t>表</w:t>
      </w:r>
      <w:r>
        <w:rPr>
          <w:rFonts w:hint="eastAsia" w:ascii="Times New Roman" w:hAnsi="宋体"/>
          <w:bCs/>
          <w:color w:val="000000"/>
          <w:sz w:val="18"/>
          <w:szCs w:val="18"/>
          <w:lang w:val="en-US" w:eastAsia="zh-CN"/>
        </w:rPr>
        <w:t>4</w:t>
      </w:r>
      <w:r>
        <w:rPr>
          <w:rFonts w:ascii="Times New Roman" w:hAnsi="Times New Roman"/>
          <w:bCs/>
          <w:sz w:val="18"/>
          <w:szCs w:val="18"/>
        </w:rPr>
        <w:t xml:space="preserve"> </w:t>
      </w:r>
      <w:r>
        <w:rPr>
          <w:rFonts w:hint="eastAsia" w:ascii="Times New Roman" w:hAnsi="Times New Roman"/>
          <w:bCs/>
          <w:sz w:val="18"/>
          <w:szCs w:val="18"/>
          <w:lang w:eastAsia="zh-CN"/>
        </w:rPr>
        <w:t>农用硫酸钾</w:t>
      </w:r>
      <w:r>
        <w:rPr>
          <w:rFonts w:ascii="Times New Roman" w:hAnsi="宋体"/>
          <w:bCs/>
          <w:sz w:val="18"/>
          <w:szCs w:val="18"/>
        </w:rPr>
        <w:t>检验项目</w:t>
      </w:r>
    </w:p>
    <w:tbl>
      <w:tblPr>
        <w:tblStyle w:val="7"/>
        <w:tblW w:w="8715"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46"/>
        <w:gridCol w:w="3402"/>
        <w:gridCol w:w="2552"/>
        <w:gridCol w:w="23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jc w:val="center"/>
        </w:trPr>
        <w:tc>
          <w:tcPr>
            <w:tcW w:w="446" w:type="dxa"/>
            <w:noWrap w:val="0"/>
            <w:vAlign w:val="center"/>
          </w:tcPr>
          <w:p>
            <w:pPr>
              <w:snapToGrid w:val="0"/>
              <w:jc w:val="center"/>
              <w:rPr>
                <w:rFonts w:ascii="Times New Roman" w:hAnsi="Times New Roman"/>
                <w:bCs/>
                <w:color w:val="000000"/>
                <w:sz w:val="18"/>
                <w:szCs w:val="18"/>
              </w:rPr>
            </w:pPr>
            <w:r>
              <w:rPr>
                <w:rFonts w:ascii="Times New Roman" w:hAnsi="宋体"/>
                <w:bCs/>
                <w:color w:val="000000"/>
                <w:sz w:val="18"/>
                <w:szCs w:val="18"/>
              </w:rPr>
              <w:t>序号</w:t>
            </w:r>
          </w:p>
        </w:tc>
        <w:tc>
          <w:tcPr>
            <w:tcW w:w="3402" w:type="dxa"/>
            <w:noWrap w:val="0"/>
            <w:vAlign w:val="center"/>
          </w:tcPr>
          <w:p>
            <w:pPr>
              <w:snapToGrid w:val="0"/>
              <w:jc w:val="center"/>
              <w:rPr>
                <w:rFonts w:ascii="Times New Roman" w:hAnsi="Times New Roman"/>
                <w:bCs/>
                <w:color w:val="000000"/>
                <w:sz w:val="18"/>
                <w:szCs w:val="18"/>
              </w:rPr>
            </w:pPr>
            <w:r>
              <w:rPr>
                <w:rFonts w:ascii="Times New Roman" w:hAnsi="宋体"/>
                <w:bCs/>
                <w:color w:val="000000"/>
                <w:sz w:val="18"/>
                <w:szCs w:val="18"/>
              </w:rPr>
              <w:t>检验项目</w:t>
            </w:r>
          </w:p>
        </w:tc>
        <w:tc>
          <w:tcPr>
            <w:tcW w:w="2552" w:type="dxa"/>
            <w:noWrap w:val="0"/>
            <w:vAlign w:val="center"/>
          </w:tcPr>
          <w:p>
            <w:pPr>
              <w:jc w:val="center"/>
              <w:rPr>
                <w:rFonts w:ascii="Times New Roman" w:hAnsi="Times New Roman"/>
                <w:sz w:val="18"/>
                <w:szCs w:val="18"/>
              </w:rPr>
            </w:pPr>
            <w:r>
              <w:rPr>
                <w:rFonts w:ascii="Times New Roman" w:hAnsi="宋体"/>
                <w:sz w:val="18"/>
                <w:szCs w:val="18"/>
              </w:rPr>
              <w:t>判定依据</w:t>
            </w:r>
          </w:p>
        </w:tc>
        <w:tc>
          <w:tcPr>
            <w:tcW w:w="2315" w:type="dxa"/>
            <w:noWrap w:val="0"/>
            <w:vAlign w:val="center"/>
          </w:tcPr>
          <w:p>
            <w:pPr>
              <w:jc w:val="center"/>
              <w:rPr>
                <w:rFonts w:ascii="Times New Roman" w:hAnsi="Times New Roman"/>
                <w:sz w:val="18"/>
                <w:szCs w:val="18"/>
              </w:rPr>
            </w:pPr>
            <w:r>
              <w:rPr>
                <w:rFonts w:ascii="Times New Roman" w:hAnsi="宋体"/>
                <w:sz w:val="18"/>
                <w:szCs w:val="18"/>
              </w:rPr>
              <w:t>检验方法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jc w:val="center"/>
        </w:trPr>
        <w:tc>
          <w:tcPr>
            <w:tcW w:w="446" w:type="dxa"/>
            <w:noWrap w:val="0"/>
            <w:vAlign w:val="center"/>
          </w:tcPr>
          <w:p>
            <w:pPr>
              <w:snapToGrid w:val="0"/>
              <w:jc w:val="center"/>
              <w:rPr>
                <w:rFonts w:ascii="Times New Roman" w:hAnsi="Times New Roman"/>
                <w:bCs/>
                <w:color w:val="000000"/>
                <w:sz w:val="18"/>
                <w:szCs w:val="18"/>
              </w:rPr>
            </w:pPr>
            <w:r>
              <w:rPr>
                <w:rFonts w:ascii="Times New Roman" w:hAnsi="Times New Roman"/>
                <w:bCs/>
                <w:color w:val="000000"/>
                <w:sz w:val="18"/>
                <w:szCs w:val="18"/>
              </w:rPr>
              <w:t>1</w:t>
            </w:r>
          </w:p>
        </w:tc>
        <w:tc>
          <w:tcPr>
            <w:tcW w:w="3402" w:type="dxa"/>
            <w:noWrap w:val="0"/>
            <w:vAlign w:val="center"/>
          </w:tcPr>
          <w:p>
            <w:pPr>
              <w:widowControl/>
              <w:jc w:val="center"/>
              <w:rPr>
                <w:rFonts w:ascii="Times New Roman" w:hAnsi="Times New Roman"/>
                <w:sz w:val="18"/>
                <w:szCs w:val="18"/>
              </w:rPr>
            </w:pPr>
            <w:r>
              <w:rPr>
                <w:rFonts w:hint="eastAsia"/>
                <w:color w:val="000000"/>
                <w:kern w:val="0"/>
                <w:sz w:val="18"/>
                <w:szCs w:val="18"/>
              </w:rPr>
              <w:t>水溶性氧化钾(</w:t>
            </w:r>
            <w:r>
              <w:rPr>
                <w:color w:val="000000"/>
                <w:kern w:val="0"/>
                <w:sz w:val="18"/>
                <w:szCs w:val="18"/>
              </w:rPr>
              <w:t>K</w:t>
            </w:r>
            <w:r>
              <w:rPr>
                <w:color w:val="000000"/>
                <w:kern w:val="0"/>
                <w:sz w:val="18"/>
                <w:szCs w:val="18"/>
                <w:vertAlign w:val="subscript"/>
              </w:rPr>
              <w:t>2</w:t>
            </w:r>
            <w:r>
              <w:rPr>
                <w:color w:val="000000"/>
                <w:kern w:val="0"/>
                <w:sz w:val="18"/>
                <w:szCs w:val="18"/>
              </w:rPr>
              <w:t>O)</w:t>
            </w:r>
            <w:r>
              <w:rPr>
                <w:rFonts w:hint="eastAsia"/>
                <w:color w:val="000000"/>
                <w:kern w:val="0"/>
                <w:sz w:val="18"/>
                <w:szCs w:val="18"/>
              </w:rPr>
              <w:t>的质量分数</w:t>
            </w:r>
          </w:p>
        </w:tc>
        <w:tc>
          <w:tcPr>
            <w:tcW w:w="2552" w:type="dxa"/>
            <w:vMerge w:val="restart"/>
            <w:noWrap w:val="0"/>
            <w:vAlign w:val="center"/>
          </w:tcPr>
          <w:p>
            <w:pPr>
              <w:widowControl/>
              <w:jc w:val="center"/>
              <w:rPr>
                <w:color w:val="000000"/>
                <w:kern w:val="0"/>
                <w:sz w:val="18"/>
                <w:szCs w:val="18"/>
              </w:rPr>
            </w:pPr>
            <w:r>
              <w:rPr>
                <w:color w:val="000000"/>
                <w:kern w:val="0"/>
                <w:sz w:val="18"/>
                <w:szCs w:val="18"/>
              </w:rPr>
              <w:t>GB/T 20406—2017</w:t>
            </w:r>
          </w:p>
          <w:p>
            <w:pPr>
              <w:widowControl/>
              <w:jc w:val="center"/>
              <w:rPr>
                <w:rFonts w:ascii="Times New Roman" w:hAnsi="Times New Roman"/>
                <w:bCs/>
                <w:color w:val="000000"/>
                <w:sz w:val="18"/>
                <w:szCs w:val="18"/>
              </w:rPr>
            </w:pPr>
          </w:p>
        </w:tc>
        <w:tc>
          <w:tcPr>
            <w:tcW w:w="2315" w:type="dxa"/>
            <w:noWrap w:val="0"/>
            <w:vAlign w:val="center"/>
          </w:tcPr>
          <w:p>
            <w:pPr>
              <w:jc w:val="center"/>
              <w:rPr>
                <w:rFonts w:ascii="Times New Roman" w:hAnsi="Times New Roman"/>
                <w:bCs/>
                <w:color w:val="000000"/>
                <w:sz w:val="18"/>
                <w:szCs w:val="18"/>
              </w:rPr>
            </w:pPr>
            <w:r>
              <w:rPr>
                <w:color w:val="000000"/>
                <w:kern w:val="0"/>
                <w:sz w:val="18"/>
                <w:szCs w:val="18"/>
              </w:rPr>
              <w:t>GB/T 20406—2017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jc w:val="center"/>
        </w:trPr>
        <w:tc>
          <w:tcPr>
            <w:tcW w:w="446" w:type="dxa"/>
            <w:noWrap w:val="0"/>
            <w:vAlign w:val="center"/>
          </w:tcPr>
          <w:p>
            <w:pPr>
              <w:snapToGrid w:val="0"/>
              <w:jc w:val="center"/>
              <w:rPr>
                <w:rFonts w:ascii="Times New Roman" w:hAnsi="Times New Roman"/>
                <w:bCs/>
                <w:color w:val="000000"/>
                <w:sz w:val="18"/>
                <w:szCs w:val="18"/>
              </w:rPr>
            </w:pPr>
            <w:r>
              <w:rPr>
                <w:rFonts w:ascii="Times New Roman" w:hAnsi="Times New Roman"/>
                <w:bCs/>
                <w:color w:val="000000"/>
                <w:sz w:val="18"/>
                <w:szCs w:val="18"/>
              </w:rPr>
              <w:t>2</w:t>
            </w:r>
          </w:p>
        </w:tc>
        <w:tc>
          <w:tcPr>
            <w:tcW w:w="3402" w:type="dxa"/>
            <w:noWrap w:val="0"/>
            <w:vAlign w:val="center"/>
          </w:tcPr>
          <w:p>
            <w:pPr>
              <w:widowControl/>
              <w:jc w:val="center"/>
              <w:rPr>
                <w:rFonts w:ascii="Times New Roman" w:hAnsi="Times New Roman"/>
                <w:sz w:val="18"/>
                <w:szCs w:val="18"/>
              </w:rPr>
            </w:pPr>
            <w:r>
              <w:rPr>
                <w:rFonts w:hint="eastAsia"/>
                <w:color w:val="000000"/>
                <w:kern w:val="0"/>
                <w:sz w:val="18"/>
                <w:szCs w:val="18"/>
              </w:rPr>
              <w:t>硫(</w:t>
            </w:r>
            <w:r>
              <w:rPr>
                <w:color w:val="000000"/>
                <w:kern w:val="0"/>
                <w:sz w:val="18"/>
                <w:szCs w:val="18"/>
              </w:rPr>
              <w:t>S)</w:t>
            </w:r>
            <w:r>
              <w:rPr>
                <w:rFonts w:hint="eastAsia"/>
                <w:color w:val="000000"/>
                <w:kern w:val="0"/>
                <w:sz w:val="18"/>
                <w:szCs w:val="18"/>
              </w:rPr>
              <w:t>的质量分数</w:t>
            </w:r>
          </w:p>
        </w:tc>
        <w:tc>
          <w:tcPr>
            <w:tcW w:w="2552" w:type="dxa"/>
            <w:vMerge w:val="continue"/>
            <w:noWrap w:val="0"/>
            <w:vAlign w:val="center"/>
          </w:tcPr>
          <w:p>
            <w:pPr>
              <w:widowControl/>
              <w:jc w:val="center"/>
              <w:rPr>
                <w:rFonts w:ascii="Times New Roman" w:hAnsi="Times New Roman"/>
                <w:bCs/>
                <w:color w:val="000000"/>
                <w:sz w:val="18"/>
                <w:szCs w:val="18"/>
              </w:rPr>
            </w:pPr>
          </w:p>
        </w:tc>
        <w:tc>
          <w:tcPr>
            <w:tcW w:w="2315" w:type="dxa"/>
            <w:noWrap w:val="0"/>
            <w:vAlign w:val="center"/>
          </w:tcPr>
          <w:p>
            <w:pPr>
              <w:jc w:val="center"/>
              <w:rPr>
                <w:rFonts w:ascii="Times New Roman" w:hAnsi="Times New Roman"/>
                <w:bCs/>
                <w:color w:val="000000"/>
                <w:sz w:val="18"/>
                <w:szCs w:val="18"/>
              </w:rPr>
            </w:pPr>
            <w:r>
              <w:rPr>
                <w:color w:val="000000"/>
                <w:kern w:val="0"/>
                <w:sz w:val="18"/>
                <w:szCs w:val="18"/>
              </w:rPr>
              <w:t>GB/T 20406—2017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jc w:val="center"/>
        </w:trPr>
        <w:tc>
          <w:tcPr>
            <w:tcW w:w="446" w:type="dxa"/>
            <w:noWrap w:val="0"/>
            <w:vAlign w:val="center"/>
          </w:tcPr>
          <w:p>
            <w:pPr>
              <w:snapToGrid w:val="0"/>
              <w:jc w:val="center"/>
              <w:rPr>
                <w:rFonts w:ascii="Times New Roman" w:hAnsi="Times New Roman"/>
                <w:bCs/>
                <w:color w:val="000000"/>
                <w:sz w:val="18"/>
                <w:szCs w:val="18"/>
              </w:rPr>
            </w:pPr>
            <w:r>
              <w:rPr>
                <w:rFonts w:ascii="Times New Roman" w:hAnsi="Times New Roman"/>
                <w:bCs/>
                <w:color w:val="000000"/>
                <w:sz w:val="18"/>
                <w:szCs w:val="18"/>
              </w:rPr>
              <w:t>3</w:t>
            </w:r>
          </w:p>
        </w:tc>
        <w:tc>
          <w:tcPr>
            <w:tcW w:w="3402" w:type="dxa"/>
            <w:noWrap w:val="0"/>
            <w:vAlign w:val="center"/>
          </w:tcPr>
          <w:p>
            <w:pPr>
              <w:widowControl/>
              <w:jc w:val="center"/>
              <w:rPr>
                <w:rFonts w:ascii="Times New Roman" w:hAnsi="Times New Roman"/>
                <w:sz w:val="18"/>
                <w:szCs w:val="18"/>
              </w:rPr>
            </w:pPr>
            <w:r>
              <w:rPr>
                <w:color w:val="000000"/>
                <w:kern w:val="0"/>
                <w:sz w:val="18"/>
                <w:szCs w:val="18"/>
              </w:rPr>
              <w:t>氯离子</w:t>
            </w:r>
            <w:r>
              <w:rPr>
                <w:rFonts w:hint="eastAsia"/>
                <w:color w:val="000000"/>
                <w:kern w:val="0"/>
                <w:sz w:val="18"/>
                <w:szCs w:val="18"/>
              </w:rPr>
              <w:t>(</w:t>
            </w:r>
            <w:r>
              <w:rPr>
                <w:color w:val="000000"/>
                <w:kern w:val="0"/>
                <w:sz w:val="18"/>
                <w:szCs w:val="18"/>
              </w:rPr>
              <w:t>Cl</w:t>
            </w:r>
            <w:r>
              <w:rPr>
                <w:color w:val="000000"/>
                <w:kern w:val="0"/>
                <w:sz w:val="18"/>
                <w:szCs w:val="18"/>
                <w:vertAlign w:val="superscript"/>
              </w:rPr>
              <w:t>-</w:t>
            </w:r>
            <w:r>
              <w:rPr>
                <w:color w:val="000000"/>
                <w:kern w:val="0"/>
                <w:sz w:val="18"/>
                <w:szCs w:val="18"/>
              </w:rPr>
              <w:t>)</w:t>
            </w:r>
            <w:r>
              <w:rPr>
                <w:rFonts w:hint="eastAsia"/>
                <w:color w:val="000000"/>
                <w:kern w:val="0"/>
                <w:sz w:val="18"/>
                <w:szCs w:val="18"/>
              </w:rPr>
              <w:t>的质量分数</w:t>
            </w:r>
          </w:p>
        </w:tc>
        <w:tc>
          <w:tcPr>
            <w:tcW w:w="2552" w:type="dxa"/>
            <w:vMerge w:val="continue"/>
            <w:noWrap w:val="0"/>
            <w:vAlign w:val="center"/>
          </w:tcPr>
          <w:p>
            <w:pPr>
              <w:widowControl/>
              <w:jc w:val="center"/>
              <w:rPr>
                <w:rFonts w:ascii="Times New Roman" w:hAnsi="Times New Roman"/>
                <w:bCs/>
                <w:color w:val="000000"/>
                <w:sz w:val="18"/>
                <w:szCs w:val="18"/>
              </w:rPr>
            </w:pPr>
          </w:p>
        </w:tc>
        <w:tc>
          <w:tcPr>
            <w:tcW w:w="2315" w:type="dxa"/>
            <w:noWrap w:val="0"/>
            <w:vAlign w:val="center"/>
          </w:tcPr>
          <w:p>
            <w:pPr>
              <w:jc w:val="center"/>
              <w:rPr>
                <w:rFonts w:ascii="Times New Roman" w:hAnsi="Times New Roman"/>
                <w:bCs/>
                <w:color w:val="000000"/>
                <w:sz w:val="18"/>
                <w:szCs w:val="18"/>
              </w:rPr>
            </w:pPr>
            <w:r>
              <w:rPr>
                <w:color w:val="000000"/>
                <w:kern w:val="0"/>
                <w:sz w:val="18"/>
                <w:szCs w:val="18"/>
              </w:rPr>
              <w:t>GB/T 20406—2017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jc w:val="center"/>
        </w:trPr>
        <w:tc>
          <w:tcPr>
            <w:tcW w:w="446" w:type="dxa"/>
            <w:noWrap w:val="0"/>
            <w:vAlign w:val="center"/>
          </w:tcPr>
          <w:p>
            <w:pPr>
              <w:snapToGrid w:val="0"/>
              <w:jc w:val="center"/>
              <w:rPr>
                <w:rFonts w:ascii="Times New Roman" w:hAnsi="Times New Roman"/>
                <w:bCs/>
                <w:color w:val="000000"/>
                <w:sz w:val="18"/>
                <w:szCs w:val="18"/>
              </w:rPr>
            </w:pPr>
            <w:r>
              <w:rPr>
                <w:rFonts w:ascii="Times New Roman" w:hAnsi="Times New Roman"/>
                <w:bCs/>
                <w:color w:val="000000"/>
                <w:sz w:val="18"/>
                <w:szCs w:val="18"/>
              </w:rPr>
              <w:t>4</w:t>
            </w:r>
          </w:p>
        </w:tc>
        <w:tc>
          <w:tcPr>
            <w:tcW w:w="3402" w:type="dxa"/>
            <w:noWrap w:val="0"/>
            <w:vAlign w:val="center"/>
          </w:tcPr>
          <w:p>
            <w:pPr>
              <w:widowControl/>
              <w:jc w:val="center"/>
              <w:rPr>
                <w:rFonts w:ascii="Times New Roman" w:hAnsi="Times New Roman"/>
                <w:bCs/>
                <w:color w:val="000000"/>
                <w:sz w:val="18"/>
                <w:szCs w:val="18"/>
              </w:rPr>
            </w:pPr>
            <w:r>
              <w:rPr>
                <w:rFonts w:hint="eastAsia"/>
                <w:color w:val="000000"/>
                <w:kern w:val="0"/>
                <w:sz w:val="18"/>
                <w:szCs w:val="18"/>
              </w:rPr>
              <w:t>水分(</w:t>
            </w:r>
            <w:r>
              <w:rPr>
                <w:color w:val="000000"/>
                <w:kern w:val="0"/>
                <w:sz w:val="18"/>
                <w:szCs w:val="18"/>
              </w:rPr>
              <w:t>H</w:t>
            </w:r>
            <w:r>
              <w:rPr>
                <w:color w:val="000000"/>
                <w:kern w:val="0"/>
                <w:sz w:val="18"/>
                <w:szCs w:val="18"/>
                <w:vertAlign w:val="subscript"/>
              </w:rPr>
              <w:t>2</w:t>
            </w:r>
            <w:r>
              <w:rPr>
                <w:color w:val="000000"/>
                <w:kern w:val="0"/>
                <w:sz w:val="18"/>
                <w:szCs w:val="18"/>
              </w:rPr>
              <w:t>O)</w:t>
            </w:r>
            <w:r>
              <w:rPr>
                <w:rFonts w:hint="eastAsia"/>
                <w:color w:val="000000"/>
                <w:kern w:val="0"/>
                <w:sz w:val="18"/>
                <w:szCs w:val="18"/>
              </w:rPr>
              <w:t>的质量分数</w:t>
            </w:r>
          </w:p>
        </w:tc>
        <w:tc>
          <w:tcPr>
            <w:tcW w:w="2552" w:type="dxa"/>
            <w:vMerge w:val="continue"/>
            <w:noWrap w:val="0"/>
            <w:vAlign w:val="center"/>
          </w:tcPr>
          <w:p>
            <w:pPr>
              <w:widowControl/>
              <w:jc w:val="center"/>
              <w:rPr>
                <w:rFonts w:ascii="Times New Roman" w:hAnsi="Times New Roman"/>
                <w:bCs/>
                <w:color w:val="000000"/>
                <w:sz w:val="18"/>
                <w:szCs w:val="18"/>
              </w:rPr>
            </w:pPr>
          </w:p>
        </w:tc>
        <w:tc>
          <w:tcPr>
            <w:tcW w:w="2315" w:type="dxa"/>
            <w:noWrap w:val="0"/>
            <w:vAlign w:val="center"/>
          </w:tcPr>
          <w:p>
            <w:pPr>
              <w:widowControl/>
              <w:jc w:val="center"/>
              <w:rPr>
                <w:rFonts w:ascii="Times New Roman" w:hAnsi="Times New Roman"/>
                <w:bCs/>
                <w:color w:val="000000"/>
                <w:sz w:val="18"/>
                <w:szCs w:val="18"/>
              </w:rPr>
            </w:pPr>
            <w:r>
              <w:rPr>
                <w:color w:val="000000"/>
                <w:kern w:val="0"/>
                <w:sz w:val="18"/>
                <w:szCs w:val="18"/>
              </w:rPr>
              <w:t>GB/T 20406—2017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jc w:val="center"/>
        </w:trPr>
        <w:tc>
          <w:tcPr>
            <w:tcW w:w="446" w:type="dxa"/>
            <w:noWrap w:val="0"/>
            <w:vAlign w:val="center"/>
          </w:tcPr>
          <w:p>
            <w:pPr>
              <w:snapToGrid w:val="0"/>
              <w:jc w:val="center"/>
              <w:rPr>
                <w:rFonts w:ascii="Times New Roman" w:hAnsi="Times New Roman"/>
                <w:bCs/>
                <w:color w:val="000000"/>
                <w:sz w:val="18"/>
                <w:szCs w:val="18"/>
              </w:rPr>
            </w:pPr>
            <w:r>
              <w:rPr>
                <w:rFonts w:ascii="Times New Roman" w:hAnsi="Times New Roman"/>
                <w:bCs/>
                <w:color w:val="000000"/>
                <w:sz w:val="18"/>
                <w:szCs w:val="18"/>
              </w:rPr>
              <w:t>5</w:t>
            </w:r>
          </w:p>
        </w:tc>
        <w:tc>
          <w:tcPr>
            <w:tcW w:w="3402" w:type="dxa"/>
            <w:noWrap w:val="0"/>
            <w:vAlign w:val="center"/>
          </w:tcPr>
          <w:p>
            <w:pPr>
              <w:widowControl/>
              <w:jc w:val="center"/>
              <w:rPr>
                <w:rFonts w:ascii="Times New Roman" w:hAnsi="Times New Roman"/>
                <w:bCs/>
                <w:color w:val="000000"/>
                <w:sz w:val="18"/>
                <w:szCs w:val="18"/>
              </w:rPr>
            </w:pPr>
            <w:r>
              <w:rPr>
                <w:rFonts w:hint="eastAsia"/>
                <w:color w:val="000000"/>
                <w:kern w:val="0"/>
                <w:sz w:val="18"/>
                <w:szCs w:val="18"/>
              </w:rPr>
              <w:t>游离酸(以H</w:t>
            </w:r>
            <w:r>
              <w:rPr>
                <w:color w:val="000000"/>
                <w:kern w:val="0"/>
                <w:sz w:val="18"/>
                <w:szCs w:val="18"/>
                <w:vertAlign w:val="subscript"/>
              </w:rPr>
              <w:t>2</w:t>
            </w:r>
            <w:r>
              <w:rPr>
                <w:color w:val="000000"/>
                <w:kern w:val="0"/>
                <w:sz w:val="18"/>
                <w:szCs w:val="18"/>
              </w:rPr>
              <w:t>SO</w:t>
            </w:r>
            <w:r>
              <w:rPr>
                <w:color w:val="000000"/>
                <w:kern w:val="0"/>
                <w:sz w:val="18"/>
                <w:szCs w:val="18"/>
                <w:vertAlign w:val="subscript"/>
              </w:rPr>
              <w:t>4</w:t>
            </w:r>
            <w:r>
              <w:rPr>
                <w:rFonts w:hint="eastAsia"/>
                <w:color w:val="000000"/>
                <w:kern w:val="0"/>
                <w:sz w:val="18"/>
                <w:szCs w:val="18"/>
              </w:rPr>
              <w:t>计</w:t>
            </w:r>
            <w:r>
              <w:rPr>
                <w:color w:val="000000"/>
                <w:kern w:val="0"/>
                <w:sz w:val="18"/>
                <w:szCs w:val="18"/>
              </w:rPr>
              <w:t>)</w:t>
            </w:r>
            <w:r>
              <w:rPr>
                <w:rFonts w:hint="eastAsia"/>
                <w:color w:val="000000"/>
                <w:kern w:val="0"/>
                <w:sz w:val="18"/>
                <w:szCs w:val="18"/>
              </w:rPr>
              <w:t>的质量分数</w:t>
            </w:r>
          </w:p>
        </w:tc>
        <w:tc>
          <w:tcPr>
            <w:tcW w:w="2552" w:type="dxa"/>
            <w:vMerge w:val="continue"/>
            <w:noWrap w:val="0"/>
            <w:vAlign w:val="center"/>
          </w:tcPr>
          <w:p>
            <w:pPr>
              <w:widowControl/>
              <w:jc w:val="center"/>
              <w:rPr>
                <w:rFonts w:ascii="Times New Roman" w:hAnsi="Times New Roman"/>
                <w:bCs/>
                <w:color w:val="000000"/>
                <w:sz w:val="18"/>
                <w:szCs w:val="18"/>
              </w:rPr>
            </w:pPr>
          </w:p>
        </w:tc>
        <w:tc>
          <w:tcPr>
            <w:tcW w:w="2315" w:type="dxa"/>
            <w:noWrap w:val="0"/>
            <w:vAlign w:val="center"/>
          </w:tcPr>
          <w:p>
            <w:pPr>
              <w:jc w:val="center"/>
              <w:rPr>
                <w:rFonts w:ascii="Times New Roman" w:hAnsi="Times New Roman"/>
                <w:bCs/>
                <w:color w:val="000000"/>
                <w:sz w:val="18"/>
                <w:szCs w:val="18"/>
              </w:rPr>
            </w:pPr>
            <w:r>
              <w:rPr>
                <w:color w:val="000000"/>
                <w:kern w:val="0"/>
                <w:sz w:val="18"/>
                <w:szCs w:val="18"/>
              </w:rPr>
              <w:t>GB/T 20406—2017</w:t>
            </w:r>
          </w:p>
        </w:tc>
      </w:tr>
    </w:tbl>
    <w:p>
      <w:pPr>
        <w:snapToGrid w:val="0"/>
        <w:spacing w:line="440" w:lineRule="exact"/>
        <w:ind w:firstLine="3330" w:firstLineChars="1850"/>
        <w:rPr>
          <w:rFonts w:ascii="Times New Roman" w:hAnsi="Times New Roman"/>
          <w:bCs/>
          <w:sz w:val="18"/>
          <w:szCs w:val="18"/>
        </w:rPr>
      </w:pPr>
      <w:r>
        <w:rPr>
          <w:rFonts w:ascii="Times New Roman" w:hAnsi="宋体"/>
          <w:bCs/>
          <w:color w:val="000000"/>
          <w:sz w:val="18"/>
          <w:szCs w:val="18"/>
        </w:rPr>
        <w:t>表</w:t>
      </w:r>
      <w:r>
        <w:rPr>
          <w:rFonts w:hint="eastAsia" w:ascii="Times New Roman" w:hAnsi="宋体"/>
          <w:bCs/>
          <w:color w:val="000000"/>
          <w:sz w:val="18"/>
          <w:szCs w:val="18"/>
          <w:lang w:val="en-US" w:eastAsia="zh-CN"/>
        </w:rPr>
        <w:t>5</w:t>
      </w:r>
      <w:r>
        <w:rPr>
          <w:rFonts w:ascii="Times New Roman" w:hAnsi="Times New Roman"/>
          <w:bCs/>
          <w:sz w:val="18"/>
          <w:szCs w:val="18"/>
        </w:rPr>
        <w:t xml:space="preserve"> </w:t>
      </w:r>
      <w:r>
        <w:rPr>
          <w:rFonts w:ascii="Arial" w:hAnsi="Arial" w:eastAsia="宋体" w:cs="Arial"/>
          <w:i w:val="0"/>
          <w:iCs w:val="0"/>
          <w:caps w:val="0"/>
          <w:color w:val="333333"/>
          <w:spacing w:val="0"/>
          <w:sz w:val="18"/>
          <w:szCs w:val="18"/>
          <w:shd w:val="clear" w:fill="FFFFFF"/>
        </w:rPr>
        <w:t>农用微生物菌剂</w:t>
      </w:r>
      <w:r>
        <w:rPr>
          <w:rFonts w:ascii="Times New Roman" w:hAnsi="宋体"/>
          <w:bCs/>
          <w:sz w:val="18"/>
          <w:szCs w:val="18"/>
        </w:rPr>
        <w:t>检验项目</w:t>
      </w:r>
    </w:p>
    <w:tbl>
      <w:tblPr>
        <w:tblStyle w:val="7"/>
        <w:tblW w:w="8715"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46"/>
        <w:gridCol w:w="3402"/>
        <w:gridCol w:w="2552"/>
        <w:gridCol w:w="23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jc w:val="center"/>
        </w:trPr>
        <w:tc>
          <w:tcPr>
            <w:tcW w:w="446" w:type="dxa"/>
            <w:noWrap w:val="0"/>
            <w:vAlign w:val="center"/>
          </w:tcPr>
          <w:p>
            <w:pPr>
              <w:snapToGrid w:val="0"/>
              <w:jc w:val="center"/>
              <w:rPr>
                <w:rFonts w:ascii="Times New Roman" w:hAnsi="Times New Roman"/>
                <w:bCs/>
                <w:color w:val="000000"/>
                <w:sz w:val="18"/>
                <w:szCs w:val="18"/>
              </w:rPr>
            </w:pPr>
            <w:r>
              <w:rPr>
                <w:rFonts w:ascii="Times New Roman" w:hAnsi="宋体"/>
                <w:bCs/>
                <w:color w:val="000000"/>
                <w:sz w:val="18"/>
                <w:szCs w:val="18"/>
              </w:rPr>
              <w:t>序号</w:t>
            </w:r>
          </w:p>
        </w:tc>
        <w:tc>
          <w:tcPr>
            <w:tcW w:w="3402" w:type="dxa"/>
            <w:noWrap w:val="0"/>
            <w:vAlign w:val="center"/>
          </w:tcPr>
          <w:p>
            <w:pPr>
              <w:snapToGrid w:val="0"/>
              <w:jc w:val="center"/>
              <w:rPr>
                <w:rFonts w:ascii="Times New Roman" w:hAnsi="Times New Roman"/>
                <w:bCs/>
                <w:color w:val="000000"/>
                <w:sz w:val="18"/>
                <w:szCs w:val="18"/>
              </w:rPr>
            </w:pPr>
            <w:r>
              <w:rPr>
                <w:rFonts w:ascii="Times New Roman" w:hAnsi="宋体"/>
                <w:bCs/>
                <w:color w:val="000000"/>
                <w:sz w:val="18"/>
                <w:szCs w:val="18"/>
              </w:rPr>
              <w:t>检验项目</w:t>
            </w:r>
          </w:p>
        </w:tc>
        <w:tc>
          <w:tcPr>
            <w:tcW w:w="2552" w:type="dxa"/>
            <w:noWrap w:val="0"/>
            <w:vAlign w:val="center"/>
          </w:tcPr>
          <w:p>
            <w:pPr>
              <w:jc w:val="center"/>
              <w:rPr>
                <w:rFonts w:ascii="Times New Roman" w:hAnsi="Times New Roman"/>
                <w:sz w:val="18"/>
                <w:szCs w:val="18"/>
              </w:rPr>
            </w:pPr>
            <w:r>
              <w:rPr>
                <w:rFonts w:ascii="Times New Roman" w:hAnsi="宋体"/>
                <w:sz w:val="18"/>
                <w:szCs w:val="18"/>
              </w:rPr>
              <w:t>判定依据</w:t>
            </w:r>
          </w:p>
        </w:tc>
        <w:tc>
          <w:tcPr>
            <w:tcW w:w="2315" w:type="dxa"/>
            <w:noWrap w:val="0"/>
            <w:vAlign w:val="center"/>
          </w:tcPr>
          <w:p>
            <w:pPr>
              <w:jc w:val="center"/>
              <w:rPr>
                <w:rFonts w:ascii="Times New Roman" w:hAnsi="Times New Roman"/>
                <w:sz w:val="18"/>
                <w:szCs w:val="18"/>
              </w:rPr>
            </w:pPr>
            <w:r>
              <w:rPr>
                <w:rFonts w:ascii="Times New Roman" w:hAnsi="宋体"/>
                <w:sz w:val="18"/>
                <w:szCs w:val="18"/>
              </w:rPr>
              <w:t>检验方法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jc w:val="center"/>
        </w:trPr>
        <w:tc>
          <w:tcPr>
            <w:tcW w:w="446" w:type="dxa"/>
            <w:noWrap w:val="0"/>
            <w:vAlign w:val="center"/>
          </w:tcPr>
          <w:p>
            <w:pPr>
              <w:snapToGrid w:val="0"/>
              <w:jc w:val="center"/>
              <w:rPr>
                <w:rFonts w:ascii="Times New Roman" w:hAnsi="Times New Roman"/>
                <w:bCs/>
                <w:color w:val="000000"/>
                <w:sz w:val="18"/>
                <w:szCs w:val="18"/>
              </w:rPr>
            </w:pPr>
            <w:r>
              <w:rPr>
                <w:rFonts w:ascii="Times New Roman" w:hAnsi="Times New Roman"/>
                <w:bCs/>
                <w:color w:val="000000"/>
                <w:sz w:val="18"/>
                <w:szCs w:val="18"/>
              </w:rPr>
              <w:t>1</w:t>
            </w:r>
          </w:p>
        </w:tc>
        <w:tc>
          <w:tcPr>
            <w:tcW w:w="3402" w:type="dxa"/>
            <w:noWrap w:val="0"/>
            <w:vAlign w:val="center"/>
          </w:tcPr>
          <w:p>
            <w:pPr>
              <w:widowControl/>
              <w:jc w:val="center"/>
              <w:rPr>
                <w:rFonts w:hint="eastAsia" w:ascii="Times New Roman" w:hAnsi="Times New Roman" w:eastAsia="宋体"/>
                <w:sz w:val="18"/>
                <w:szCs w:val="18"/>
                <w:lang w:val="en-US" w:eastAsia="zh-CN"/>
              </w:rPr>
            </w:pPr>
            <w:r>
              <w:rPr>
                <w:rFonts w:hint="eastAsia" w:ascii="Times New Roman" w:hAnsi="Times New Roman"/>
                <w:sz w:val="18"/>
                <w:szCs w:val="18"/>
                <w:lang w:val="en-US" w:eastAsia="zh-CN"/>
              </w:rPr>
              <w:t>有效活菌数（cfu）</w:t>
            </w:r>
          </w:p>
        </w:tc>
        <w:tc>
          <w:tcPr>
            <w:tcW w:w="2552" w:type="dxa"/>
            <w:vMerge w:val="restart"/>
            <w:noWrap w:val="0"/>
            <w:vAlign w:val="center"/>
          </w:tcPr>
          <w:p>
            <w:pPr>
              <w:widowControl/>
              <w:jc w:val="center"/>
              <w:rPr>
                <w:rFonts w:hint="default" w:eastAsia="宋体"/>
                <w:color w:val="000000"/>
                <w:kern w:val="0"/>
                <w:sz w:val="18"/>
                <w:szCs w:val="18"/>
                <w:lang w:val="en-US" w:eastAsia="zh-CN"/>
              </w:rPr>
            </w:pPr>
            <w:r>
              <w:rPr>
                <w:color w:val="000000"/>
                <w:kern w:val="0"/>
                <w:sz w:val="18"/>
                <w:szCs w:val="18"/>
              </w:rPr>
              <w:t>GB</w:t>
            </w:r>
            <w:r>
              <w:rPr>
                <w:rFonts w:hint="eastAsia"/>
                <w:color w:val="000000"/>
                <w:kern w:val="0"/>
                <w:sz w:val="18"/>
                <w:szCs w:val="18"/>
                <w:lang w:val="en-US" w:eastAsia="zh-CN"/>
              </w:rPr>
              <w:t xml:space="preserve"> 20287-2006</w:t>
            </w:r>
          </w:p>
          <w:p>
            <w:pPr>
              <w:widowControl/>
              <w:jc w:val="center"/>
              <w:rPr>
                <w:rFonts w:ascii="Times New Roman" w:hAnsi="Times New Roman"/>
                <w:bCs/>
                <w:color w:val="000000"/>
                <w:sz w:val="18"/>
                <w:szCs w:val="18"/>
              </w:rPr>
            </w:pPr>
          </w:p>
        </w:tc>
        <w:tc>
          <w:tcPr>
            <w:tcW w:w="2315" w:type="dxa"/>
            <w:noWrap w:val="0"/>
            <w:vAlign w:val="center"/>
          </w:tcPr>
          <w:p>
            <w:pPr>
              <w:widowControl/>
              <w:jc w:val="center"/>
              <w:rPr>
                <w:rFonts w:ascii="Times New Roman" w:hAnsi="Times New Roman"/>
                <w:bCs/>
                <w:color w:val="000000"/>
                <w:sz w:val="18"/>
                <w:szCs w:val="18"/>
              </w:rPr>
            </w:pPr>
            <w:r>
              <w:rPr>
                <w:color w:val="000000"/>
                <w:kern w:val="0"/>
                <w:sz w:val="18"/>
                <w:szCs w:val="18"/>
              </w:rPr>
              <w:t>GB</w:t>
            </w:r>
            <w:r>
              <w:rPr>
                <w:rFonts w:hint="eastAsia"/>
                <w:color w:val="000000"/>
                <w:kern w:val="0"/>
                <w:sz w:val="18"/>
                <w:szCs w:val="18"/>
                <w:lang w:val="en-US" w:eastAsia="zh-CN"/>
              </w:rPr>
              <w:t xml:space="preserve"> 20287-2006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jc w:val="center"/>
        </w:trPr>
        <w:tc>
          <w:tcPr>
            <w:tcW w:w="446" w:type="dxa"/>
            <w:noWrap w:val="0"/>
            <w:vAlign w:val="center"/>
          </w:tcPr>
          <w:p>
            <w:pPr>
              <w:snapToGrid w:val="0"/>
              <w:jc w:val="center"/>
              <w:rPr>
                <w:rFonts w:ascii="Times New Roman" w:hAnsi="Times New Roman"/>
                <w:bCs/>
                <w:color w:val="000000"/>
                <w:sz w:val="18"/>
                <w:szCs w:val="18"/>
              </w:rPr>
            </w:pPr>
            <w:r>
              <w:rPr>
                <w:rFonts w:ascii="Times New Roman" w:hAnsi="Times New Roman"/>
                <w:bCs/>
                <w:color w:val="000000"/>
                <w:sz w:val="18"/>
                <w:szCs w:val="18"/>
              </w:rPr>
              <w:t>2</w:t>
            </w:r>
          </w:p>
        </w:tc>
        <w:tc>
          <w:tcPr>
            <w:tcW w:w="3402" w:type="dxa"/>
            <w:noWrap w:val="0"/>
            <w:vAlign w:val="center"/>
          </w:tcPr>
          <w:p>
            <w:pPr>
              <w:widowControl/>
              <w:jc w:val="center"/>
              <w:rPr>
                <w:rFonts w:hint="eastAsia" w:ascii="Times New Roman" w:hAnsi="Times New Roman" w:eastAsia="宋体"/>
                <w:sz w:val="18"/>
                <w:szCs w:val="18"/>
                <w:lang w:val="en-US" w:eastAsia="zh-CN"/>
              </w:rPr>
            </w:pPr>
            <w:r>
              <w:rPr>
                <w:rFonts w:hint="eastAsia" w:ascii="Times New Roman" w:hAnsi="Times New Roman"/>
                <w:sz w:val="18"/>
                <w:szCs w:val="18"/>
                <w:lang w:val="en-US" w:eastAsia="zh-CN"/>
              </w:rPr>
              <w:t>pH值</w:t>
            </w:r>
          </w:p>
        </w:tc>
        <w:tc>
          <w:tcPr>
            <w:tcW w:w="2552" w:type="dxa"/>
            <w:vMerge w:val="continue"/>
            <w:noWrap w:val="0"/>
            <w:vAlign w:val="center"/>
          </w:tcPr>
          <w:p>
            <w:pPr>
              <w:widowControl/>
              <w:jc w:val="center"/>
              <w:rPr>
                <w:rFonts w:ascii="Times New Roman" w:hAnsi="Times New Roman"/>
                <w:bCs/>
                <w:color w:val="000000"/>
                <w:sz w:val="18"/>
                <w:szCs w:val="18"/>
              </w:rPr>
            </w:pPr>
          </w:p>
        </w:tc>
        <w:tc>
          <w:tcPr>
            <w:tcW w:w="2315" w:type="dxa"/>
            <w:noWrap w:val="0"/>
            <w:vAlign w:val="center"/>
          </w:tcPr>
          <w:p>
            <w:pPr>
              <w:widowControl/>
              <w:jc w:val="center"/>
              <w:rPr>
                <w:rFonts w:ascii="Times New Roman" w:hAnsi="Times New Roman"/>
                <w:bCs/>
                <w:color w:val="000000"/>
                <w:sz w:val="18"/>
                <w:szCs w:val="18"/>
              </w:rPr>
            </w:pPr>
            <w:r>
              <w:rPr>
                <w:color w:val="000000"/>
                <w:kern w:val="0"/>
                <w:sz w:val="18"/>
                <w:szCs w:val="18"/>
              </w:rPr>
              <w:t>GB</w:t>
            </w:r>
            <w:r>
              <w:rPr>
                <w:rFonts w:hint="eastAsia"/>
                <w:color w:val="000000"/>
                <w:kern w:val="0"/>
                <w:sz w:val="18"/>
                <w:szCs w:val="18"/>
                <w:lang w:val="en-US" w:eastAsia="zh-CN"/>
              </w:rPr>
              <w:t xml:space="preserve"> 20287-2006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7" w:hRule="atLeast"/>
          <w:jc w:val="center"/>
        </w:trPr>
        <w:tc>
          <w:tcPr>
            <w:tcW w:w="446" w:type="dxa"/>
            <w:noWrap w:val="0"/>
            <w:vAlign w:val="center"/>
          </w:tcPr>
          <w:p>
            <w:pPr>
              <w:snapToGrid w:val="0"/>
              <w:jc w:val="center"/>
              <w:rPr>
                <w:rFonts w:ascii="Times New Roman" w:hAnsi="Times New Roman"/>
                <w:bCs/>
                <w:color w:val="000000"/>
                <w:sz w:val="18"/>
                <w:szCs w:val="18"/>
              </w:rPr>
            </w:pPr>
            <w:r>
              <w:rPr>
                <w:rFonts w:ascii="Times New Roman" w:hAnsi="Times New Roman"/>
                <w:bCs/>
                <w:color w:val="000000"/>
                <w:sz w:val="18"/>
                <w:szCs w:val="18"/>
              </w:rPr>
              <w:t>4</w:t>
            </w:r>
          </w:p>
        </w:tc>
        <w:tc>
          <w:tcPr>
            <w:tcW w:w="3402" w:type="dxa"/>
            <w:noWrap w:val="0"/>
            <w:vAlign w:val="center"/>
          </w:tcPr>
          <w:p>
            <w:pPr>
              <w:widowControl/>
              <w:jc w:val="center"/>
              <w:rPr>
                <w:rFonts w:ascii="Times New Roman" w:hAnsi="Times New Roman"/>
                <w:bCs/>
                <w:color w:val="000000"/>
                <w:sz w:val="18"/>
                <w:szCs w:val="18"/>
              </w:rPr>
            </w:pPr>
            <w:r>
              <w:rPr>
                <w:rFonts w:hint="eastAsia"/>
                <w:color w:val="000000"/>
                <w:kern w:val="0"/>
                <w:sz w:val="18"/>
                <w:szCs w:val="18"/>
              </w:rPr>
              <w:t>水分</w:t>
            </w:r>
          </w:p>
        </w:tc>
        <w:tc>
          <w:tcPr>
            <w:tcW w:w="2552" w:type="dxa"/>
            <w:vMerge w:val="continue"/>
            <w:noWrap w:val="0"/>
            <w:vAlign w:val="center"/>
          </w:tcPr>
          <w:p>
            <w:pPr>
              <w:widowControl/>
              <w:jc w:val="center"/>
              <w:rPr>
                <w:rFonts w:ascii="Times New Roman" w:hAnsi="Times New Roman"/>
                <w:bCs/>
                <w:color w:val="000000"/>
                <w:sz w:val="18"/>
                <w:szCs w:val="18"/>
              </w:rPr>
            </w:pPr>
          </w:p>
        </w:tc>
        <w:tc>
          <w:tcPr>
            <w:tcW w:w="2315" w:type="dxa"/>
            <w:noWrap w:val="0"/>
            <w:vAlign w:val="center"/>
          </w:tcPr>
          <w:p>
            <w:pPr>
              <w:widowControl/>
              <w:jc w:val="center"/>
              <w:rPr>
                <w:rFonts w:ascii="Times New Roman" w:hAnsi="Times New Roman"/>
                <w:bCs/>
                <w:color w:val="000000"/>
                <w:sz w:val="18"/>
                <w:szCs w:val="18"/>
              </w:rPr>
            </w:pPr>
            <w:r>
              <w:rPr>
                <w:color w:val="000000"/>
                <w:kern w:val="0"/>
                <w:sz w:val="18"/>
                <w:szCs w:val="18"/>
              </w:rPr>
              <w:t>GB</w:t>
            </w:r>
            <w:r>
              <w:rPr>
                <w:rFonts w:hint="eastAsia"/>
                <w:color w:val="000000"/>
                <w:kern w:val="0"/>
                <w:sz w:val="18"/>
                <w:szCs w:val="18"/>
                <w:lang w:val="en-US" w:eastAsia="zh-CN"/>
              </w:rPr>
              <w:t xml:space="preserve"> 20287-2006</w:t>
            </w:r>
          </w:p>
        </w:tc>
      </w:tr>
    </w:tbl>
    <w:p>
      <w:pPr>
        <w:snapToGrid w:val="0"/>
        <w:spacing w:line="276" w:lineRule="auto"/>
        <w:ind w:firstLine="360" w:firstLineChars="200"/>
        <w:rPr>
          <w:rFonts w:ascii="Times New Roman" w:hAnsi="宋体"/>
          <w:bCs/>
          <w:color w:val="000000"/>
          <w:sz w:val="18"/>
          <w:szCs w:val="18"/>
        </w:rPr>
      </w:pPr>
    </w:p>
    <w:p>
      <w:pPr>
        <w:snapToGrid w:val="0"/>
        <w:spacing w:line="276" w:lineRule="auto"/>
        <w:ind w:firstLine="360" w:firstLineChars="200"/>
        <w:rPr>
          <w:rFonts w:ascii="Times New Roman" w:hAnsi="宋体"/>
          <w:bCs/>
          <w:color w:val="000000"/>
          <w:sz w:val="18"/>
          <w:szCs w:val="18"/>
        </w:rPr>
      </w:pPr>
    </w:p>
    <w:p>
      <w:pPr>
        <w:keepNext w:val="0"/>
        <w:keepLines w:val="0"/>
        <w:pageBreakBefore w:val="0"/>
        <w:widowControl w:val="0"/>
        <w:kinsoku/>
        <w:wordWrap/>
        <w:overflowPunct/>
        <w:topLinePunct w:val="0"/>
        <w:autoSpaceDE/>
        <w:autoSpaceDN/>
        <w:bidi w:val="0"/>
        <w:adjustRightInd/>
        <w:snapToGrid w:val="0"/>
        <w:spacing w:line="400" w:lineRule="exact"/>
        <w:ind w:firstLine="360" w:firstLineChars="200"/>
        <w:textAlignment w:val="auto"/>
        <w:rPr>
          <w:rFonts w:ascii="Times New Roman" w:hAnsi="Times New Roman"/>
          <w:kern w:val="0"/>
          <w:sz w:val="18"/>
          <w:szCs w:val="18"/>
        </w:rPr>
      </w:pPr>
      <w:r>
        <w:rPr>
          <w:rFonts w:ascii="Times New Roman" w:hAnsi="宋体"/>
          <w:bCs/>
          <w:color w:val="000000"/>
          <w:sz w:val="18"/>
          <w:szCs w:val="18"/>
        </w:rPr>
        <w:t>注：上表所列检验项目是有关法律法规、标准等规定的，重点涉及健康、安全、节能、环保以及消费者、有关组织反映有质量问</w:t>
      </w:r>
      <w:r>
        <w:rPr>
          <w:rFonts w:ascii="Times New Roman" w:hAnsi="宋体"/>
          <w:color w:val="000000"/>
          <w:sz w:val="18"/>
          <w:szCs w:val="18"/>
        </w:rPr>
        <w:t>题的重要项目</w:t>
      </w:r>
      <w:r>
        <w:rPr>
          <w:rFonts w:hint="eastAsia" w:ascii="Times New Roman" w:hAnsi="宋体"/>
          <w:color w:val="000000"/>
          <w:sz w:val="18"/>
          <w:szCs w:val="18"/>
        </w:rPr>
        <w:t>，实际检验项目根据产品包装标识规定和执行标准要求在上述表的基础上确定</w:t>
      </w:r>
      <w:r>
        <w:rPr>
          <w:rFonts w:ascii="Times New Roman" w:hAnsi="宋体"/>
          <w:color w:val="000000"/>
          <w:sz w:val="18"/>
          <w:szCs w:val="18"/>
        </w:rPr>
        <w:t>。</w:t>
      </w:r>
    </w:p>
    <w:p>
      <w:pPr>
        <w:keepNext w:val="0"/>
        <w:keepLines w:val="0"/>
        <w:pageBreakBefore w:val="0"/>
        <w:widowControl w:val="0"/>
        <w:kinsoku/>
        <w:wordWrap/>
        <w:overflowPunct/>
        <w:topLinePunct w:val="0"/>
        <w:autoSpaceDE/>
        <w:autoSpaceDN/>
        <w:bidi w:val="0"/>
        <w:adjustRightInd/>
        <w:snapToGrid w:val="0"/>
        <w:spacing w:line="400" w:lineRule="exact"/>
        <w:ind w:firstLine="360" w:firstLineChars="200"/>
        <w:textAlignment w:val="auto"/>
        <w:rPr>
          <w:rFonts w:ascii="Times New Roman" w:hAnsi="Times New Roman"/>
          <w:color w:val="000000"/>
          <w:sz w:val="18"/>
          <w:szCs w:val="18"/>
        </w:rPr>
      </w:pPr>
      <w:r>
        <w:rPr>
          <w:rFonts w:ascii="Times New Roman" w:hAnsi="宋体"/>
          <w:color w:val="000000"/>
          <w:sz w:val="18"/>
          <w:szCs w:val="18"/>
        </w:rPr>
        <w:t>检验方法包括相关产品标准及试验方法标准。</w:t>
      </w:r>
    </w:p>
    <w:p>
      <w:pPr>
        <w:keepNext w:val="0"/>
        <w:keepLines w:val="0"/>
        <w:pageBreakBefore w:val="0"/>
        <w:widowControl w:val="0"/>
        <w:kinsoku/>
        <w:wordWrap/>
        <w:overflowPunct/>
        <w:topLinePunct w:val="0"/>
        <w:autoSpaceDE/>
        <w:autoSpaceDN/>
        <w:bidi w:val="0"/>
        <w:adjustRightInd/>
        <w:snapToGrid w:val="0"/>
        <w:spacing w:line="400" w:lineRule="exact"/>
        <w:ind w:firstLine="360" w:firstLineChars="200"/>
        <w:textAlignment w:val="auto"/>
        <w:rPr>
          <w:rFonts w:ascii="Times New Roman" w:hAnsi="Times New Roman"/>
          <w:color w:val="000000"/>
          <w:sz w:val="18"/>
          <w:szCs w:val="18"/>
        </w:rPr>
      </w:pPr>
      <w:r>
        <w:rPr>
          <w:rFonts w:ascii="Times New Roman" w:hAnsi="宋体"/>
          <w:color w:val="000000"/>
          <w:sz w:val="18"/>
          <w:szCs w:val="18"/>
        </w:rPr>
        <w:t>凡是注日期的文件，其随后所有的修改单（不包括勘误的内容）或修订版不适用于本细则。凡是不注日期的文件，其最新版本适用于本细则。</w:t>
      </w:r>
    </w:p>
    <w:p>
      <w:pPr>
        <w:adjustRightInd w:val="0"/>
        <w:snapToGrid w:val="0"/>
        <w:spacing w:line="360" w:lineRule="auto"/>
        <w:ind w:firstLine="422" w:firstLineChars="200"/>
        <w:rPr>
          <w:rFonts w:ascii="Times New Roman" w:hAnsi="Times New Roman" w:eastAsia="黑体"/>
          <w:b/>
          <w:szCs w:val="21"/>
        </w:rPr>
      </w:pPr>
    </w:p>
    <w:p>
      <w:pPr>
        <w:adjustRightInd w:val="0"/>
        <w:snapToGrid w:val="0"/>
        <w:spacing w:line="360" w:lineRule="auto"/>
        <w:ind w:firstLine="422" w:firstLineChars="200"/>
        <w:rPr>
          <w:rFonts w:ascii="Times New Roman" w:hAnsi="Times New Roman" w:eastAsia="黑体"/>
          <w:b/>
          <w:szCs w:val="21"/>
        </w:rPr>
      </w:pPr>
      <w:r>
        <w:rPr>
          <w:rFonts w:ascii="Times New Roman" w:hAnsi="Times New Roman" w:eastAsia="黑体"/>
          <w:b/>
          <w:szCs w:val="21"/>
        </w:rPr>
        <w:t xml:space="preserve">3 </w:t>
      </w:r>
      <w:r>
        <w:rPr>
          <w:rFonts w:ascii="Times New Roman" w:hAnsi="黑体" w:eastAsia="黑体"/>
          <w:b/>
          <w:szCs w:val="21"/>
        </w:rPr>
        <w:t>判定规则</w:t>
      </w:r>
    </w:p>
    <w:p>
      <w:pPr>
        <w:adjustRightInd w:val="0"/>
        <w:snapToGrid w:val="0"/>
        <w:spacing w:line="360" w:lineRule="auto"/>
        <w:ind w:firstLine="420" w:firstLineChars="200"/>
        <w:rPr>
          <w:rFonts w:ascii="Times New Roman" w:hAnsi="Times New Roman"/>
          <w:b w:val="0"/>
          <w:bCs/>
          <w:color w:val="000000"/>
          <w:szCs w:val="21"/>
        </w:rPr>
      </w:pPr>
      <w:r>
        <w:rPr>
          <w:rFonts w:ascii="Times New Roman" w:hAnsi="Times New Roman"/>
          <w:b w:val="0"/>
          <w:bCs/>
          <w:color w:val="000000"/>
          <w:szCs w:val="21"/>
        </w:rPr>
        <w:t>3.1</w:t>
      </w:r>
      <w:r>
        <w:rPr>
          <w:rFonts w:ascii="Times New Roman" w:hAnsi="宋体"/>
          <w:b w:val="0"/>
          <w:bCs/>
          <w:color w:val="000000"/>
          <w:szCs w:val="21"/>
        </w:rPr>
        <w:t>依据标准</w:t>
      </w:r>
    </w:p>
    <w:p>
      <w:pPr>
        <w:adjustRightInd w:val="0"/>
        <w:snapToGrid w:val="0"/>
        <w:spacing w:line="360" w:lineRule="auto"/>
        <w:ind w:firstLine="420" w:firstLineChars="200"/>
        <w:rPr>
          <w:rFonts w:hint="eastAsia" w:ascii="Times New Roman" w:hAnsi="宋体"/>
          <w:bCs/>
          <w:color w:val="000000"/>
          <w:szCs w:val="21"/>
        </w:rPr>
      </w:pPr>
      <w:r>
        <w:rPr>
          <w:rFonts w:ascii="Times New Roman" w:hAnsi="Times New Roman"/>
          <w:bCs/>
          <w:color w:val="000000"/>
          <w:szCs w:val="21"/>
        </w:rPr>
        <w:t>GB/T 15063-20</w:t>
      </w:r>
      <w:r>
        <w:rPr>
          <w:rFonts w:hint="eastAsia" w:ascii="Times New Roman" w:hAnsi="Times New Roman"/>
          <w:bCs/>
          <w:color w:val="000000"/>
          <w:szCs w:val="21"/>
        </w:rPr>
        <w:t>20</w:t>
      </w:r>
      <w:r>
        <w:rPr>
          <w:rFonts w:ascii="Times New Roman" w:hAnsi="Times New Roman"/>
          <w:bCs/>
          <w:color w:val="000000"/>
          <w:szCs w:val="21"/>
        </w:rPr>
        <w:t xml:space="preserve"> </w:t>
      </w:r>
      <w:r>
        <w:rPr>
          <w:rFonts w:hint="eastAsia" w:ascii="Times New Roman" w:hAnsi="Times New Roman"/>
          <w:bCs/>
          <w:color w:val="000000"/>
          <w:szCs w:val="21"/>
        </w:rPr>
        <w:t>《</w:t>
      </w:r>
      <w:r>
        <w:rPr>
          <w:rFonts w:ascii="Times New Roman" w:hAnsi="宋体"/>
          <w:bCs/>
          <w:color w:val="000000"/>
          <w:szCs w:val="21"/>
        </w:rPr>
        <w:t>复混肥料（复合肥料）</w:t>
      </w:r>
      <w:r>
        <w:rPr>
          <w:rFonts w:hint="eastAsia" w:ascii="Times New Roman" w:hAnsi="宋体"/>
          <w:bCs/>
          <w:color w:val="000000"/>
          <w:szCs w:val="21"/>
        </w:rPr>
        <w:t>》</w:t>
      </w:r>
    </w:p>
    <w:p>
      <w:pPr>
        <w:adjustRightInd w:val="0"/>
        <w:snapToGrid w:val="0"/>
        <w:spacing w:line="360" w:lineRule="auto"/>
        <w:ind w:firstLine="420" w:firstLineChars="200"/>
        <w:rPr>
          <w:rFonts w:hint="eastAsia" w:ascii="Times New Roman" w:hAnsi="Times New Roman"/>
          <w:bCs/>
          <w:color w:val="000000"/>
          <w:szCs w:val="21"/>
        </w:rPr>
      </w:pPr>
      <w:r>
        <w:rPr>
          <w:rFonts w:ascii="Times New Roman" w:hAnsi="Times New Roman"/>
          <w:bCs/>
          <w:color w:val="000000"/>
          <w:szCs w:val="21"/>
        </w:rPr>
        <w:t>GB/T</w:t>
      </w:r>
      <w:r>
        <w:rPr>
          <w:rFonts w:hint="eastAsia" w:ascii="Times New Roman" w:hAnsi="Times New Roman"/>
          <w:bCs/>
          <w:color w:val="000000"/>
          <w:szCs w:val="21"/>
          <w:lang w:val="en-US" w:eastAsia="zh-CN"/>
        </w:rPr>
        <w:t xml:space="preserve"> </w:t>
      </w:r>
      <w:r>
        <w:rPr>
          <w:rFonts w:hint="eastAsia" w:ascii="Times New Roman" w:hAnsi="Times New Roman"/>
          <w:bCs/>
          <w:color w:val="000000"/>
          <w:szCs w:val="21"/>
        </w:rPr>
        <w:t>10205</w:t>
      </w:r>
      <w:r>
        <w:rPr>
          <w:rFonts w:ascii="Times New Roman" w:hAnsi="Times New Roman"/>
          <w:bCs/>
          <w:color w:val="000000"/>
          <w:szCs w:val="21"/>
        </w:rPr>
        <w:t>-</w:t>
      </w:r>
      <w:r>
        <w:rPr>
          <w:rFonts w:hint="eastAsia" w:ascii="Times New Roman" w:hAnsi="Times New Roman"/>
          <w:bCs/>
          <w:color w:val="000000"/>
          <w:szCs w:val="21"/>
        </w:rPr>
        <w:t>2009 《磷酸一铵、磷酸二铵》</w:t>
      </w:r>
    </w:p>
    <w:p>
      <w:pPr>
        <w:keepNext w:val="0"/>
        <w:keepLines w:val="0"/>
        <w:pageBreakBefore w:val="0"/>
        <w:widowControl w:val="0"/>
        <w:kinsoku/>
        <w:wordWrap/>
        <w:overflowPunct/>
        <w:topLinePunct w:val="0"/>
        <w:autoSpaceDE/>
        <w:autoSpaceDN/>
        <w:bidi w:val="0"/>
        <w:adjustRightInd w:val="0"/>
        <w:snapToGrid w:val="0"/>
        <w:spacing w:line="400" w:lineRule="exact"/>
        <w:ind w:firstLine="420" w:firstLineChars="200"/>
        <w:textAlignment w:val="auto"/>
        <w:rPr>
          <w:rFonts w:hint="eastAsia" w:ascii="Times New Roman" w:hAnsi="Times New Roman"/>
          <w:szCs w:val="21"/>
        </w:rPr>
      </w:pPr>
      <w:r>
        <w:rPr>
          <w:rFonts w:ascii="Times New Roman" w:hAnsi="Times New Roman"/>
          <w:szCs w:val="21"/>
        </w:rPr>
        <w:t>GB/T</w:t>
      </w:r>
      <w:r>
        <w:rPr>
          <w:rFonts w:hint="eastAsia" w:ascii="Times New Roman" w:hAnsi="Times New Roman"/>
          <w:szCs w:val="21"/>
          <w:lang w:val="en-US" w:eastAsia="zh-CN"/>
        </w:rPr>
        <w:t xml:space="preserve"> </w:t>
      </w:r>
      <w:r>
        <w:rPr>
          <w:rFonts w:hint="eastAsia" w:ascii="Times New Roman" w:hAnsi="Times New Roman"/>
          <w:szCs w:val="21"/>
        </w:rPr>
        <w:t>2440-2017  《尿素》</w:t>
      </w:r>
    </w:p>
    <w:p>
      <w:pPr>
        <w:keepNext w:val="0"/>
        <w:keepLines w:val="0"/>
        <w:pageBreakBefore w:val="0"/>
        <w:widowControl w:val="0"/>
        <w:kinsoku/>
        <w:wordWrap/>
        <w:overflowPunct/>
        <w:topLinePunct w:val="0"/>
        <w:autoSpaceDE/>
        <w:autoSpaceDN/>
        <w:bidi w:val="0"/>
        <w:adjustRightInd w:val="0"/>
        <w:snapToGrid w:val="0"/>
        <w:spacing w:line="400" w:lineRule="exact"/>
        <w:ind w:firstLine="420" w:firstLineChars="200"/>
        <w:textAlignment w:val="auto"/>
        <w:rPr>
          <w:rFonts w:hint="eastAsia" w:ascii="Times New Roman" w:hAnsi="Times New Roman"/>
          <w:szCs w:val="21"/>
        </w:rPr>
      </w:pPr>
      <w:r>
        <w:rPr>
          <w:color w:val="000000"/>
          <w:kern w:val="0"/>
          <w:sz w:val="21"/>
          <w:szCs w:val="21"/>
        </w:rPr>
        <w:t>GB/T 20406—2017</w:t>
      </w:r>
      <w:r>
        <w:rPr>
          <w:rFonts w:hint="eastAsia"/>
          <w:color w:val="000000"/>
          <w:kern w:val="0"/>
          <w:sz w:val="21"/>
          <w:szCs w:val="21"/>
          <w:lang w:val="en-US" w:eastAsia="zh-CN"/>
        </w:rPr>
        <w:t xml:space="preserve"> </w:t>
      </w:r>
      <w:r>
        <w:rPr>
          <w:rFonts w:hint="eastAsia" w:ascii="Times New Roman" w:hAnsi="Times New Roman"/>
          <w:szCs w:val="21"/>
        </w:rPr>
        <w:t xml:space="preserve"> 《</w:t>
      </w:r>
      <w:r>
        <w:rPr>
          <w:rFonts w:hint="eastAsia" w:ascii="Times New Roman" w:hAnsi="Times New Roman"/>
          <w:szCs w:val="21"/>
          <w:lang w:eastAsia="zh-CN"/>
        </w:rPr>
        <w:t>农用硫酸钾</w:t>
      </w:r>
      <w:r>
        <w:rPr>
          <w:rFonts w:hint="eastAsia" w:ascii="Times New Roman" w:hAnsi="Times New Roman"/>
          <w:szCs w:val="21"/>
        </w:rPr>
        <w:t>》</w:t>
      </w:r>
    </w:p>
    <w:p>
      <w:pPr>
        <w:keepNext w:val="0"/>
        <w:keepLines w:val="0"/>
        <w:pageBreakBefore w:val="0"/>
        <w:widowControl w:val="0"/>
        <w:kinsoku/>
        <w:wordWrap/>
        <w:overflowPunct/>
        <w:topLinePunct w:val="0"/>
        <w:autoSpaceDE/>
        <w:autoSpaceDN/>
        <w:bidi w:val="0"/>
        <w:adjustRightInd w:val="0"/>
        <w:snapToGrid w:val="0"/>
        <w:spacing w:line="400" w:lineRule="exact"/>
        <w:ind w:firstLine="420" w:firstLineChars="200"/>
        <w:textAlignment w:val="auto"/>
        <w:rPr>
          <w:rFonts w:hint="eastAsia" w:ascii="Times New Roman" w:hAnsi="Times New Roman" w:eastAsia="宋体"/>
          <w:sz w:val="21"/>
          <w:szCs w:val="21"/>
          <w:lang w:val="en-US" w:eastAsia="zh-CN"/>
        </w:rPr>
      </w:pPr>
      <w:r>
        <w:rPr>
          <w:color w:val="000000"/>
          <w:kern w:val="0"/>
          <w:sz w:val="21"/>
          <w:szCs w:val="21"/>
        </w:rPr>
        <w:t>GB</w:t>
      </w:r>
      <w:r>
        <w:rPr>
          <w:rFonts w:hint="eastAsia"/>
          <w:color w:val="000000"/>
          <w:kern w:val="0"/>
          <w:sz w:val="21"/>
          <w:szCs w:val="21"/>
          <w:lang w:val="en-US" w:eastAsia="zh-CN"/>
        </w:rPr>
        <w:t xml:space="preserve"> 20287-2006  《</w:t>
      </w:r>
      <w:r>
        <w:rPr>
          <w:rFonts w:ascii="Arial" w:hAnsi="Arial" w:eastAsia="宋体" w:cs="Arial"/>
          <w:i w:val="0"/>
          <w:iCs w:val="0"/>
          <w:caps w:val="0"/>
          <w:color w:val="333333"/>
          <w:spacing w:val="0"/>
          <w:sz w:val="18"/>
          <w:szCs w:val="18"/>
          <w:shd w:val="clear" w:fill="FFFFFF"/>
        </w:rPr>
        <w:t>农用微生物菌剂</w:t>
      </w:r>
      <w:r>
        <w:rPr>
          <w:rFonts w:hint="eastAsia"/>
          <w:color w:val="000000"/>
          <w:kern w:val="0"/>
          <w:sz w:val="21"/>
          <w:szCs w:val="21"/>
          <w:lang w:val="en-US" w:eastAsia="zh-CN"/>
        </w:rPr>
        <w:t>》</w:t>
      </w:r>
    </w:p>
    <w:p>
      <w:pPr>
        <w:keepNext w:val="0"/>
        <w:keepLines w:val="0"/>
        <w:pageBreakBefore w:val="0"/>
        <w:widowControl w:val="0"/>
        <w:kinsoku/>
        <w:wordWrap/>
        <w:overflowPunct/>
        <w:topLinePunct w:val="0"/>
        <w:autoSpaceDE/>
        <w:autoSpaceDN/>
        <w:bidi w:val="0"/>
        <w:adjustRightInd w:val="0"/>
        <w:snapToGrid w:val="0"/>
        <w:spacing w:line="400" w:lineRule="exact"/>
        <w:ind w:firstLine="420" w:firstLineChars="200"/>
        <w:textAlignment w:val="auto"/>
        <w:rPr>
          <w:rFonts w:ascii="Times New Roman" w:hAnsi="Times New Roman"/>
          <w:bCs/>
          <w:color w:val="000000"/>
          <w:szCs w:val="21"/>
        </w:rPr>
      </w:pPr>
      <w:r>
        <w:rPr>
          <w:rFonts w:ascii="Times New Roman" w:hAnsi="宋体"/>
          <w:color w:val="000000"/>
          <w:szCs w:val="21"/>
        </w:rPr>
        <w:t>相关的法律、行政法规、部门规章、规范性文件</w:t>
      </w:r>
    </w:p>
    <w:p>
      <w:pPr>
        <w:keepNext w:val="0"/>
        <w:keepLines w:val="0"/>
        <w:pageBreakBefore w:val="0"/>
        <w:widowControl w:val="0"/>
        <w:kinsoku/>
        <w:wordWrap/>
        <w:overflowPunct/>
        <w:topLinePunct w:val="0"/>
        <w:autoSpaceDE/>
        <w:autoSpaceDN/>
        <w:bidi w:val="0"/>
        <w:adjustRightInd w:val="0"/>
        <w:snapToGrid w:val="0"/>
        <w:spacing w:line="400" w:lineRule="exact"/>
        <w:ind w:firstLine="420" w:firstLineChars="200"/>
        <w:textAlignment w:val="auto"/>
        <w:rPr>
          <w:rFonts w:ascii="Times New Roman" w:hAnsi="Times New Roman"/>
          <w:bCs/>
          <w:color w:val="000000"/>
          <w:szCs w:val="21"/>
        </w:rPr>
      </w:pPr>
      <w:r>
        <w:rPr>
          <w:rFonts w:ascii="Times New Roman" w:hAnsi="宋体"/>
          <w:color w:val="000000"/>
          <w:szCs w:val="21"/>
        </w:rPr>
        <w:t>现行有效的企业标准及产品明示质量要求</w:t>
      </w:r>
    </w:p>
    <w:p>
      <w:pPr>
        <w:keepNext w:val="0"/>
        <w:keepLines w:val="0"/>
        <w:pageBreakBefore w:val="0"/>
        <w:widowControl w:val="0"/>
        <w:kinsoku/>
        <w:wordWrap/>
        <w:overflowPunct/>
        <w:topLinePunct w:val="0"/>
        <w:autoSpaceDE/>
        <w:autoSpaceDN/>
        <w:bidi w:val="0"/>
        <w:adjustRightInd w:val="0"/>
        <w:snapToGrid w:val="0"/>
        <w:spacing w:line="400" w:lineRule="exact"/>
        <w:ind w:firstLine="420" w:firstLineChars="200"/>
        <w:textAlignment w:val="auto"/>
        <w:rPr>
          <w:rFonts w:ascii="Times New Roman" w:hAnsi="Times New Roman"/>
          <w:b w:val="0"/>
          <w:bCs/>
          <w:color w:val="000000"/>
          <w:szCs w:val="21"/>
        </w:rPr>
      </w:pPr>
      <w:r>
        <w:rPr>
          <w:rFonts w:ascii="Times New Roman" w:hAnsi="Times New Roman"/>
          <w:b w:val="0"/>
          <w:bCs/>
          <w:color w:val="000000"/>
          <w:szCs w:val="21"/>
        </w:rPr>
        <w:t>3.2</w:t>
      </w:r>
      <w:r>
        <w:rPr>
          <w:rFonts w:ascii="Times New Roman" w:hAnsi="宋体"/>
          <w:b w:val="0"/>
          <w:bCs/>
          <w:color w:val="000000"/>
          <w:szCs w:val="21"/>
        </w:rPr>
        <w:t>判定原则</w:t>
      </w:r>
    </w:p>
    <w:p>
      <w:pPr>
        <w:keepNext w:val="0"/>
        <w:keepLines w:val="0"/>
        <w:pageBreakBefore w:val="0"/>
        <w:widowControl w:val="0"/>
        <w:kinsoku/>
        <w:wordWrap/>
        <w:overflowPunct/>
        <w:topLinePunct w:val="0"/>
        <w:autoSpaceDE/>
        <w:autoSpaceDN/>
        <w:bidi w:val="0"/>
        <w:adjustRightInd w:val="0"/>
        <w:snapToGrid w:val="0"/>
        <w:spacing w:line="400" w:lineRule="exact"/>
        <w:ind w:firstLine="420" w:firstLineChars="200"/>
        <w:textAlignment w:val="auto"/>
        <w:rPr>
          <w:rFonts w:hint="eastAsia" w:ascii="Times New Roman" w:hAnsi="Times New Roman"/>
          <w:color w:val="000000"/>
          <w:szCs w:val="21"/>
        </w:rPr>
      </w:pPr>
      <w:r>
        <w:rPr>
          <w:rFonts w:ascii="Times New Roman" w:hAnsi="宋体"/>
          <w:color w:val="000000"/>
          <w:szCs w:val="21"/>
        </w:rPr>
        <w:t>经检验，检验项目全部合格，判定为被抽查产品合格；检验项目中任一项或一项以上不合格，判定为被抽查产品不合格。</w:t>
      </w:r>
    </w:p>
    <w:p>
      <w:pPr>
        <w:keepNext w:val="0"/>
        <w:keepLines w:val="0"/>
        <w:pageBreakBefore w:val="0"/>
        <w:widowControl w:val="0"/>
        <w:kinsoku/>
        <w:wordWrap/>
        <w:overflowPunct/>
        <w:topLinePunct w:val="0"/>
        <w:autoSpaceDE/>
        <w:autoSpaceDN/>
        <w:bidi w:val="0"/>
        <w:adjustRightInd w:val="0"/>
        <w:snapToGrid w:val="0"/>
        <w:spacing w:line="400" w:lineRule="exact"/>
        <w:ind w:firstLine="420" w:firstLineChars="200"/>
        <w:textAlignment w:val="auto"/>
        <w:rPr>
          <w:rFonts w:hint="eastAsia" w:ascii="Times New Roman" w:hAnsi="Times New Roman"/>
          <w:color w:val="000000"/>
          <w:szCs w:val="21"/>
        </w:rPr>
      </w:pPr>
      <w:r>
        <w:rPr>
          <w:rFonts w:ascii="Times New Roman" w:hAnsi="宋体"/>
          <w:color w:val="000000"/>
          <w:szCs w:val="21"/>
        </w:rPr>
        <w:t>若被检产品明示的质量要求高于本细则中检验项目依据的标准要求时，应按被检产品明示的质量要求判定。</w:t>
      </w:r>
    </w:p>
    <w:p>
      <w:pPr>
        <w:keepNext w:val="0"/>
        <w:keepLines w:val="0"/>
        <w:pageBreakBefore w:val="0"/>
        <w:widowControl w:val="0"/>
        <w:kinsoku/>
        <w:wordWrap/>
        <w:overflowPunct/>
        <w:topLinePunct w:val="0"/>
        <w:autoSpaceDE/>
        <w:autoSpaceDN/>
        <w:bidi w:val="0"/>
        <w:adjustRightInd w:val="0"/>
        <w:snapToGrid w:val="0"/>
        <w:spacing w:line="400" w:lineRule="exact"/>
        <w:ind w:firstLine="420" w:firstLineChars="200"/>
        <w:textAlignment w:val="auto"/>
        <w:rPr>
          <w:rFonts w:hint="eastAsia" w:ascii="Times New Roman" w:hAnsi="Times New Roman"/>
          <w:color w:val="000000"/>
          <w:szCs w:val="21"/>
        </w:rPr>
      </w:pPr>
      <w:r>
        <w:rPr>
          <w:rFonts w:ascii="Times New Roman" w:hAnsi="宋体"/>
          <w:color w:val="000000"/>
          <w:szCs w:val="21"/>
        </w:rPr>
        <w:t>若被检产品明示的质量要求低于本细则中检验项目依据的强制性标准要求时，应按照强制性标准要求判定。</w:t>
      </w:r>
    </w:p>
    <w:p>
      <w:pPr>
        <w:keepNext w:val="0"/>
        <w:keepLines w:val="0"/>
        <w:pageBreakBefore w:val="0"/>
        <w:widowControl w:val="0"/>
        <w:kinsoku/>
        <w:wordWrap/>
        <w:overflowPunct/>
        <w:topLinePunct w:val="0"/>
        <w:autoSpaceDE/>
        <w:autoSpaceDN/>
        <w:bidi w:val="0"/>
        <w:adjustRightInd w:val="0"/>
        <w:snapToGrid w:val="0"/>
        <w:spacing w:line="400" w:lineRule="exact"/>
        <w:ind w:firstLine="420" w:firstLineChars="200"/>
        <w:textAlignment w:val="auto"/>
        <w:rPr>
          <w:rFonts w:ascii="Times New Roman" w:hAnsi="Times New Roman"/>
          <w:color w:val="000000"/>
          <w:szCs w:val="21"/>
        </w:rPr>
      </w:pPr>
      <w:r>
        <w:rPr>
          <w:rFonts w:ascii="Times New Roman" w:hAnsi="宋体"/>
          <w:color w:val="000000"/>
          <w:szCs w:val="21"/>
        </w:rPr>
        <w:t>若被检产品明示的质量要求低于或包含细则中检验项目依据的推荐性标准要求时，应以被检产品明示的质量要求判定，但应在检验报告备注中进行说明。</w:t>
      </w:r>
    </w:p>
    <w:p>
      <w:pPr>
        <w:keepNext w:val="0"/>
        <w:keepLines w:val="0"/>
        <w:pageBreakBefore w:val="0"/>
        <w:widowControl w:val="0"/>
        <w:kinsoku/>
        <w:wordWrap/>
        <w:overflowPunct/>
        <w:topLinePunct w:val="0"/>
        <w:autoSpaceDE/>
        <w:autoSpaceDN/>
        <w:bidi w:val="0"/>
        <w:snapToGrid w:val="0"/>
        <w:spacing w:line="400" w:lineRule="exact"/>
        <w:ind w:firstLine="417" w:firstLineChars="199"/>
        <w:textAlignment w:val="auto"/>
        <w:rPr>
          <w:rFonts w:hint="eastAsia" w:ascii="Times New Roman" w:hAnsi="Times New Roman"/>
          <w:color w:val="000000"/>
          <w:szCs w:val="21"/>
        </w:rPr>
      </w:pPr>
      <w:r>
        <w:rPr>
          <w:rFonts w:ascii="Times New Roman" w:hAnsi="宋体"/>
          <w:color w:val="000000"/>
          <w:szCs w:val="21"/>
        </w:rPr>
        <w:t>若被检产品明示的质量要求缺少本细则中检验项目依据的强制性标准要求时，应按照强制性标准要求判定。</w:t>
      </w:r>
    </w:p>
    <w:p>
      <w:pPr>
        <w:keepNext w:val="0"/>
        <w:keepLines w:val="0"/>
        <w:pageBreakBefore w:val="0"/>
        <w:widowControl w:val="0"/>
        <w:kinsoku/>
        <w:wordWrap/>
        <w:overflowPunct/>
        <w:topLinePunct w:val="0"/>
        <w:autoSpaceDE/>
        <w:autoSpaceDN/>
        <w:bidi w:val="0"/>
        <w:adjustRightInd w:val="0"/>
        <w:snapToGrid w:val="0"/>
        <w:spacing w:line="400" w:lineRule="exact"/>
        <w:ind w:firstLine="420" w:firstLineChars="200"/>
        <w:textAlignment w:val="auto"/>
        <w:rPr>
          <w:rFonts w:ascii="Times New Roman" w:hAnsi="Times New Roman"/>
          <w:bCs/>
          <w:color w:val="000000"/>
          <w:szCs w:val="21"/>
        </w:rPr>
      </w:pPr>
      <w:r>
        <w:rPr>
          <w:rFonts w:ascii="Times New Roman" w:hAnsi="宋体"/>
          <w:color w:val="000000"/>
          <w:szCs w:val="21"/>
        </w:rPr>
        <w:t>若被检产品明示的质量要求缺少本细则中检验项目依据的推荐性标准要求时，该项目不参与判</w:t>
      </w:r>
      <w:r>
        <w:rPr>
          <w:rFonts w:ascii="Times New Roman" w:hAnsi="Times New Roman"/>
          <w:bCs/>
          <w:color w:val="000000"/>
          <w:szCs w:val="21"/>
        </w:rPr>
        <w:t>定，但应在检验报告备注中进行说明。</w:t>
      </w:r>
    </w:p>
    <w:p>
      <w:pPr>
        <w:keepNext w:val="0"/>
        <w:keepLines w:val="0"/>
        <w:pageBreakBefore w:val="0"/>
        <w:widowControl w:val="0"/>
        <w:kinsoku/>
        <w:wordWrap/>
        <w:overflowPunct/>
        <w:topLinePunct w:val="0"/>
        <w:autoSpaceDE/>
        <w:autoSpaceDN/>
        <w:bidi w:val="0"/>
        <w:adjustRightInd w:val="0"/>
        <w:snapToGrid w:val="0"/>
        <w:spacing w:line="400" w:lineRule="exact"/>
        <w:ind w:firstLine="420" w:firstLineChars="200"/>
        <w:textAlignment w:val="auto"/>
        <w:rPr>
          <w:rFonts w:ascii="Times New Roman" w:hAnsi="Times New Roman"/>
          <w:bCs/>
          <w:color w:val="000000"/>
          <w:szCs w:val="21"/>
        </w:rPr>
      </w:pPr>
    </w:p>
    <w:p>
      <w:pPr>
        <w:keepNext w:val="0"/>
        <w:keepLines w:val="0"/>
        <w:pageBreakBefore w:val="0"/>
        <w:widowControl w:val="0"/>
        <w:kinsoku/>
        <w:wordWrap/>
        <w:overflowPunct/>
        <w:topLinePunct w:val="0"/>
        <w:autoSpaceDE/>
        <w:autoSpaceDN/>
        <w:bidi w:val="0"/>
        <w:adjustRightInd w:val="0"/>
        <w:snapToGrid w:val="0"/>
        <w:spacing w:line="400" w:lineRule="exact"/>
        <w:ind w:firstLine="420" w:firstLineChars="200"/>
        <w:textAlignment w:val="auto"/>
        <w:rPr>
          <w:rFonts w:ascii="Times New Roman" w:hAnsi="Times New Roman"/>
          <w:color w:val="000000"/>
          <w:szCs w:val="21"/>
          <w:u w:val="single"/>
        </w:rPr>
      </w:pPr>
      <w:r>
        <w:rPr>
          <w:rFonts w:ascii="Times New Roman" w:hAnsi="Times New Roman"/>
          <w:color w:val="000000"/>
          <w:szCs w:val="21"/>
          <w:u w:val="single"/>
        </w:rPr>
        <w:t xml:space="preserve">                          </w:t>
      </w:r>
      <w:r>
        <w:rPr>
          <w:rFonts w:hint="eastAsia" w:ascii="Times New Roman" w:hAnsi="Times New Roman"/>
          <w:color w:val="000000"/>
          <w:szCs w:val="21"/>
          <w:u w:val="single"/>
          <w:lang w:val="en-US" w:eastAsia="zh-CN"/>
        </w:rPr>
        <w:t xml:space="preserve">                                              </w:t>
      </w:r>
      <w:r>
        <w:rPr>
          <w:rFonts w:ascii="Times New Roman" w:hAnsi="Times New Roman"/>
          <w:color w:val="000000"/>
          <w:szCs w:val="21"/>
          <w:u w:val="single"/>
        </w:rPr>
        <w:t xml:space="preserve">     </w:t>
      </w:r>
    </w:p>
    <w:p>
      <w:pPr>
        <w:keepNext w:val="0"/>
        <w:keepLines w:val="0"/>
        <w:pageBreakBefore w:val="0"/>
        <w:widowControl w:val="0"/>
        <w:kinsoku/>
        <w:wordWrap/>
        <w:overflowPunct/>
        <w:topLinePunct w:val="0"/>
        <w:autoSpaceDE/>
        <w:autoSpaceDN/>
        <w:bidi w:val="0"/>
        <w:adjustRightInd w:val="0"/>
        <w:snapToGrid w:val="0"/>
        <w:spacing w:line="400" w:lineRule="exact"/>
        <w:ind w:firstLine="420" w:firstLineChars="200"/>
        <w:textAlignment w:val="auto"/>
        <w:rPr>
          <w:rFonts w:ascii="Times New Roman" w:hAnsi="Times New Roman"/>
          <w:color w:val="000000"/>
          <w:szCs w:val="21"/>
          <w:u w:val="single"/>
        </w:rPr>
      </w:pPr>
    </w:p>
    <w:sectPr>
      <w:footerReference r:id="rId6" w:type="default"/>
      <w:pgSz w:w="11906" w:h="16838"/>
      <w:pgMar w:top="1985" w:right="1361" w:bottom="1361" w:left="1588" w:header="851" w:footer="992" w:gutter="0"/>
      <w:pgNumType w:start="1"/>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小标宋简体">
    <w:panose1 w:val="03000509000000000000"/>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jc w:val="center"/>
    </w:pPr>
  </w:p>
  <w:p>
    <w:pPr>
      <w:pStyle w:val="5"/>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framePr w:wrap="around" w:vAnchor="text" w:hAnchor="margin" w:xAlign="center" w:y="1"/>
      <w:rPr>
        <w:rStyle w:val="10"/>
      </w:rPr>
    </w:pPr>
    <w:r>
      <w:fldChar w:fldCharType="begin"/>
    </w:r>
    <w:r>
      <w:rPr>
        <w:rStyle w:val="10"/>
      </w:rPr>
      <w:instrText xml:space="preserve">PAGE  </w:instrText>
    </w:r>
    <w:r>
      <w:fldChar w:fldCharType="separate"/>
    </w:r>
    <w:r>
      <w:rPr>
        <w:rStyle w:val="10"/>
      </w:rPr>
      <w:t>2</w:t>
    </w:r>
    <w:r>
      <w:fldChar w:fldCharType="end"/>
    </w:r>
  </w:p>
  <w:p>
    <w:pPr>
      <w:pStyle w:val="5"/>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jc w:val="center"/>
    </w:pPr>
    <w:r>
      <w:rPr>
        <w:lang w:val="zh-CN"/>
      </w:rPr>
      <w:fldChar w:fldCharType="begin"/>
    </w:r>
    <w:r>
      <w:rPr>
        <w:lang w:val="zh-CN"/>
      </w:rPr>
      <w:instrText xml:space="preserve"> PAGE   \* MERGEFORMAT </w:instrText>
    </w:r>
    <w:r>
      <w:rPr>
        <w:lang w:val="zh-CN"/>
      </w:rPr>
      <w:fldChar w:fldCharType="separate"/>
    </w:r>
    <w:r>
      <w:rPr>
        <w:lang w:val="en-US"/>
      </w:rPr>
      <w:t>1</w:t>
    </w:r>
    <w:r>
      <w:rPr>
        <w:lang w:val="zh-CN"/>
      </w:rPr>
      <w:fldChar w:fldCharType="end"/>
    </w:r>
  </w:p>
  <w:p>
    <w:pPr>
      <w:pStyle w:val="5"/>
      <w:ind w:right="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ZkNTBiMjVkYzg1MzNjMTAwZDZkZWUwZmExYTM2YzcifQ=="/>
  </w:docVars>
  <w:rsids>
    <w:rsidRoot w:val="00172A27"/>
    <w:rsid w:val="00000B18"/>
    <w:rsid w:val="00021476"/>
    <w:rsid w:val="000276A9"/>
    <w:rsid w:val="00032E0F"/>
    <w:rsid w:val="000340D4"/>
    <w:rsid w:val="00035064"/>
    <w:rsid w:val="00051A44"/>
    <w:rsid w:val="00071001"/>
    <w:rsid w:val="00081CBD"/>
    <w:rsid w:val="00082A74"/>
    <w:rsid w:val="00091184"/>
    <w:rsid w:val="00092DD5"/>
    <w:rsid w:val="000976DE"/>
    <w:rsid w:val="000D0007"/>
    <w:rsid w:val="000F64F9"/>
    <w:rsid w:val="000F6E44"/>
    <w:rsid w:val="001035C2"/>
    <w:rsid w:val="00142376"/>
    <w:rsid w:val="001715A9"/>
    <w:rsid w:val="00175489"/>
    <w:rsid w:val="001754B1"/>
    <w:rsid w:val="001809DD"/>
    <w:rsid w:val="001A209A"/>
    <w:rsid w:val="001C0B5F"/>
    <w:rsid w:val="001C4F34"/>
    <w:rsid w:val="001D1FBC"/>
    <w:rsid w:val="001D6824"/>
    <w:rsid w:val="001E4729"/>
    <w:rsid w:val="00210539"/>
    <w:rsid w:val="00223317"/>
    <w:rsid w:val="00253624"/>
    <w:rsid w:val="00260CA9"/>
    <w:rsid w:val="00274E3E"/>
    <w:rsid w:val="002825C2"/>
    <w:rsid w:val="00283690"/>
    <w:rsid w:val="00293B52"/>
    <w:rsid w:val="002A4714"/>
    <w:rsid w:val="002A6897"/>
    <w:rsid w:val="002A7D1C"/>
    <w:rsid w:val="002B50E7"/>
    <w:rsid w:val="002D7F8A"/>
    <w:rsid w:val="002E0D1D"/>
    <w:rsid w:val="002E1EAC"/>
    <w:rsid w:val="002E68A8"/>
    <w:rsid w:val="002E772A"/>
    <w:rsid w:val="002F49EA"/>
    <w:rsid w:val="00306A87"/>
    <w:rsid w:val="003203A3"/>
    <w:rsid w:val="003211DD"/>
    <w:rsid w:val="003225DF"/>
    <w:rsid w:val="00347B26"/>
    <w:rsid w:val="0036455E"/>
    <w:rsid w:val="00371567"/>
    <w:rsid w:val="00374BA8"/>
    <w:rsid w:val="00375E4A"/>
    <w:rsid w:val="0039208F"/>
    <w:rsid w:val="003B226D"/>
    <w:rsid w:val="003C388C"/>
    <w:rsid w:val="003C4CFD"/>
    <w:rsid w:val="003D0118"/>
    <w:rsid w:val="003D165C"/>
    <w:rsid w:val="003D29B4"/>
    <w:rsid w:val="003D3205"/>
    <w:rsid w:val="003D449B"/>
    <w:rsid w:val="003E4890"/>
    <w:rsid w:val="003E61BF"/>
    <w:rsid w:val="00403DB9"/>
    <w:rsid w:val="00425A04"/>
    <w:rsid w:val="00427D8E"/>
    <w:rsid w:val="00441CD2"/>
    <w:rsid w:val="00442A9A"/>
    <w:rsid w:val="00445E86"/>
    <w:rsid w:val="00457A50"/>
    <w:rsid w:val="00474E04"/>
    <w:rsid w:val="0047614B"/>
    <w:rsid w:val="004820E0"/>
    <w:rsid w:val="00490A9C"/>
    <w:rsid w:val="004B765A"/>
    <w:rsid w:val="004D0C5A"/>
    <w:rsid w:val="004D0E11"/>
    <w:rsid w:val="004D25D5"/>
    <w:rsid w:val="004D56C2"/>
    <w:rsid w:val="004E1396"/>
    <w:rsid w:val="004F063F"/>
    <w:rsid w:val="004F4DF1"/>
    <w:rsid w:val="00515553"/>
    <w:rsid w:val="00550D61"/>
    <w:rsid w:val="00560BA9"/>
    <w:rsid w:val="00563EBC"/>
    <w:rsid w:val="00566E33"/>
    <w:rsid w:val="00586492"/>
    <w:rsid w:val="005900D2"/>
    <w:rsid w:val="0059010B"/>
    <w:rsid w:val="005B1602"/>
    <w:rsid w:val="005B2142"/>
    <w:rsid w:val="005D4DC3"/>
    <w:rsid w:val="00605CEE"/>
    <w:rsid w:val="006241C7"/>
    <w:rsid w:val="00643C90"/>
    <w:rsid w:val="00653A7B"/>
    <w:rsid w:val="006617E9"/>
    <w:rsid w:val="006661AC"/>
    <w:rsid w:val="00690C96"/>
    <w:rsid w:val="006B3511"/>
    <w:rsid w:val="006B7ACD"/>
    <w:rsid w:val="006C69AE"/>
    <w:rsid w:val="006D0A2A"/>
    <w:rsid w:val="006F0971"/>
    <w:rsid w:val="007035AB"/>
    <w:rsid w:val="007064E0"/>
    <w:rsid w:val="007068A8"/>
    <w:rsid w:val="007076A7"/>
    <w:rsid w:val="00720D95"/>
    <w:rsid w:val="0072317D"/>
    <w:rsid w:val="0072334C"/>
    <w:rsid w:val="00736678"/>
    <w:rsid w:val="0074174D"/>
    <w:rsid w:val="00756A15"/>
    <w:rsid w:val="007626BB"/>
    <w:rsid w:val="00764B44"/>
    <w:rsid w:val="007B3BBD"/>
    <w:rsid w:val="007D4454"/>
    <w:rsid w:val="007D5622"/>
    <w:rsid w:val="007F26B4"/>
    <w:rsid w:val="0080654F"/>
    <w:rsid w:val="008121A2"/>
    <w:rsid w:val="0081453E"/>
    <w:rsid w:val="00830945"/>
    <w:rsid w:val="008315A8"/>
    <w:rsid w:val="00832480"/>
    <w:rsid w:val="0083350B"/>
    <w:rsid w:val="00833A7C"/>
    <w:rsid w:val="00835F10"/>
    <w:rsid w:val="00841B67"/>
    <w:rsid w:val="0084366D"/>
    <w:rsid w:val="00854F6E"/>
    <w:rsid w:val="008571AD"/>
    <w:rsid w:val="00895BEA"/>
    <w:rsid w:val="008A0055"/>
    <w:rsid w:val="008A0FF4"/>
    <w:rsid w:val="008A3497"/>
    <w:rsid w:val="008A55AE"/>
    <w:rsid w:val="008A5AF6"/>
    <w:rsid w:val="008A5D98"/>
    <w:rsid w:val="008B69C6"/>
    <w:rsid w:val="008B6AA6"/>
    <w:rsid w:val="008C7121"/>
    <w:rsid w:val="008F2CA7"/>
    <w:rsid w:val="009055F7"/>
    <w:rsid w:val="0091104A"/>
    <w:rsid w:val="00916DA0"/>
    <w:rsid w:val="00917A54"/>
    <w:rsid w:val="009339AE"/>
    <w:rsid w:val="009439DD"/>
    <w:rsid w:val="0094409B"/>
    <w:rsid w:val="009443F6"/>
    <w:rsid w:val="00950186"/>
    <w:rsid w:val="009659A3"/>
    <w:rsid w:val="009705B1"/>
    <w:rsid w:val="00972E10"/>
    <w:rsid w:val="00973B12"/>
    <w:rsid w:val="009D29B0"/>
    <w:rsid w:val="009D7B49"/>
    <w:rsid w:val="009E73FD"/>
    <w:rsid w:val="009F6B32"/>
    <w:rsid w:val="00A13959"/>
    <w:rsid w:val="00A1405E"/>
    <w:rsid w:val="00A16555"/>
    <w:rsid w:val="00A22EEE"/>
    <w:rsid w:val="00A43553"/>
    <w:rsid w:val="00A54EFA"/>
    <w:rsid w:val="00A62B41"/>
    <w:rsid w:val="00A8284B"/>
    <w:rsid w:val="00A8778B"/>
    <w:rsid w:val="00A95167"/>
    <w:rsid w:val="00AA2B3B"/>
    <w:rsid w:val="00AA2BE0"/>
    <w:rsid w:val="00AB47A2"/>
    <w:rsid w:val="00AC2C98"/>
    <w:rsid w:val="00AD1654"/>
    <w:rsid w:val="00AD5446"/>
    <w:rsid w:val="00B052CD"/>
    <w:rsid w:val="00B11A9D"/>
    <w:rsid w:val="00B6027C"/>
    <w:rsid w:val="00B60FC4"/>
    <w:rsid w:val="00B74BBA"/>
    <w:rsid w:val="00B92EA8"/>
    <w:rsid w:val="00BA22A6"/>
    <w:rsid w:val="00BA29DB"/>
    <w:rsid w:val="00BA39E8"/>
    <w:rsid w:val="00BA444C"/>
    <w:rsid w:val="00BC0F3D"/>
    <w:rsid w:val="00BC2570"/>
    <w:rsid w:val="00BD3A94"/>
    <w:rsid w:val="00BD5E15"/>
    <w:rsid w:val="00BF04E2"/>
    <w:rsid w:val="00BF2499"/>
    <w:rsid w:val="00C04BB6"/>
    <w:rsid w:val="00C11645"/>
    <w:rsid w:val="00C26074"/>
    <w:rsid w:val="00C353D5"/>
    <w:rsid w:val="00C5014D"/>
    <w:rsid w:val="00C54BC5"/>
    <w:rsid w:val="00C54FB2"/>
    <w:rsid w:val="00C57B26"/>
    <w:rsid w:val="00C83B0A"/>
    <w:rsid w:val="00C85FC8"/>
    <w:rsid w:val="00C94824"/>
    <w:rsid w:val="00CB4CFB"/>
    <w:rsid w:val="00CB63D8"/>
    <w:rsid w:val="00CB66DD"/>
    <w:rsid w:val="00CC3F7B"/>
    <w:rsid w:val="00CD3B43"/>
    <w:rsid w:val="00CD4544"/>
    <w:rsid w:val="00CE1E0C"/>
    <w:rsid w:val="00CE277E"/>
    <w:rsid w:val="00CE387D"/>
    <w:rsid w:val="00CE560E"/>
    <w:rsid w:val="00CF2D47"/>
    <w:rsid w:val="00D00673"/>
    <w:rsid w:val="00D15D3E"/>
    <w:rsid w:val="00D31AD0"/>
    <w:rsid w:val="00D327D2"/>
    <w:rsid w:val="00D33089"/>
    <w:rsid w:val="00D45E0D"/>
    <w:rsid w:val="00D54797"/>
    <w:rsid w:val="00D56867"/>
    <w:rsid w:val="00DB0DB3"/>
    <w:rsid w:val="00DB6E0E"/>
    <w:rsid w:val="00DC19FC"/>
    <w:rsid w:val="00DE5A74"/>
    <w:rsid w:val="00DF135C"/>
    <w:rsid w:val="00E02A7F"/>
    <w:rsid w:val="00E07880"/>
    <w:rsid w:val="00E20E35"/>
    <w:rsid w:val="00E4649F"/>
    <w:rsid w:val="00E47801"/>
    <w:rsid w:val="00E654B0"/>
    <w:rsid w:val="00E753E6"/>
    <w:rsid w:val="00E82621"/>
    <w:rsid w:val="00E82AA9"/>
    <w:rsid w:val="00E85E2F"/>
    <w:rsid w:val="00ED400A"/>
    <w:rsid w:val="00EE0D40"/>
    <w:rsid w:val="00EE2F85"/>
    <w:rsid w:val="00F01BEC"/>
    <w:rsid w:val="00F023BE"/>
    <w:rsid w:val="00F030E4"/>
    <w:rsid w:val="00F322F0"/>
    <w:rsid w:val="00F370D1"/>
    <w:rsid w:val="00F41F1B"/>
    <w:rsid w:val="00F51B27"/>
    <w:rsid w:val="00F5233C"/>
    <w:rsid w:val="00F721D8"/>
    <w:rsid w:val="00F77C9A"/>
    <w:rsid w:val="00F822F7"/>
    <w:rsid w:val="00F8608C"/>
    <w:rsid w:val="00F9402A"/>
    <w:rsid w:val="00FB2570"/>
    <w:rsid w:val="00FB576C"/>
    <w:rsid w:val="00FC12D3"/>
    <w:rsid w:val="00FD2AA6"/>
    <w:rsid w:val="00FE7E8A"/>
    <w:rsid w:val="00FF477D"/>
    <w:rsid w:val="012869A8"/>
    <w:rsid w:val="025A2947"/>
    <w:rsid w:val="09980608"/>
    <w:rsid w:val="0F4A7D3F"/>
    <w:rsid w:val="0F6B5499"/>
    <w:rsid w:val="153A3F72"/>
    <w:rsid w:val="18F41EF5"/>
    <w:rsid w:val="19A2504A"/>
    <w:rsid w:val="19BE3706"/>
    <w:rsid w:val="1AD97324"/>
    <w:rsid w:val="1B310649"/>
    <w:rsid w:val="1B8656A9"/>
    <w:rsid w:val="1BA004BA"/>
    <w:rsid w:val="1BAC7F86"/>
    <w:rsid w:val="1DE63A32"/>
    <w:rsid w:val="1ECB7B04"/>
    <w:rsid w:val="21271E30"/>
    <w:rsid w:val="22A70FE7"/>
    <w:rsid w:val="22CB7C38"/>
    <w:rsid w:val="25901ED5"/>
    <w:rsid w:val="27EE2B60"/>
    <w:rsid w:val="28744909"/>
    <w:rsid w:val="2A316DF8"/>
    <w:rsid w:val="2A520044"/>
    <w:rsid w:val="2A864303"/>
    <w:rsid w:val="2FF166CA"/>
    <w:rsid w:val="308675AA"/>
    <w:rsid w:val="31557BDE"/>
    <w:rsid w:val="34A34203"/>
    <w:rsid w:val="368155E4"/>
    <w:rsid w:val="37861510"/>
    <w:rsid w:val="39F51EE9"/>
    <w:rsid w:val="3AE856F3"/>
    <w:rsid w:val="3BA713EC"/>
    <w:rsid w:val="3C00467B"/>
    <w:rsid w:val="3C3978F0"/>
    <w:rsid w:val="3C412618"/>
    <w:rsid w:val="3E6E32C4"/>
    <w:rsid w:val="4023389B"/>
    <w:rsid w:val="42A12115"/>
    <w:rsid w:val="49C102CC"/>
    <w:rsid w:val="4B8D78B5"/>
    <w:rsid w:val="4BEC1766"/>
    <w:rsid w:val="4C224BFA"/>
    <w:rsid w:val="4E5E3D3F"/>
    <w:rsid w:val="4F891FE9"/>
    <w:rsid w:val="50052A51"/>
    <w:rsid w:val="52133DDD"/>
    <w:rsid w:val="521A32B3"/>
    <w:rsid w:val="526576F6"/>
    <w:rsid w:val="52B551A5"/>
    <w:rsid w:val="52F74B72"/>
    <w:rsid w:val="53A522AD"/>
    <w:rsid w:val="549935F0"/>
    <w:rsid w:val="56A3467A"/>
    <w:rsid w:val="5A522FD2"/>
    <w:rsid w:val="5D331444"/>
    <w:rsid w:val="5E835B48"/>
    <w:rsid w:val="60387B56"/>
    <w:rsid w:val="60E53AE0"/>
    <w:rsid w:val="61AB3429"/>
    <w:rsid w:val="62A10094"/>
    <w:rsid w:val="68C72B6E"/>
    <w:rsid w:val="6A1C6093"/>
    <w:rsid w:val="70407564"/>
    <w:rsid w:val="72AD1C22"/>
    <w:rsid w:val="72C031BC"/>
    <w:rsid w:val="72DD4270"/>
    <w:rsid w:val="755271FF"/>
    <w:rsid w:val="76102B92"/>
    <w:rsid w:val="763229C9"/>
    <w:rsid w:val="784C2E77"/>
    <w:rsid w:val="7C5E1FCB"/>
    <w:rsid w:val="7E5138E4"/>
    <w:rsid w:val="7E595905"/>
    <w:rsid w:val="7E89659A"/>
    <w:rsid w:val="7FFA315A"/>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nhideWhenUsed="0" w:uiPriority="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semiHidden="0"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qFormat="1"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9">
    <w:name w:val="Default Paragraph Font"/>
    <w:semiHidden/>
    <w:qFormat/>
    <w:uiPriority w:val="0"/>
  </w:style>
  <w:style w:type="table" w:default="1" w:styleId="7">
    <w:name w:val="Normal Table"/>
    <w:unhideWhenUsed/>
    <w:qFormat/>
    <w:uiPriority w:val="99"/>
    <w:tblPr>
      <w:tblLayout w:type="fixed"/>
      <w:tblCellMar>
        <w:top w:w="0" w:type="dxa"/>
        <w:left w:w="108" w:type="dxa"/>
        <w:bottom w:w="0" w:type="dxa"/>
        <w:right w:w="108" w:type="dxa"/>
      </w:tblCellMar>
    </w:tblPr>
  </w:style>
  <w:style w:type="paragraph" w:styleId="2">
    <w:name w:val="annotation text"/>
    <w:basedOn w:val="1"/>
    <w:link w:val="12"/>
    <w:unhideWhenUsed/>
    <w:qFormat/>
    <w:uiPriority w:val="99"/>
    <w:pPr>
      <w:jc w:val="left"/>
    </w:pPr>
  </w:style>
  <w:style w:type="paragraph" w:styleId="3">
    <w:name w:val="Date"/>
    <w:basedOn w:val="1"/>
    <w:next w:val="1"/>
    <w:link w:val="13"/>
    <w:unhideWhenUsed/>
    <w:qFormat/>
    <w:uiPriority w:val="99"/>
    <w:pPr>
      <w:ind w:left="100" w:leftChars="2500"/>
    </w:pPr>
  </w:style>
  <w:style w:type="paragraph" w:styleId="4">
    <w:name w:val="Balloon Text"/>
    <w:basedOn w:val="1"/>
    <w:link w:val="14"/>
    <w:unhideWhenUsed/>
    <w:qFormat/>
    <w:uiPriority w:val="99"/>
    <w:rPr>
      <w:sz w:val="18"/>
      <w:szCs w:val="18"/>
    </w:rPr>
  </w:style>
  <w:style w:type="paragraph" w:styleId="5">
    <w:name w:val="footer"/>
    <w:basedOn w:val="1"/>
    <w:link w:val="15"/>
    <w:unhideWhenUsed/>
    <w:qFormat/>
    <w:uiPriority w:val="99"/>
    <w:pPr>
      <w:tabs>
        <w:tab w:val="center" w:pos="4153"/>
        <w:tab w:val="right" w:pos="8306"/>
      </w:tabs>
      <w:snapToGrid w:val="0"/>
      <w:jc w:val="left"/>
    </w:pPr>
    <w:rPr>
      <w:sz w:val="18"/>
      <w:szCs w:val="18"/>
    </w:rPr>
  </w:style>
  <w:style w:type="paragraph" w:styleId="6">
    <w:name w:val="header"/>
    <w:basedOn w:val="1"/>
    <w:link w:val="16"/>
    <w:unhideWhenUsed/>
    <w:qFormat/>
    <w:uiPriority w:val="99"/>
    <w:pPr>
      <w:pBdr>
        <w:bottom w:val="single" w:color="auto" w:sz="6" w:space="1"/>
      </w:pBdr>
      <w:tabs>
        <w:tab w:val="center" w:pos="4153"/>
        <w:tab w:val="right" w:pos="8306"/>
      </w:tabs>
      <w:snapToGrid w:val="0"/>
      <w:jc w:val="center"/>
    </w:pPr>
    <w:rPr>
      <w:sz w:val="18"/>
      <w:szCs w:val="18"/>
    </w:rPr>
  </w:style>
  <w:style w:type="table" w:styleId="8">
    <w:name w:val="Table Grid"/>
    <w:basedOn w:val="7"/>
    <w:unhideWhenUsed/>
    <w:qFormat/>
    <w:uiPriority w:val="99"/>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Pr>
  </w:style>
  <w:style w:type="character" w:styleId="10">
    <w:name w:val="page number"/>
    <w:basedOn w:val="9"/>
    <w:qFormat/>
    <w:uiPriority w:val="0"/>
  </w:style>
  <w:style w:type="character" w:styleId="11">
    <w:name w:val="annotation reference"/>
    <w:unhideWhenUsed/>
    <w:qFormat/>
    <w:uiPriority w:val="99"/>
    <w:rPr>
      <w:sz w:val="21"/>
      <w:szCs w:val="21"/>
    </w:rPr>
  </w:style>
  <w:style w:type="character" w:customStyle="1" w:styleId="12">
    <w:name w:val="批注文字 Char"/>
    <w:link w:val="2"/>
    <w:semiHidden/>
    <w:qFormat/>
    <w:uiPriority w:val="99"/>
    <w:rPr>
      <w:kern w:val="2"/>
      <w:sz w:val="21"/>
      <w:szCs w:val="24"/>
    </w:rPr>
  </w:style>
  <w:style w:type="character" w:customStyle="1" w:styleId="13">
    <w:name w:val="日期 Char"/>
    <w:link w:val="3"/>
    <w:semiHidden/>
    <w:qFormat/>
    <w:uiPriority w:val="99"/>
    <w:rPr>
      <w:kern w:val="2"/>
      <w:sz w:val="21"/>
      <w:szCs w:val="24"/>
    </w:rPr>
  </w:style>
  <w:style w:type="character" w:customStyle="1" w:styleId="14">
    <w:name w:val="批注框文本 Char"/>
    <w:link w:val="4"/>
    <w:semiHidden/>
    <w:qFormat/>
    <w:uiPriority w:val="99"/>
    <w:rPr>
      <w:kern w:val="2"/>
      <w:sz w:val="18"/>
      <w:szCs w:val="18"/>
    </w:rPr>
  </w:style>
  <w:style w:type="character" w:customStyle="1" w:styleId="15">
    <w:name w:val="页脚 Char"/>
    <w:link w:val="5"/>
    <w:qFormat/>
    <w:uiPriority w:val="99"/>
    <w:rPr>
      <w:kern w:val="2"/>
      <w:sz w:val="18"/>
      <w:szCs w:val="18"/>
    </w:rPr>
  </w:style>
  <w:style w:type="character" w:customStyle="1" w:styleId="16">
    <w:name w:val="页眉 Char"/>
    <w:link w:val="6"/>
    <w:semiHidden/>
    <w:qFormat/>
    <w:uiPriority w:val="99"/>
    <w:rPr>
      <w:kern w:val="2"/>
      <w:sz w:val="18"/>
      <w:szCs w:val="18"/>
    </w:rPr>
  </w:style>
  <w:style w:type="character" w:customStyle="1" w:styleId="17">
    <w:name w:val="highlight"/>
    <w:basedOn w:val="9"/>
    <w:qFormat/>
    <w:uiPriority w:val="0"/>
  </w:style>
  <w:style w:type="paragraph" w:customStyle="1" w:styleId="18">
    <w:name w:val="列出段落1"/>
    <w:basedOn w:val="1"/>
    <w:qFormat/>
    <w:uiPriority w:val="34"/>
    <w:pPr>
      <w:ind w:firstLine="420" w:firstLineChars="200"/>
    </w:pPr>
    <w:rPr>
      <w:rFonts w:ascii="Calibri" w:hAnsi="Calibri"/>
      <w:szCs w:val="22"/>
    </w:rPr>
  </w:style>
  <w:style w:type="paragraph" w:customStyle="1" w:styleId="19">
    <w:name w:val="段"/>
    <w:qFormat/>
    <w:uiPriority w:val="0"/>
    <w:pPr>
      <w:autoSpaceDE w:val="0"/>
      <w:autoSpaceDN w:val="0"/>
      <w:ind w:firstLine="200" w:firstLineChars="200"/>
      <w:jc w:val="both"/>
    </w:pPr>
    <w:rPr>
      <w:rFonts w:ascii="宋体" w:hAnsi="Calibri" w:eastAsia="宋体" w:cs="Times New Roman"/>
      <w:sz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Legend (Beijing) Limited</Company>
  <Pages>4</Pages>
  <Words>1287</Words>
  <Characters>1670</Characters>
  <Lines>14</Lines>
  <Paragraphs>3</Paragraphs>
  <TotalTime>1384</TotalTime>
  <ScaleCrop>false</ScaleCrop>
  <LinksUpToDate>false</LinksUpToDate>
  <CharactersWithSpaces>1878</CharactersWithSpaces>
  <Application>WPS Office_11.8.2.8621_F1E327BC-269C-435d-A152-05C5408002CA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2023-02-08T02:54:00Z</dcterms:created>
  <dc:creator>Legend User</dc:creator>
  <cp:lastModifiedBy>Administrator</cp:lastModifiedBy>
  <cp:lastPrinted>2023-02-13T08:07:00Z</cp:lastPrinted>
  <dcterms:modified xsi:type="dcterms:W3CDTF">2024-07-05T11:30:33Z</dcterms:modified>
  <dc:title>××产品质量监督抽查实施细则</dc:title>
  <cp:revision>12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2052-11.8.2.8621</vt:lpwstr>
  </property>
  <property fmtid="{D5CDD505-2E9C-101B-9397-08002B2CF9AE}" pid="3" name="ICV">
    <vt:lpwstr>1389772418FF44539A50F11578E3C6F1_13</vt:lpwstr>
  </property>
</Properties>
</file>