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480" w:lineRule="exac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tbl>
      <w:tblPr>
        <w:tblStyle w:val="4"/>
        <w:tblW w:w="9173" w:type="dxa"/>
        <w:tblInd w:w="0" w:type="dxa"/>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173"/>
      </w:tblGrid>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PrEx>
        <w:tc>
          <w:tcPr>
            <w:tcW w:w="9173" w:type="dxa"/>
            <w:noWrap w:val="0"/>
            <w:vAlign w:val="top"/>
          </w:tcPr>
          <w:p>
            <w:pPr>
              <w:spacing w:line="360" w:lineRule="auto"/>
              <w:jc w:val="center"/>
              <w:rPr>
                <w:rFonts w:hint="eastAsia" w:ascii="黑体" w:hAnsi="宋体" w:eastAsia="黑体" w:cs="Times New Roman"/>
                <w:b/>
                <w:color w:val="000000"/>
                <w:spacing w:val="20"/>
                <w:w w:val="105"/>
                <w:sz w:val="44"/>
                <w:szCs w:val="44"/>
              </w:rPr>
            </w:pPr>
            <w:r>
              <w:rPr>
                <w:rFonts w:hint="eastAsia" w:ascii="黑体" w:hAnsi="宋体" w:eastAsia="黑体" w:cs="Times New Roman"/>
                <w:b/>
                <w:color w:val="000000"/>
                <w:spacing w:val="20"/>
                <w:w w:val="105"/>
                <w:sz w:val="44"/>
                <w:szCs w:val="44"/>
              </w:rPr>
              <w:t>产品质量监督抽查实施细则</w:t>
            </w:r>
          </w:p>
        </w:tc>
      </w:tr>
    </w:tbl>
    <w:p>
      <w:pPr>
        <w:spacing w:line="360" w:lineRule="auto"/>
        <w:jc w:val="center"/>
        <w:rPr>
          <w:rFonts w:hint="eastAsia" w:ascii="黑体" w:hAnsi="宋体" w:eastAsia="黑体" w:cs="Times New Roman"/>
          <w:b/>
          <w:color w:val="000000"/>
          <w:spacing w:val="20"/>
          <w:w w:val="105"/>
          <w:sz w:val="44"/>
          <w:szCs w:val="44"/>
        </w:rPr>
      </w:pPr>
    </w:p>
    <w:p>
      <w:pPr>
        <w:spacing w:line="360" w:lineRule="auto"/>
        <w:jc w:val="center"/>
        <w:rPr>
          <w:rFonts w:hint="eastAsia" w:ascii="黑体" w:hAnsi="宋体" w:eastAsia="黑体" w:cs="Times New Roman"/>
          <w:b/>
          <w:color w:val="000000"/>
          <w:spacing w:val="20"/>
          <w:w w:val="105"/>
          <w:sz w:val="44"/>
          <w:szCs w:val="44"/>
        </w:rPr>
      </w:pPr>
    </w:p>
    <w:p>
      <w:pPr>
        <w:spacing w:line="360" w:lineRule="auto"/>
        <w:jc w:val="center"/>
        <w:rPr>
          <w:rFonts w:hint="eastAsia" w:ascii="黑体" w:hAnsi="宋体" w:eastAsia="黑体" w:cs="Times New Roman"/>
          <w:b/>
          <w:color w:val="000000"/>
          <w:spacing w:val="20"/>
          <w:w w:val="105"/>
          <w:sz w:val="44"/>
          <w:szCs w:val="44"/>
        </w:rPr>
      </w:pPr>
    </w:p>
    <w:p>
      <w:pPr>
        <w:spacing w:line="360" w:lineRule="auto"/>
        <w:jc w:val="center"/>
        <w:rPr>
          <w:rFonts w:hint="eastAsia" w:ascii="黑体" w:hAnsi="宋体" w:eastAsia="黑体" w:cs="Times New Roman"/>
          <w:b/>
          <w:color w:val="000000"/>
          <w:spacing w:val="20"/>
          <w:w w:val="105"/>
          <w:sz w:val="44"/>
          <w:szCs w:val="44"/>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spacing w:line="600" w:lineRule="exact"/>
        <w:jc w:val="center"/>
        <w:rPr>
          <w:rFonts w:hint="eastAsia" w:ascii="黑体" w:hAnsi="黑体" w:eastAsia="黑体" w:cs="黑体"/>
          <w:b/>
          <w:bCs/>
          <w:sz w:val="44"/>
          <w:szCs w:val="44"/>
        </w:rPr>
      </w:pPr>
      <w:r>
        <w:rPr>
          <w:rFonts w:hint="eastAsia" w:ascii="黑体" w:hAnsi="黑体" w:eastAsia="黑体" w:cs="黑体"/>
          <w:b/>
          <w:bCs/>
          <w:sz w:val="44"/>
          <w:szCs w:val="44"/>
        </w:rPr>
        <w:t>202</w:t>
      </w:r>
      <w:r>
        <w:rPr>
          <w:rFonts w:hint="eastAsia" w:ascii="黑体" w:hAnsi="黑体" w:eastAsia="黑体" w:cs="黑体"/>
          <w:b/>
          <w:bCs/>
          <w:sz w:val="44"/>
          <w:szCs w:val="44"/>
          <w:lang w:val="en-US" w:eastAsia="zh-CN"/>
        </w:rPr>
        <w:t>4</w:t>
      </w:r>
      <w:r>
        <w:rPr>
          <w:rFonts w:hint="eastAsia" w:ascii="黑体" w:hAnsi="黑体" w:eastAsia="黑体" w:cs="黑体"/>
          <w:b/>
          <w:bCs/>
          <w:sz w:val="44"/>
          <w:szCs w:val="44"/>
        </w:rPr>
        <w:t>年</w:t>
      </w:r>
      <w:r>
        <w:rPr>
          <w:rFonts w:hint="eastAsia" w:ascii="黑体" w:hAnsi="黑体" w:eastAsia="黑体" w:cs="黑体"/>
          <w:b/>
          <w:bCs/>
          <w:sz w:val="44"/>
          <w:szCs w:val="44"/>
          <w:lang w:eastAsia="zh-CN"/>
        </w:rPr>
        <w:t>巩留县</w:t>
      </w:r>
      <w:r>
        <w:rPr>
          <w:rFonts w:hint="eastAsia" w:ascii="黑体" w:hAnsi="黑体" w:eastAsia="黑体" w:cs="黑体"/>
          <w:b/>
          <w:bCs/>
          <w:sz w:val="44"/>
          <w:szCs w:val="44"/>
        </w:rPr>
        <w:t>塑料购物袋产品质量监督</w:t>
      </w:r>
    </w:p>
    <w:p>
      <w:pPr>
        <w:spacing w:line="600" w:lineRule="exact"/>
        <w:jc w:val="center"/>
        <w:rPr>
          <w:rFonts w:hint="eastAsia" w:ascii="黑体" w:hAnsi="黑体" w:eastAsia="黑体" w:cs="黑体"/>
          <w:b/>
          <w:bCs/>
          <w:sz w:val="44"/>
          <w:szCs w:val="44"/>
        </w:rPr>
      </w:pPr>
      <w:r>
        <w:rPr>
          <w:rFonts w:hint="eastAsia" w:ascii="黑体" w:hAnsi="黑体" w:eastAsia="黑体" w:cs="黑体"/>
          <w:b/>
          <w:bCs/>
          <w:sz w:val="44"/>
          <w:szCs w:val="44"/>
        </w:rPr>
        <w:t>抽查实施细则</w:t>
      </w:r>
    </w:p>
    <w:p>
      <w:pPr>
        <w:tabs>
          <w:tab w:val="left" w:pos="6930"/>
        </w:tabs>
        <w:adjustRightInd w:val="0"/>
        <w:spacing w:line="480" w:lineRule="exact"/>
        <w:jc w:val="center"/>
        <w:rPr>
          <w:rFonts w:hint="eastAsia" w:ascii="仿宋_GB2312" w:hAnsi="仿宋_GB2312" w:eastAsia="仿宋_GB2312" w:cs="仿宋_GB2312"/>
          <w:b/>
          <w:bCs/>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r>
        <w:rPr>
          <w:rFonts w:hint="eastAsia" w:ascii="仿宋_GB2312" w:hAnsi="仿宋_GB2312" w:eastAsia="仿宋_GB2312" w:cs="仿宋_GB2312"/>
          <w:sz w:val="32"/>
          <w:szCs w:val="32"/>
        </w:rPr>
        <mc:AlternateContent>
          <mc:Choice Requires="wps">
            <w:drawing>
              <wp:anchor distT="0" distB="0" distL="114300" distR="114300" simplePos="0" relativeHeight="251659264" behindDoc="0" locked="0" layoutInCell="1" allowOverlap="1">
                <wp:simplePos x="0" y="0"/>
                <wp:positionH relativeFrom="page">
                  <wp:posOffset>3657600</wp:posOffset>
                </wp:positionH>
                <wp:positionV relativeFrom="page">
                  <wp:posOffset>6865620</wp:posOffset>
                </wp:positionV>
                <wp:extent cx="1440180" cy="198120"/>
                <wp:effectExtent l="0" t="0" r="7620" b="11430"/>
                <wp:wrapNone/>
                <wp:docPr id="1" name="文本框 3"/>
                <wp:cNvGraphicFramePr/>
                <a:graphic xmlns:a="http://schemas.openxmlformats.org/drawingml/2006/main">
                  <a:graphicData uri="http://schemas.microsoft.com/office/word/2010/wordprocessingShape">
                    <wps:wsp>
                      <wps:cNvSpPr txBox="1"/>
                      <wps:spPr>
                        <a:xfrm>
                          <a:off x="0" y="0"/>
                          <a:ext cx="1440180" cy="198120"/>
                        </a:xfrm>
                        <a:prstGeom prst="rect">
                          <a:avLst/>
                        </a:prstGeom>
                        <a:solidFill>
                          <a:srgbClr val="FFFFFF"/>
                        </a:solidFill>
                        <a:ln>
                          <a:noFill/>
                        </a:ln>
                      </wps:spPr>
                      <wps:txbx>
                        <w:txbxContent>
                          <w:p/>
                        </w:txbxContent>
                      </wps:txbx>
                      <wps:bodyPr wrap="square" lIns="0" tIns="0" rIns="0" bIns="0" upright="1"/>
                    </wps:wsp>
                  </a:graphicData>
                </a:graphic>
              </wp:anchor>
            </w:drawing>
          </mc:Choice>
          <mc:Fallback>
            <w:pict>
              <v:shape id="文本框 3" o:spid="_x0000_s1026" o:spt="202" type="#_x0000_t202" style="position:absolute;left:0pt;margin-left:288pt;margin-top:540.6pt;height:15.6pt;width:113.4pt;mso-position-horizontal-relative:page;mso-position-vertical-relative:page;z-index:251659264;mso-width-relative:page;mso-height-relative:page;" fillcolor="#FFFFFF" filled="t" stroked="f" coordsize="21600,21600" o:gfxdata="UEsDBAoAAAAAAIdO4kAAAAAAAAAAAAAAAAAEAAAAZHJzL1BLAwQUAAAACACHTuJAEJSPF9oAAAAN&#10;AQAADwAAAGRycy9kb3ducmV2LnhtbE2PwU7DMBBE70j8g7VIXBC1Y0GI0jiVaOEGh5aqZzd2k4h4&#10;HdlO0/49ywmOOzOanVetLm5gZxti71FBthDALDbe9Ngq2H+9PxbAYtJo9ODRKrjaCKv69qbSpfEz&#10;bu15l1pGJRhLraBLaSw5j01nnY4LP1ok7+SD04nO0HIT9EzlbuBSiJw73SN96PRo151tvneTU5Bv&#10;wjRvcf2w2b996M+xlYfX60Gp+7tMLIEle0l/YfidT9Ohpk1HP6GJbFDw/JITSyJDFJkERpFCSKI5&#10;kpRl8gl4XfH/FPUPUEsDBBQAAAAIAIdO4kC4DFQ8ugEAAFsDAAAOAAAAZHJzL2Uyb0RvYy54bWyt&#10;U0uO1DAQ3SNxB8t72kkzQk3U6ZFg1AgJAdLAARzHTiz5R9ndSV8AbsCKDXvO1eeg7P4Mnx0iC6dc&#10;//eqvL6drSF7CVF719J6UVEinfC9dkNLP37YPllREhN3PTfeyZYeZKS3m8eP1lNo5NKP3vQSCCZx&#10;sZlCS8eUQsNYFKO0PC58kA6NyoPlCa8wsB74hNmtYcuqesYmD30AL2SMqL07Gemm5FdKivROqSgT&#10;MS3F3lI5oZxdPtlmzZsBeBi1OLfB/6ELy7XDotdUdzxxsgP9VyqrBfjoVVoIb5lXSgtZMCCauvoD&#10;zf3IgyxYkJwYrjTF/5dWvN2/B6J7nB0ljlsc0fHrl+O3H8fvn8nTTM8UYoNe9wH90vzCz9n1rI+o&#10;zKhnBTb/EQ9BOxJ9uJIr50REDrq5qeoVmgTa6uerelnYZw/RAWJ6Jb0lWWgp4PAKp3z/JiasiK4X&#10;l1wseqP7rTamXGDoXhoge46D3pYvN4khv7kZl52dz2Enc9awjPGEJUtp7uYzwM73B8Q94YK0NH7a&#10;cZCUmNcOJ5C36SLAReguwi6AHkZEUbgqBXCCpaHztuUV+fVe2nh4E5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EJSPF9oAAAANAQAADwAAAAAAAAABACAAAAAiAAAAZHJzL2Rvd25yZXYueG1sUEsB&#10;AhQAFAAAAAgAh07iQLgMVDy6AQAAWwMAAA4AAAAAAAAAAQAgAAAAKQEAAGRycy9lMm9Eb2MueG1s&#10;UEsFBgAAAAAGAAYAWQEAAFUFAAAAAA==&#10;">
                <v:fill on="t" focussize="0,0"/>
                <v:stroke on="f"/>
                <v:imagedata o:title=""/>
                <o:lock v:ext="edit" aspectratio="f"/>
                <v:textbox inset="0mm,0mm,0mm,0mm">
                  <w:txbxContent>
                    <w:p/>
                  </w:txbxContent>
                </v:textbox>
              </v:shape>
            </w:pict>
          </mc:Fallback>
        </mc:AlternateContent>
      </w: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jc w:val="center"/>
        <w:rPr>
          <w:rFonts w:hint="eastAsia" w:ascii="仿宋_GB2312" w:hAnsi="仿宋_GB2312" w:eastAsia="仿宋_GB2312" w:cs="仿宋_GB2312"/>
          <w:b/>
          <w:sz w:val="32"/>
          <w:szCs w:val="32"/>
        </w:rPr>
      </w:pPr>
    </w:p>
    <w:p>
      <w:pPr>
        <w:adjustRightInd w:val="0"/>
        <w:spacing w:line="480" w:lineRule="exact"/>
        <w:rPr>
          <w:rFonts w:hint="eastAsia" w:ascii="仿宋_GB2312" w:hAnsi="仿宋_GB2312" w:eastAsia="仿宋_GB2312" w:cs="仿宋_GB2312"/>
          <w:b/>
          <w:sz w:val="32"/>
          <w:szCs w:val="32"/>
        </w:rPr>
      </w:pPr>
    </w:p>
    <w:p>
      <w:pPr>
        <w:adjustRightInd w:val="0"/>
        <w:spacing w:line="480" w:lineRule="exact"/>
        <w:rPr>
          <w:rFonts w:hint="eastAsia" w:ascii="黑体" w:hAnsi="黑体" w:eastAsia="黑体" w:cs="黑体"/>
          <w:b w:val="0"/>
          <w:bCs/>
          <w:sz w:val="30"/>
          <w:szCs w:val="30"/>
        </w:rPr>
      </w:pPr>
    </w:p>
    <w:p>
      <w:pPr>
        <w:adjustRightInd w:val="0"/>
        <w:spacing w:line="480" w:lineRule="exact"/>
        <w:rPr>
          <w:rFonts w:hint="eastAsia" w:ascii="黑体" w:hAnsi="黑体" w:eastAsia="黑体" w:cs="黑体"/>
          <w:b w:val="0"/>
          <w:bCs/>
          <w:sz w:val="30"/>
          <w:szCs w:val="30"/>
        </w:rPr>
      </w:pPr>
    </w:p>
    <w:p>
      <w:pPr>
        <w:adjustRightInd w:val="0"/>
        <w:spacing w:line="480" w:lineRule="exact"/>
        <w:jc w:val="left"/>
        <w:rPr>
          <w:rFonts w:hint="eastAsia" w:ascii="黑体" w:hAnsi="黑体" w:eastAsia="黑体" w:cs="黑体"/>
          <w:b w:val="0"/>
          <w:bCs/>
          <w:sz w:val="30"/>
          <w:szCs w:val="30"/>
        </w:rPr>
      </w:pPr>
      <w:r>
        <w:rPr>
          <w:rFonts w:hint="eastAsia" w:ascii="黑体" w:hAnsi="黑体" w:eastAsia="黑体" w:cs="黑体"/>
          <w:b w:val="0"/>
          <w:bCs/>
          <w:sz w:val="30"/>
          <w:szCs w:val="30"/>
        </w:rPr>
        <w:t>202</w:t>
      </w:r>
      <w:r>
        <w:rPr>
          <w:rFonts w:hint="eastAsia" w:ascii="黑体" w:hAnsi="黑体" w:eastAsia="黑体" w:cs="黑体"/>
          <w:b w:val="0"/>
          <w:bCs/>
          <w:sz w:val="30"/>
          <w:szCs w:val="30"/>
          <w:lang w:val="en-US" w:eastAsia="zh-CN"/>
        </w:rPr>
        <w:t>4</w:t>
      </w:r>
      <w:r>
        <w:rPr>
          <w:rFonts w:hint="eastAsia" w:ascii="黑体" w:hAnsi="黑体" w:eastAsia="黑体" w:cs="黑体"/>
          <w:b w:val="0"/>
          <w:bCs/>
          <w:sz w:val="30"/>
          <w:szCs w:val="30"/>
        </w:rPr>
        <w:t>-0</w:t>
      </w:r>
      <w:r>
        <w:rPr>
          <w:rFonts w:hint="eastAsia" w:ascii="黑体" w:hAnsi="黑体" w:eastAsia="黑体" w:cs="黑体"/>
          <w:b w:val="0"/>
          <w:bCs/>
          <w:sz w:val="30"/>
          <w:szCs w:val="30"/>
          <w:lang w:val="en-US" w:eastAsia="zh-CN"/>
        </w:rPr>
        <w:t>6</w:t>
      </w:r>
      <w:r>
        <w:rPr>
          <w:rFonts w:hint="eastAsia" w:ascii="黑体" w:hAnsi="黑体" w:eastAsia="黑体" w:cs="黑体"/>
          <w:b w:val="0"/>
          <w:bCs/>
          <w:sz w:val="30"/>
          <w:szCs w:val="30"/>
        </w:rPr>
        <w:t>-</w:t>
      </w:r>
      <w:r>
        <w:rPr>
          <w:rFonts w:hint="eastAsia" w:ascii="黑体" w:hAnsi="黑体" w:eastAsia="黑体" w:cs="黑体"/>
          <w:b w:val="0"/>
          <w:bCs/>
          <w:sz w:val="30"/>
          <w:szCs w:val="30"/>
          <w:lang w:val="en-US" w:eastAsia="zh-CN"/>
        </w:rPr>
        <w:t>15</w:t>
      </w:r>
      <w:r>
        <w:rPr>
          <w:rFonts w:hint="eastAsia" w:ascii="黑体" w:hAnsi="黑体" w:eastAsia="黑体" w:cs="黑体"/>
          <w:b w:val="0"/>
          <w:bCs/>
          <w:sz w:val="30"/>
          <w:szCs w:val="30"/>
        </w:rPr>
        <w:t xml:space="preserve">发布       </w:t>
      </w:r>
      <w:r>
        <w:rPr>
          <w:rFonts w:hint="eastAsia" w:ascii="黑体" w:hAnsi="黑体" w:eastAsia="黑体" w:cs="黑体"/>
          <w:b w:val="0"/>
          <w:bCs/>
          <w:sz w:val="30"/>
          <w:szCs w:val="30"/>
          <w:lang w:val="en-US" w:eastAsia="zh-CN"/>
        </w:rPr>
        <w:t xml:space="preserve">           </w:t>
      </w:r>
      <w:r>
        <w:rPr>
          <w:rFonts w:hint="eastAsia" w:ascii="黑体" w:hAnsi="黑体" w:eastAsia="黑体" w:cs="黑体"/>
          <w:b w:val="0"/>
          <w:bCs/>
          <w:sz w:val="30"/>
          <w:szCs w:val="30"/>
        </w:rPr>
        <w:t xml:space="preserve"> </w:t>
      </w:r>
      <w:r>
        <w:rPr>
          <w:rFonts w:hint="eastAsia" w:ascii="黑体" w:hAnsi="黑体" w:eastAsia="黑体" w:cs="黑体"/>
          <w:b w:val="0"/>
          <w:bCs/>
          <w:sz w:val="30"/>
          <w:szCs w:val="30"/>
          <w:lang w:val="en-US" w:eastAsia="zh-CN"/>
        </w:rPr>
        <w:t xml:space="preserve">  </w:t>
      </w:r>
      <w:r>
        <w:rPr>
          <w:rFonts w:hint="eastAsia" w:ascii="黑体" w:hAnsi="黑体" w:eastAsia="黑体" w:cs="黑体"/>
          <w:b w:val="0"/>
          <w:bCs/>
          <w:sz w:val="30"/>
          <w:szCs w:val="30"/>
        </w:rPr>
        <w:t xml:space="preserve"> 202</w:t>
      </w:r>
      <w:r>
        <w:rPr>
          <w:rFonts w:hint="eastAsia" w:ascii="黑体" w:hAnsi="黑体" w:eastAsia="黑体" w:cs="黑体"/>
          <w:b w:val="0"/>
          <w:bCs/>
          <w:sz w:val="30"/>
          <w:szCs w:val="30"/>
          <w:lang w:val="en-US" w:eastAsia="zh-CN"/>
        </w:rPr>
        <w:t>4</w:t>
      </w:r>
      <w:r>
        <w:rPr>
          <w:rFonts w:hint="eastAsia" w:ascii="黑体" w:hAnsi="黑体" w:eastAsia="黑体" w:cs="黑体"/>
          <w:b w:val="0"/>
          <w:bCs/>
          <w:sz w:val="30"/>
          <w:szCs w:val="30"/>
        </w:rPr>
        <w:t>-0</w:t>
      </w:r>
      <w:r>
        <w:rPr>
          <w:rFonts w:hint="eastAsia" w:ascii="黑体" w:hAnsi="黑体" w:eastAsia="黑体" w:cs="黑体"/>
          <w:b w:val="0"/>
          <w:bCs/>
          <w:sz w:val="30"/>
          <w:szCs w:val="30"/>
          <w:lang w:val="en-US" w:eastAsia="zh-CN"/>
        </w:rPr>
        <w:t>6</w:t>
      </w:r>
      <w:r>
        <w:rPr>
          <w:rFonts w:hint="eastAsia" w:ascii="黑体" w:hAnsi="黑体" w:eastAsia="黑体" w:cs="黑体"/>
          <w:b w:val="0"/>
          <w:bCs/>
          <w:sz w:val="30"/>
          <w:szCs w:val="30"/>
        </w:rPr>
        <w:t>-</w:t>
      </w:r>
      <w:r>
        <w:rPr>
          <w:rFonts w:hint="eastAsia" w:ascii="黑体" w:hAnsi="黑体" w:eastAsia="黑体" w:cs="黑体"/>
          <w:b w:val="0"/>
          <w:bCs/>
          <w:sz w:val="30"/>
          <w:szCs w:val="30"/>
          <w:lang w:val="en-US" w:eastAsia="zh-CN"/>
        </w:rPr>
        <w:t>21</w:t>
      </w:r>
      <w:r>
        <w:rPr>
          <w:rFonts w:hint="eastAsia" w:ascii="黑体" w:hAnsi="黑体" w:eastAsia="黑体" w:cs="黑体"/>
          <w:b w:val="0"/>
          <w:bCs/>
          <w:sz w:val="30"/>
          <w:szCs w:val="30"/>
        </w:rPr>
        <w:t xml:space="preserve">实施                              </w:t>
      </w:r>
    </w:p>
    <w:tbl>
      <w:tblPr>
        <w:tblStyle w:val="4"/>
        <w:tblW w:w="8180" w:type="dxa"/>
        <w:tblInd w:w="138"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180"/>
      </w:tblGrid>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01" w:hRule="atLeast"/>
        </w:trPr>
        <w:tc>
          <w:tcPr>
            <w:tcW w:w="8180" w:type="dxa"/>
            <w:noWrap w:val="0"/>
            <w:vAlign w:val="top"/>
          </w:tcPr>
          <w:p>
            <w:pPr>
              <w:spacing w:line="360" w:lineRule="auto"/>
              <w:jc w:val="center"/>
              <w:rPr>
                <w:rFonts w:hint="eastAsia" w:ascii="黑体" w:hAnsi="黑体" w:eastAsia="黑体" w:cs="黑体"/>
                <w:b w:val="0"/>
                <w:bCs/>
                <w:sz w:val="30"/>
                <w:szCs w:val="30"/>
              </w:rPr>
            </w:pPr>
            <w:r>
              <w:rPr>
                <w:rFonts w:hint="eastAsia" w:ascii="黑体" w:hAnsi="黑体" w:eastAsia="黑体" w:cs="黑体"/>
                <w:b w:val="0"/>
                <w:bCs/>
                <w:sz w:val="30"/>
                <w:szCs w:val="30"/>
                <w:lang w:eastAsia="zh-CN"/>
              </w:rPr>
              <w:t>巩留县</w:t>
            </w:r>
            <w:r>
              <w:rPr>
                <w:rFonts w:hint="eastAsia" w:ascii="黑体" w:hAnsi="黑体" w:eastAsia="黑体" w:cs="黑体"/>
                <w:b w:val="0"/>
                <w:bCs/>
                <w:sz w:val="30"/>
                <w:szCs w:val="30"/>
              </w:rPr>
              <w:t>市场监督管理局</w:t>
            </w:r>
          </w:p>
        </w:tc>
      </w:tr>
    </w:tbl>
    <w:p>
      <w:pPr>
        <w:jc w:val="center"/>
        <w:rPr>
          <w:rFonts w:hint="eastAsia" w:ascii="黑体" w:hAnsi="黑体" w:eastAsia="黑体" w:cs="黑体"/>
          <w:b/>
          <w:bCs/>
          <w:i w:val="0"/>
          <w:iCs w:val="0"/>
          <w:caps w:val="0"/>
          <w:color w:val="333333"/>
          <w:spacing w:val="0"/>
          <w:kern w:val="0"/>
          <w:sz w:val="32"/>
          <w:szCs w:val="32"/>
          <w:lang w:val="en-US" w:eastAsia="zh-CN" w:bidi="ar"/>
        </w:rPr>
      </w:pPr>
      <w:r>
        <w:rPr>
          <w:rFonts w:hint="eastAsia" w:ascii="黑体" w:hAnsi="黑体" w:eastAsia="黑体" w:cs="黑体"/>
          <w:b/>
          <w:bCs/>
          <w:i w:val="0"/>
          <w:iCs w:val="0"/>
          <w:caps w:val="0"/>
          <w:color w:val="333333"/>
          <w:spacing w:val="0"/>
          <w:kern w:val="0"/>
          <w:sz w:val="32"/>
          <w:szCs w:val="32"/>
          <w:lang w:val="en-US" w:eastAsia="zh-CN" w:bidi="ar"/>
        </w:rPr>
        <w:t>2024年巩留县塑料购物袋产品质量监督抽查实施细则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right="0"/>
        <w:textAlignment w:val="auto"/>
        <w:rPr>
          <w:rFonts w:hint="eastAsia" w:ascii="黑体" w:hAnsi="黑体" w:eastAsia="黑体" w:cs="黑体"/>
          <w:b/>
          <w:bCs/>
          <w:i w:val="0"/>
          <w:iCs w:val="0"/>
          <w:caps w:val="0"/>
          <w:color w:val="333333"/>
          <w:spacing w:val="0"/>
          <w:sz w:val="21"/>
          <w:szCs w:val="21"/>
        </w:rPr>
      </w:pPr>
      <w:r>
        <w:rPr>
          <w:rFonts w:hint="eastAsia" w:ascii="黑体" w:hAnsi="黑体" w:eastAsia="黑体" w:cs="黑体"/>
          <w:b/>
          <w:bCs/>
          <w:i w:val="0"/>
          <w:iCs w:val="0"/>
          <w:caps w:val="0"/>
          <w:color w:val="333333"/>
          <w:spacing w:val="0"/>
          <w:sz w:val="21"/>
          <w:szCs w:val="21"/>
        </w:rPr>
        <w:t>1 抽样方法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1.1 抽样地点及型号或规格</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抽样地点为</w:t>
      </w:r>
      <w:r>
        <w:rPr>
          <w:rFonts w:hint="eastAsia" w:asciiTheme="minorEastAsia" w:hAnsiTheme="minorEastAsia" w:eastAsiaTheme="minorEastAsia" w:cstheme="minorEastAsia"/>
          <w:i w:val="0"/>
          <w:iCs w:val="0"/>
          <w:caps w:val="0"/>
          <w:color w:val="333333"/>
          <w:spacing w:val="0"/>
          <w:sz w:val="21"/>
          <w:szCs w:val="21"/>
          <w:lang w:eastAsia="zh-CN"/>
        </w:rPr>
        <w:t>巩留县</w:t>
      </w:r>
      <w:r>
        <w:rPr>
          <w:rFonts w:hint="eastAsia" w:asciiTheme="minorEastAsia" w:hAnsiTheme="minorEastAsia" w:eastAsiaTheme="minorEastAsia" w:cstheme="minorEastAsia"/>
          <w:i w:val="0"/>
          <w:iCs w:val="0"/>
          <w:caps w:val="0"/>
          <w:color w:val="333333"/>
          <w:spacing w:val="0"/>
          <w:sz w:val="21"/>
          <w:szCs w:val="21"/>
        </w:rPr>
        <w:t>辖区内塑料购物袋产品生产及销售企业。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抽取样品应为同一生产企业生产的同一种类、同一型号规格、同一批次的产品。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在生产、销售企业抽样时，应抽取在待销产品中有产品质量检验合格证明或者以其他形式表明合格的产品。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1.2 抽样方法、基数及数量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严格按照相关产品标准中有关抽样规则进行样品抽取，随机抽取同一生产企业生产的同一种类、同一型号规格、同一批次的产品。</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随机数一般可使用随机数表、骰子或扑克牌等方法产生。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shd w:val="clear" w:fill="FFFFFF"/>
        </w:rPr>
        <w:t>采样数量：100只（其中备样50只）。</w:t>
      </w:r>
      <w:r>
        <w:rPr>
          <w:rFonts w:hint="eastAsia" w:asciiTheme="minorEastAsia" w:hAnsiTheme="minorEastAsia" w:eastAsiaTheme="minorEastAsia" w:cstheme="minorEastAsia"/>
          <w:i w:val="0"/>
          <w:iCs w:val="0"/>
          <w:caps w:val="0"/>
          <w:color w:val="333333"/>
          <w:spacing w:val="0"/>
          <w:sz w:val="21"/>
          <w:szCs w:val="21"/>
        </w:rPr>
        <w:t>抽样基数满足抽样数量即可。</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抽样数量和抽样过程要求依据产品执行标准确定。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right="0"/>
        <w:textAlignment w:val="auto"/>
        <w:rPr>
          <w:rFonts w:hint="eastAsia" w:ascii="黑体" w:hAnsi="黑体" w:eastAsia="黑体" w:cs="黑体"/>
          <w:b/>
          <w:bCs/>
          <w:sz w:val="21"/>
          <w:szCs w:val="21"/>
        </w:rPr>
      </w:pPr>
      <w:r>
        <w:rPr>
          <w:rFonts w:hint="eastAsia" w:ascii="黑体" w:hAnsi="黑体" w:eastAsia="黑体" w:cs="黑体"/>
          <w:b/>
          <w:bCs/>
          <w:i w:val="0"/>
          <w:iCs w:val="0"/>
          <w:caps w:val="0"/>
          <w:color w:val="333333"/>
          <w:spacing w:val="0"/>
          <w:sz w:val="21"/>
          <w:szCs w:val="21"/>
          <w:lang w:val="en-US" w:eastAsia="zh-CN"/>
        </w:rPr>
        <w:t>2</w:t>
      </w:r>
      <w:r>
        <w:rPr>
          <w:rFonts w:hint="eastAsia" w:ascii="黑体" w:hAnsi="黑体" w:eastAsia="黑体" w:cs="黑体"/>
          <w:b/>
          <w:bCs/>
          <w:i w:val="0"/>
          <w:iCs w:val="0"/>
          <w:caps w:val="0"/>
          <w:color w:val="333333"/>
          <w:spacing w:val="0"/>
          <w:sz w:val="21"/>
          <w:szCs w:val="21"/>
        </w:rPr>
        <w:t>.检验依据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iCs w:val="0"/>
          <w:caps w:val="0"/>
          <w:color w:val="333333"/>
          <w:spacing w:val="0"/>
          <w:sz w:val="21"/>
          <w:szCs w:val="21"/>
        </w:rPr>
        <w:t>表1塑料购物袋产品检验项目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iCs w:val="0"/>
          <w:caps w:val="0"/>
          <w:color w:val="333333"/>
          <w:spacing w:val="0"/>
          <w:sz w:val="21"/>
          <w:szCs w:val="21"/>
        </w:rPr>
        <w:t>(明示标准为GB/T 21661-2020的塑料购物袋)</w:t>
      </w:r>
    </w:p>
    <w:tbl>
      <w:tblPr>
        <w:tblStyle w:val="4"/>
        <w:tblW w:w="8137" w:type="dxa"/>
        <w:tblInd w:w="1"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15" w:type="dxa"/>
          <w:left w:w="15" w:type="dxa"/>
          <w:bottom w:w="15" w:type="dxa"/>
          <w:right w:w="15" w:type="dxa"/>
        </w:tblCellMar>
      </w:tblPr>
      <w:tblGrid>
        <w:gridCol w:w="815"/>
        <w:gridCol w:w="1772"/>
        <w:gridCol w:w="2391"/>
        <w:gridCol w:w="315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序号</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检验项目</w:t>
            </w:r>
          </w:p>
        </w:tc>
        <w:tc>
          <w:tcPr>
            <w:tcW w:w="2391"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判定依据</w:t>
            </w: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检验方法</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1</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color w:val="333333"/>
                <w:sz w:val="21"/>
                <w:szCs w:val="21"/>
              </w:rPr>
              <w:t>厚度</w:t>
            </w:r>
            <w:r>
              <w:rPr>
                <w:rFonts w:hint="eastAsia" w:asciiTheme="minorEastAsia" w:hAnsiTheme="minorEastAsia" w:eastAsiaTheme="minorEastAsia" w:cstheme="minorEastAsia"/>
                <w:color w:val="333333"/>
                <w:sz w:val="21"/>
                <w:szCs w:val="21"/>
                <w:lang w:eastAsia="zh-CN"/>
              </w:rPr>
              <w:t>偏差</w:t>
            </w:r>
          </w:p>
        </w:tc>
        <w:tc>
          <w:tcPr>
            <w:tcW w:w="2391" w:type="dxa"/>
            <w:vMerge w:val="restart"/>
            <w:tcBorders>
              <w:top w:val="outset" w:color="auto" w:sz="6" w:space="0"/>
              <w:left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GB/T 21661-2020</w:t>
            </w: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GB/T 21661-2020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2</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跌落试验</w:t>
            </w:r>
          </w:p>
        </w:tc>
        <w:tc>
          <w:tcPr>
            <w:tcW w:w="2391" w:type="dxa"/>
            <w:vMerge w:val="continue"/>
            <w:tcBorders>
              <w:left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GB/T 21661-2020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3</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漏水性</w:t>
            </w:r>
          </w:p>
        </w:tc>
        <w:tc>
          <w:tcPr>
            <w:tcW w:w="2391" w:type="dxa"/>
            <w:vMerge w:val="continue"/>
            <w:tcBorders>
              <w:left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GB/T 21661-2020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4</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封合强度</w:t>
            </w:r>
          </w:p>
        </w:tc>
        <w:tc>
          <w:tcPr>
            <w:tcW w:w="2391" w:type="dxa"/>
            <w:vMerge w:val="continue"/>
            <w:tcBorders>
              <w:left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jc w:val="center"/>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color w:val="333333"/>
                <w:sz w:val="21"/>
                <w:szCs w:val="21"/>
              </w:rPr>
              <w:t>GB/T 21661-2020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5</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高锰酸钾消耗量</w:t>
            </w:r>
          </w:p>
        </w:tc>
        <w:tc>
          <w:tcPr>
            <w:tcW w:w="2391" w:type="dxa"/>
            <w:vMerge w:val="restart"/>
            <w:tcBorders>
              <w:top w:val="outset" w:color="auto" w:sz="6" w:space="0"/>
              <w:left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r>
              <w:rPr>
                <w:rFonts w:hint="eastAsia" w:asciiTheme="minorEastAsia" w:hAnsiTheme="minorEastAsia" w:eastAsiaTheme="minorEastAsia" w:cstheme="minorEastAsia"/>
                <w:i w:val="0"/>
                <w:iCs w:val="0"/>
                <w:caps w:val="0"/>
                <w:color w:val="333333"/>
                <w:spacing w:val="0"/>
                <w:sz w:val="21"/>
                <w:szCs w:val="21"/>
              </w:rPr>
              <w:t>GB 4806.7-2016</w:t>
            </w: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GB 31604.2-2016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34"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6</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重金属</w:t>
            </w:r>
          </w:p>
        </w:tc>
        <w:tc>
          <w:tcPr>
            <w:tcW w:w="2391" w:type="dxa"/>
            <w:vMerge w:val="continue"/>
            <w:tcBorders>
              <w:left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GB 31604.9-2016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Ex>
        <w:trPr>
          <w:trHeight w:val="648" w:hRule="atLeast"/>
        </w:trPr>
        <w:tc>
          <w:tcPr>
            <w:tcW w:w="815"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color w:val="333333"/>
                <w:sz w:val="21"/>
                <w:szCs w:val="21"/>
              </w:rPr>
              <w:t>7</w:t>
            </w:r>
          </w:p>
        </w:tc>
        <w:tc>
          <w:tcPr>
            <w:tcW w:w="177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脱色试验</w:t>
            </w:r>
          </w:p>
        </w:tc>
        <w:tc>
          <w:tcPr>
            <w:tcW w:w="2391" w:type="dxa"/>
            <w:vMerge w:val="continue"/>
            <w:tcBorders>
              <w:left w:val="outset" w:color="auto" w:sz="6" w:space="0"/>
              <w:bottom w:val="outset" w:color="auto" w:sz="6" w:space="0"/>
              <w:right w:val="outset" w:color="auto" w:sz="6" w:space="0"/>
            </w:tcBorders>
            <w:shd w:val="clear" w:color="auto" w:fill="auto"/>
            <w:vAlign w:val="center"/>
          </w:tcPr>
          <w:p>
            <w:pPr>
              <w:keepNext w:val="0"/>
              <w:keepLines w:val="0"/>
              <w:pageBreakBefore w:val="0"/>
              <w:kinsoku/>
              <w:wordWrap/>
              <w:overflowPunct/>
              <w:topLinePunct w:val="0"/>
              <w:autoSpaceDE/>
              <w:autoSpaceDN/>
              <w:bidi w:val="0"/>
              <w:spacing w:line="400" w:lineRule="exact"/>
              <w:jc w:val="center"/>
              <w:textAlignment w:val="auto"/>
              <w:rPr>
                <w:rFonts w:hint="eastAsia" w:asciiTheme="minorEastAsia" w:hAnsiTheme="minorEastAsia" w:eastAsiaTheme="minorEastAsia" w:cstheme="minorEastAsia"/>
                <w:color w:val="333333"/>
                <w:sz w:val="21"/>
                <w:szCs w:val="21"/>
              </w:rPr>
            </w:pPr>
          </w:p>
        </w:tc>
        <w:tc>
          <w:tcPr>
            <w:tcW w:w="3159" w:type="dxa"/>
            <w:tcBorders>
              <w:top w:val="outset" w:color="auto" w:sz="6" w:space="0"/>
              <w:left w:val="outset" w:color="auto" w:sz="6" w:space="0"/>
              <w:bottom w:val="outset" w:color="auto" w:sz="6" w:space="0"/>
              <w:right w:val="outset" w:color="auto" w:sz="6" w:space="0"/>
            </w:tcBorders>
            <w:shd w:val="clear" w:color="auto" w:fill="auto"/>
            <w:vAlign w:val="center"/>
          </w:tcPr>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leftChars="0" w:right="0" w:rightChars="0"/>
              <w:jc w:val="center"/>
              <w:textAlignment w:val="auto"/>
              <w:rPr>
                <w:rFonts w:hint="eastAsia" w:asciiTheme="minorEastAsia" w:hAnsiTheme="minorEastAsia" w:eastAsiaTheme="minorEastAsia" w:cstheme="minorEastAsia"/>
                <w:color w:val="333333"/>
                <w:kern w:val="0"/>
                <w:sz w:val="21"/>
                <w:szCs w:val="21"/>
                <w:lang w:val="en-US" w:eastAsia="zh-CN" w:bidi="ar"/>
              </w:rPr>
            </w:pPr>
            <w:r>
              <w:rPr>
                <w:rFonts w:hint="eastAsia" w:asciiTheme="minorEastAsia" w:hAnsiTheme="minorEastAsia" w:eastAsiaTheme="minorEastAsia" w:cstheme="minorEastAsia"/>
                <w:color w:val="333333"/>
                <w:sz w:val="21"/>
                <w:szCs w:val="21"/>
                <w:lang w:val="en-US" w:eastAsia="zh-CN"/>
              </w:rPr>
              <w:t>GB 31604.7-2016</w:t>
            </w:r>
          </w:p>
        </w:tc>
      </w:tr>
    </w:tbl>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right="0"/>
        <w:textAlignment w:val="auto"/>
        <w:rPr>
          <w:rFonts w:hint="eastAsia" w:asciiTheme="minorEastAsia" w:hAnsiTheme="minorEastAsia" w:eastAsiaTheme="minorEastAsia" w:cstheme="minorEastAsia"/>
          <w:b/>
          <w:bCs/>
          <w:sz w:val="21"/>
          <w:szCs w:val="21"/>
        </w:rPr>
      </w:pPr>
      <w:r>
        <w:rPr>
          <w:rFonts w:hint="eastAsia" w:asciiTheme="minorEastAsia" w:hAnsiTheme="minorEastAsia" w:cstheme="minorEastAsia"/>
          <w:b/>
          <w:bCs/>
          <w:i w:val="0"/>
          <w:iCs w:val="0"/>
          <w:caps w:val="0"/>
          <w:color w:val="333333"/>
          <w:spacing w:val="0"/>
          <w:sz w:val="21"/>
          <w:szCs w:val="21"/>
          <w:lang w:val="en-US" w:eastAsia="zh-CN"/>
        </w:rPr>
        <w:t>3</w:t>
      </w:r>
      <w:r>
        <w:rPr>
          <w:rFonts w:hint="eastAsia" w:ascii="黑体" w:hAnsi="黑体" w:eastAsia="黑体" w:cs="黑体"/>
          <w:b/>
          <w:bCs/>
          <w:i w:val="0"/>
          <w:iCs w:val="0"/>
          <w:caps w:val="0"/>
          <w:color w:val="333333"/>
          <w:spacing w:val="0"/>
          <w:sz w:val="21"/>
          <w:szCs w:val="21"/>
          <w:lang w:val="en-US" w:eastAsia="zh-CN"/>
        </w:rPr>
        <w:t xml:space="preserve"> </w:t>
      </w:r>
      <w:r>
        <w:rPr>
          <w:rFonts w:hint="eastAsia" w:ascii="黑体" w:hAnsi="黑体" w:eastAsia="黑体" w:cs="黑体"/>
          <w:b/>
          <w:bCs/>
          <w:i w:val="0"/>
          <w:iCs w:val="0"/>
          <w:caps w:val="0"/>
          <w:color w:val="333333"/>
          <w:spacing w:val="0"/>
          <w:sz w:val="21"/>
          <w:szCs w:val="21"/>
        </w:rPr>
        <w:t>判定规则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sz w:val="21"/>
          <w:szCs w:val="21"/>
        </w:rPr>
      </w:pPr>
      <w:r>
        <w:rPr>
          <w:rFonts w:hint="eastAsia" w:asciiTheme="minorEastAsia" w:hAnsiTheme="minorEastAsia" w:cstheme="minorEastAsia"/>
          <w:i w:val="0"/>
          <w:iCs w:val="0"/>
          <w:caps w:val="0"/>
          <w:color w:val="333333"/>
          <w:spacing w:val="0"/>
          <w:sz w:val="21"/>
          <w:szCs w:val="21"/>
          <w:lang w:val="en-US" w:eastAsia="zh-CN"/>
        </w:rPr>
        <w:t>3</w:t>
      </w:r>
      <w:r>
        <w:rPr>
          <w:rFonts w:hint="eastAsia" w:asciiTheme="minorEastAsia" w:hAnsiTheme="minorEastAsia" w:eastAsiaTheme="minorEastAsia" w:cstheme="minorEastAsia"/>
          <w:i w:val="0"/>
          <w:iCs w:val="0"/>
          <w:caps w:val="0"/>
          <w:color w:val="333333"/>
          <w:spacing w:val="0"/>
          <w:sz w:val="21"/>
          <w:szCs w:val="21"/>
        </w:rPr>
        <w:t>.1 依据标准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iCs w:val="0"/>
          <w:caps w:val="0"/>
          <w:color w:val="333333"/>
          <w:spacing w:val="0"/>
          <w:sz w:val="21"/>
          <w:szCs w:val="21"/>
        </w:rPr>
        <w:t>凡是注日期的文件，其随后所有的修改单(不包括勘误的内容)或修订版不适用于本细则。凡是不注日期的文件，其最新版本适用于本细则。</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rPr>
      </w:pPr>
      <w:r>
        <w:rPr>
          <w:rFonts w:hint="eastAsia" w:asciiTheme="minorEastAsia" w:hAnsiTheme="minorEastAsia" w:eastAsiaTheme="minorEastAsia" w:cstheme="minorEastAsia"/>
          <w:i w:val="0"/>
          <w:iCs w:val="0"/>
          <w:caps w:val="0"/>
          <w:color w:val="333333"/>
          <w:spacing w:val="0"/>
          <w:sz w:val="21"/>
          <w:szCs w:val="21"/>
        </w:rPr>
        <w:t>GB/T 21661-2020《塑料购物袋》</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i w:val="0"/>
          <w:iCs w:val="0"/>
          <w:caps w:val="0"/>
          <w:color w:val="333333"/>
          <w:spacing w:val="0"/>
          <w:sz w:val="21"/>
          <w:szCs w:val="21"/>
          <w:lang w:eastAsia="zh-CN"/>
        </w:rPr>
      </w:pPr>
      <w:r>
        <w:rPr>
          <w:rFonts w:hint="eastAsia" w:asciiTheme="minorEastAsia" w:hAnsiTheme="minorEastAsia" w:eastAsiaTheme="minorEastAsia" w:cstheme="minorEastAsia"/>
          <w:i w:val="0"/>
          <w:iCs w:val="0"/>
          <w:caps w:val="0"/>
          <w:color w:val="333333"/>
          <w:spacing w:val="0"/>
          <w:sz w:val="21"/>
          <w:szCs w:val="21"/>
        </w:rPr>
        <w:t>GB 4806.7-2016</w:t>
      </w:r>
      <w:r>
        <w:rPr>
          <w:rFonts w:hint="eastAsia" w:asciiTheme="minorEastAsia" w:hAnsiTheme="minorEastAsia" w:eastAsiaTheme="minorEastAsia" w:cstheme="minorEastAsia"/>
          <w:i w:val="0"/>
          <w:iCs w:val="0"/>
          <w:caps w:val="0"/>
          <w:color w:val="333333"/>
          <w:spacing w:val="0"/>
          <w:sz w:val="21"/>
          <w:szCs w:val="21"/>
          <w:lang w:eastAsia="zh-CN"/>
        </w:rPr>
        <w:t>《</w:t>
      </w:r>
      <w:r>
        <w:rPr>
          <w:rFonts w:hint="eastAsia" w:asciiTheme="minorEastAsia" w:hAnsiTheme="minorEastAsia" w:eastAsiaTheme="minorEastAsia" w:cstheme="minorEastAsia"/>
          <w:i w:val="0"/>
          <w:iCs w:val="0"/>
          <w:caps w:val="0"/>
          <w:color w:val="333333"/>
          <w:spacing w:val="0"/>
          <w:sz w:val="21"/>
          <w:szCs w:val="21"/>
        </w:rPr>
        <w:t>食品安全国家标准 食品接触用塑料材料及制品</w:t>
      </w:r>
      <w:r>
        <w:rPr>
          <w:rFonts w:hint="eastAsia" w:asciiTheme="minorEastAsia" w:hAnsiTheme="minorEastAsia" w:eastAsiaTheme="minorEastAsia" w:cstheme="minorEastAsia"/>
          <w:i w:val="0"/>
          <w:iCs w:val="0"/>
          <w:caps w:val="0"/>
          <w:color w:val="333333"/>
          <w:spacing w:val="0"/>
          <w:sz w:val="21"/>
          <w:szCs w:val="21"/>
          <w:lang w:eastAsia="zh-CN"/>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spacing w:before="0" w:beforeAutospacing="0" w:after="0" w:afterAutospacing="0" w:line="400" w:lineRule="exact"/>
        <w:ind w:left="0" w:right="0" w:firstLine="42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i w:val="0"/>
          <w:iCs w:val="0"/>
          <w:caps w:val="0"/>
          <w:color w:val="333333"/>
          <w:spacing w:val="0"/>
          <w:sz w:val="21"/>
          <w:szCs w:val="21"/>
        </w:rPr>
        <w:t>产品明示质量指标及国家法律、法规、规章的有关规定</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b w:val="0"/>
          <w:bCs/>
          <w:color w:val="000000"/>
          <w:sz w:val="21"/>
          <w:szCs w:val="21"/>
        </w:rPr>
      </w:pPr>
      <w:r>
        <w:rPr>
          <w:rFonts w:hint="eastAsia" w:asciiTheme="minorEastAsia" w:hAnsiTheme="minorEastAsia" w:cstheme="minorEastAsia"/>
          <w:b w:val="0"/>
          <w:bCs/>
          <w:color w:val="000000"/>
          <w:sz w:val="21"/>
          <w:szCs w:val="21"/>
          <w:lang w:val="en-US" w:eastAsia="zh-CN"/>
        </w:rPr>
        <w:t>3</w:t>
      </w:r>
      <w:r>
        <w:rPr>
          <w:rFonts w:hint="eastAsia" w:asciiTheme="minorEastAsia" w:hAnsiTheme="minorEastAsia" w:eastAsiaTheme="minorEastAsia" w:cstheme="minorEastAsia"/>
          <w:b w:val="0"/>
          <w:bCs/>
          <w:color w:val="000000"/>
          <w:sz w:val="21"/>
          <w:szCs w:val="21"/>
        </w:rPr>
        <w:t>.2判定原则</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经检验，检验项目全部合格，判定为被抽查产品合格；检验项目中任一项或一项以上不合格，判定为被抽查产品不合格。</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若被检产品明示的质量要求高于本细则中检验项目依据的标准要求时，应按被检产品明示的质量要求判定。</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若被检产品明示的质量要求低于本细则中检验项目依据的强制性标准要求时，应按照强制性标准要求判定。</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若被检产品明示的质量要求低于或包含细则中检验项目依据的推荐性标准要求时，应以被检产品明示的质量要求判定，但应在检验报告备注中进行说明。</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color w:val="000000"/>
          <w:sz w:val="21"/>
          <w:szCs w:val="21"/>
        </w:rPr>
      </w:pPr>
      <w:r>
        <w:rPr>
          <w:rFonts w:hint="eastAsia" w:asciiTheme="minorEastAsia" w:hAnsiTheme="minorEastAsia" w:eastAsiaTheme="minorEastAsia" w:cstheme="minorEastAsia"/>
          <w:color w:val="000000"/>
          <w:sz w:val="21"/>
          <w:szCs w:val="21"/>
        </w:rPr>
        <w:t>若被检产品明示的质量要求缺少本细则中检验项目依据的强制性标准要求时，应按照强制性标准要求判定。</w:t>
      </w:r>
    </w:p>
    <w:p>
      <w:pPr>
        <w:keepNext w:val="0"/>
        <w:keepLines w:val="0"/>
        <w:pageBreakBefore w:val="0"/>
        <w:kinsoku/>
        <w:wordWrap/>
        <w:overflowPunct/>
        <w:topLinePunct w:val="0"/>
        <w:autoSpaceDE/>
        <w:autoSpaceDN/>
        <w:bidi w:val="0"/>
        <w:adjustRightInd w:val="0"/>
        <w:snapToGrid w:val="0"/>
        <w:spacing w:line="400" w:lineRule="exact"/>
        <w:ind w:firstLine="420" w:firstLineChars="200"/>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color w:val="000000"/>
          <w:sz w:val="21"/>
          <w:szCs w:val="21"/>
        </w:rPr>
        <w:t>若被检产品明示的质量要求缺少本细则中检验项目依据的推荐性标准要求时，该项目不参与判</w:t>
      </w:r>
      <w:r>
        <w:rPr>
          <w:rFonts w:hint="eastAsia" w:asciiTheme="minorEastAsia" w:hAnsiTheme="minorEastAsia" w:eastAsiaTheme="minorEastAsia" w:cstheme="minorEastAsia"/>
          <w:bCs/>
          <w:color w:val="000000"/>
          <w:sz w:val="21"/>
          <w:szCs w:val="21"/>
        </w:rPr>
        <w:t>定，但应在检验报告备注中进行说明。</w:t>
      </w:r>
    </w:p>
    <w:p>
      <w:pPr>
        <w:keepNext w:val="0"/>
        <w:keepLines w:val="0"/>
        <w:pageBreakBefore w:val="0"/>
        <w:kinsoku/>
        <w:wordWrap/>
        <w:overflowPunct/>
        <w:topLinePunct w:val="0"/>
        <w:autoSpaceDE/>
        <w:autoSpaceDN/>
        <w:bidi w:val="0"/>
        <w:snapToGrid w:val="0"/>
        <w:spacing w:line="400" w:lineRule="exact"/>
        <w:ind w:firstLine="417" w:firstLineChars="199"/>
        <w:textAlignment w:val="auto"/>
        <w:rPr>
          <w:rFonts w:hint="eastAsia" w:asciiTheme="minorEastAsia" w:hAnsiTheme="minorEastAsia" w:eastAsiaTheme="minorEastAsia" w:cstheme="minorEastAsia"/>
          <w:color w:val="000000"/>
          <w:sz w:val="21"/>
          <w:szCs w:val="21"/>
        </w:rPr>
      </w:pPr>
    </w:p>
    <w:p>
      <w:pPr>
        <w:keepNext w:val="0"/>
        <w:keepLines w:val="0"/>
        <w:pageBreakBefore w:val="0"/>
        <w:kinsoku/>
        <w:wordWrap/>
        <w:overflowPunct/>
        <w:topLinePunct w:val="0"/>
        <w:autoSpaceDE/>
        <w:autoSpaceDN/>
        <w:bidi w:val="0"/>
        <w:snapToGrid w:val="0"/>
        <w:spacing w:line="400" w:lineRule="exact"/>
        <w:textAlignment w:val="auto"/>
        <w:rPr>
          <w:rFonts w:hint="eastAsia" w:asciiTheme="minorEastAsia" w:hAnsiTheme="minorEastAsia" w:eastAsiaTheme="minorEastAsia" w:cstheme="minorEastAsia"/>
          <w:b/>
          <w:bCs/>
          <w:i w:val="0"/>
          <w:iCs w:val="0"/>
          <w:caps w:val="0"/>
          <w:color w:val="333333"/>
          <w:spacing w:val="0"/>
          <w:kern w:val="0"/>
          <w:sz w:val="21"/>
          <w:szCs w:val="21"/>
          <w:lang w:val="en-US" w:eastAsia="zh-CN" w:bidi="ar"/>
        </w:rPr>
      </w:pPr>
      <w:r>
        <w:rPr>
          <w:rFonts w:hint="eastAsia" w:asciiTheme="minorEastAsia" w:hAnsiTheme="minorEastAsia" w:eastAsiaTheme="minorEastAsia" w:cstheme="minorEastAsia"/>
          <w:color w:val="000000"/>
          <w:sz w:val="21"/>
          <w:szCs w:val="21"/>
          <w:u w:val="single"/>
        </w:rPr>
        <w:t xml:space="preserve">                    </w:t>
      </w:r>
      <w:r>
        <w:rPr>
          <w:rFonts w:hint="eastAsia" w:asciiTheme="minorEastAsia" w:hAnsiTheme="minorEastAsia" w:cstheme="minorEastAsia"/>
          <w:color w:val="000000"/>
          <w:sz w:val="21"/>
          <w:szCs w:val="21"/>
          <w:u w:val="single"/>
          <w:lang w:val="en-US" w:eastAsia="zh-CN"/>
        </w:rPr>
        <w:t xml:space="preserve">                   </w:t>
      </w:r>
      <w:bookmarkStart w:id="0" w:name="_GoBack"/>
      <w:bookmarkEnd w:id="0"/>
      <w:r>
        <w:rPr>
          <w:rFonts w:hint="eastAsia" w:asciiTheme="minorEastAsia" w:hAnsiTheme="minorEastAsia" w:cstheme="minorEastAsia"/>
          <w:color w:val="000000"/>
          <w:sz w:val="21"/>
          <w:szCs w:val="21"/>
          <w:u w:val="single"/>
          <w:lang w:val="en-US" w:eastAsia="zh-CN"/>
        </w:rPr>
        <w:t xml:space="preserve">                                </w:t>
      </w:r>
      <w:r>
        <w:rPr>
          <w:rFonts w:hint="eastAsia" w:asciiTheme="minorEastAsia" w:hAnsiTheme="minorEastAsia" w:eastAsiaTheme="minorEastAsia" w:cstheme="minorEastAsia"/>
          <w:color w:val="000000"/>
          <w:sz w:val="21"/>
          <w:szCs w:val="21"/>
          <w:u w:val="singl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ZkNTBiMjVkYzg1MzNjMTAwZDZkZWUwZmExYTM2YzcifQ=="/>
  </w:docVars>
  <w:rsids>
    <w:rsidRoot w:val="71F71821"/>
    <w:rsid w:val="0CC37993"/>
    <w:rsid w:val="1CA71D45"/>
    <w:rsid w:val="243E0CAB"/>
    <w:rsid w:val="2935022C"/>
    <w:rsid w:val="43591211"/>
    <w:rsid w:val="43D015FE"/>
    <w:rsid w:val="48F77437"/>
    <w:rsid w:val="4F5B4955"/>
    <w:rsid w:val="71F718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5</TotalTime>
  <ScaleCrop>false</ScaleCrop>
  <LinksUpToDate>false</LinksUpToDate>
  <CharactersWithSpaces>0</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2024-06-14T03:11:00Z</dcterms:created>
  <dc:creator>宝爸</dc:creator>
  <cp:lastModifiedBy>Administrator</cp:lastModifiedBy>
  <dcterms:modified xsi:type="dcterms:W3CDTF">2024-07-11T11:25:33Z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5ECDBD2C89F84439BA8F266DB8EC4991_11</vt:lpwstr>
  </property>
</Properties>
</file>