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b/>
          <w:color w:val="auto"/>
          <w:kern w:val="0"/>
          <w:sz w:val="52"/>
          <w:szCs w:val="52"/>
        </w:rPr>
      </w:pPr>
      <w:r>
        <w:rPr>
          <w:rFonts w:ascii="微软雅黑" w:hAnsi="微软雅黑" w:eastAsia="微软雅黑"/>
          <w:b/>
          <w:bCs/>
          <w:color w:val="auto"/>
          <w:kern w:val="0"/>
          <w:sz w:val="23"/>
          <w:szCs w:val="23"/>
          <w:shd w:val="clear" w:color="auto" w:fill="FFFFFF"/>
        </w:rPr>
        <w:drawing>
          <wp:inline distT="0" distB="0" distL="0" distR="0">
            <wp:extent cx="852805" cy="988695"/>
            <wp:effectExtent l="0" t="0" r="0" b="0"/>
            <wp:docPr id="3" name="图片 1" descr="创禹订阅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创禹订阅号"/>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852805" cy="988695"/>
                    </a:xfrm>
                    <a:prstGeom prst="rect">
                      <a:avLst/>
                    </a:prstGeom>
                    <a:noFill/>
                    <a:ln>
                      <a:noFill/>
                    </a:ln>
                  </pic:spPr>
                </pic:pic>
              </a:graphicData>
            </a:graphic>
          </wp:inline>
        </w:drawing>
      </w:r>
    </w:p>
    <w:p>
      <w:pPr>
        <w:rPr>
          <w:b/>
          <w:color w:val="auto"/>
          <w:kern w:val="0"/>
          <w:sz w:val="52"/>
          <w:szCs w:val="52"/>
        </w:rPr>
      </w:pPr>
    </w:p>
    <w:p>
      <w:pPr>
        <w:rPr>
          <w:rFonts w:eastAsia="黑体"/>
          <w:b/>
          <w:bCs/>
          <w:color w:val="auto"/>
          <w:kern w:val="0"/>
          <w:sz w:val="56"/>
          <w:szCs w:val="56"/>
        </w:rPr>
      </w:pPr>
    </w:p>
    <w:p>
      <w:pPr>
        <w:jc w:val="center"/>
        <w:rPr>
          <w:rFonts w:eastAsia="黑体"/>
          <w:b/>
          <w:bCs/>
          <w:color w:val="auto"/>
          <w:kern w:val="0"/>
          <w:sz w:val="56"/>
          <w:szCs w:val="56"/>
        </w:rPr>
      </w:pPr>
      <w:r>
        <w:rPr>
          <w:rFonts w:eastAsia="黑体"/>
          <w:b/>
          <w:bCs/>
          <w:color w:val="auto"/>
          <w:kern w:val="0"/>
          <w:sz w:val="56"/>
          <w:szCs w:val="56"/>
        </w:rPr>
        <w:t>建设项目环境影响报告表</w:t>
      </w:r>
    </w:p>
    <w:p>
      <w:pPr>
        <w:jc w:val="center"/>
        <w:rPr>
          <w:b/>
          <w:color w:val="auto"/>
          <w:kern w:val="0"/>
          <w:sz w:val="52"/>
          <w:szCs w:val="52"/>
        </w:rPr>
      </w:pPr>
    </w:p>
    <w:p>
      <w:pPr>
        <w:jc w:val="center"/>
        <w:rPr>
          <w:b/>
          <w:color w:val="auto"/>
          <w:kern w:val="0"/>
          <w:sz w:val="52"/>
          <w:szCs w:val="52"/>
        </w:rPr>
      </w:pPr>
    </w:p>
    <w:p>
      <w:pPr>
        <w:pStyle w:val="2"/>
        <w:rPr>
          <w:b/>
          <w:color w:val="auto"/>
          <w:kern w:val="0"/>
          <w:sz w:val="52"/>
          <w:szCs w:val="52"/>
        </w:rPr>
      </w:pPr>
    </w:p>
    <w:p>
      <w:pPr>
        <w:rPr>
          <w:b/>
          <w:color w:val="auto"/>
          <w:kern w:val="0"/>
          <w:sz w:val="52"/>
          <w:szCs w:val="52"/>
        </w:rPr>
      </w:pPr>
    </w:p>
    <w:p>
      <w:pPr>
        <w:pStyle w:val="2"/>
        <w:rPr>
          <w:color w:val="auto"/>
        </w:rPr>
      </w:pPr>
    </w:p>
    <w:p>
      <w:pPr>
        <w:ind w:right="-86" w:rightChars="-41"/>
        <w:jc w:val="distribute"/>
        <w:rPr>
          <w:rFonts w:hint="eastAsia"/>
          <w:b/>
          <w:color w:val="auto"/>
          <w:spacing w:val="0"/>
          <w:sz w:val="32"/>
          <w:szCs w:val="32"/>
          <w:u w:val="single"/>
          <w:lang w:eastAsia="zh-CN"/>
        </w:rPr>
      </w:pPr>
      <w:r>
        <w:rPr>
          <w:rFonts w:hint="eastAsia"/>
          <w:b/>
          <w:color w:val="auto"/>
          <w:spacing w:val="20"/>
          <w:sz w:val="32"/>
          <w:szCs w:val="32"/>
          <w:u w:val="none"/>
          <w:lang w:eastAsia="zh-CN"/>
        </w:rPr>
        <w:t>项目名称：</w:t>
      </w:r>
      <w:r>
        <w:rPr>
          <w:rFonts w:hint="eastAsia"/>
          <w:b/>
          <w:color w:val="auto"/>
          <w:spacing w:val="0"/>
          <w:sz w:val="32"/>
          <w:szCs w:val="32"/>
          <w:u w:val="single"/>
          <w:lang w:eastAsia="zh-CN"/>
        </w:rPr>
        <w:t>新疆巩留县久达鞋业有限责任公司鞋子生产项目</w:t>
      </w:r>
    </w:p>
    <w:p>
      <w:pPr>
        <w:pStyle w:val="2"/>
        <w:ind w:left="0" w:leftChars="0" w:firstLine="0" w:firstLineChars="0"/>
        <w:rPr>
          <w:rFonts w:hint="eastAsia"/>
          <w:color w:val="auto"/>
          <w:u w:val="none"/>
          <w:lang w:eastAsia="zh-CN"/>
        </w:rPr>
      </w:pPr>
      <w:r>
        <w:rPr>
          <w:rFonts w:hint="eastAsia"/>
          <w:b/>
          <w:color w:val="auto"/>
          <w:spacing w:val="20"/>
          <w:sz w:val="32"/>
          <w:szCs w:val="32"/>
          <w:u w:val="none"/>
          <w:lang w:eastAsia="zh-CN"/>
        </w:rPr>
        <w:t>建设单位：</w:t>
      </w:r>
      <w:r>
        <w:rPr>
          <w:rFonts w:hint="eastAsia"/>
          <w:b/>
          <w:color w:val="auto"/>
          <w:spacing w:val="20"/>
          <w:sz w:val="32"/>
          <w:szCs w:val="32"/>
          <w:u w:val="single"/>
          <w:lang w:eastAsia="zh-CN"/>
        </w:rPr>
        <w:t>巩留县久达鞋业有限责任公司</w:t>
      </w:r>
    </w:p>
    <w:p>
      <w:pPr>
        <w:ind w:right="-86" w:rightChars="-41"/>
        <w:rPr>
          <w:b/>
          <w:color w:val="auto"/>
          <w:spacing w:val="20"/>
          <w:sz w:val="52"/>
          <w:szCs w:val="52"/>
          <w:u w:val="single"/>
        </w:rPr>
      </w:pPr>
    </w:p>
    <w:p>
      <w:pPr>
        <w:ind w:right="-86" w:rightChars="-41"/>
        <w:rPr>
          <w:b/>
          <w:color w:val="auto"/>
          <w:spacing w:val="20"/>
          <w:sz w:val="52"/>
          <w:szCs w:val="52"/>
          <w:u w:val="single"/>
        </w:rPr>
      </w:pPr>
    </w:p>
    <w:p>
      <w:pPr>
        <w:ind w:right="-86" w:rightChars="-41"/>
        <w:rPr>
          <w:b/>
          <w:color w:val="auto"/>
          <w:spacing w:val="20"/>
          <w:sz w:val="52"/>
          <w:szCs w:val="52"/>
          <w:u w:val="single"/>
        </w:rPr>
      </w:pPr>
    </w:p>
    <w:p>
      <w:pPr>
        <w:ind w:right="-86" w:rightChars="-41"/>
        <w:rPr>
          <w:b/>
          <w:color w:val="auto"/>
          <w:spacing w:val="20"/>
          <w:sz w:val="52"/>
          <w:szCs w:val="52"/>
          <w:u w:val="single"/>
        </w:rPr>
      </w:pPr>
    </w:p>
    <w:p>
      <w:pPr>
        <w:ind w:right="-86" w:rightChars="-41"/>
        <w:rPr>
          <w:b/>
          <w:color w:val="auto"/>
          <w:spacing w:val="20"/>
          <w:sz w:val="52"/>
          <w:szCs w:val="52"/>
          <w:u w:val="single"/>
        </w:rPr>
      </w:pPr>
    </w:p>
    <w:p>
      <w:pPr>
        <w:jc w:val="center"/>
        <w:rPr>
          <w:rFonts w:eastAsia="黑体"/>
          <w:b/>
          <w:color w:val="auto"/>
          <w:kern w:val="44"/>
          <w:sz w:val="30"/>
          <w:szCs w:val="30"/>
        </w:rPr>
      </w:pPr>
      <w:r>
        <w:rPr>
          <w:rFonts w:hint="eastAsia" w:ascii="黑体" w:hAnsi="黑体" w:eastAsia="黑体"/>
          <w:b/>
          <w:color w:val="auto"/>
          <w:kern w:val="44"/>
          <w:sz w:val="30"/>
          <w:szCs w:val="30"/>
        </w:rPr>
        <w:t>新疆</w:t>
      </w:r>
      <w:r>
        <w:rPr>
          <w:rFonts w:ascii="黑体" w:hAnsi="黑体" w:eastAsia="黑体"/>
          <w:b/>
          <w:color w:val="auto"/>
          <w:kern w:val="44"/>
          <w:sz w:val="30"/>
          <w:szCs w:val="30"/>
        </w:rPr>
        <w:t>创禹水利环境科技有限公司</w:t>
      </w:r>
    </w:p>
    <w:p>
      <w:pPr>
        <w:jc w:val="center"/>
        <w:rPr>
          <w:rFonts w:eastAsia="黑体"/>
          <w:b/>
          <w:color w:val="auto"/>
          <w:kern w:val="44"/>
          <w:sz w:val="30"/>
          <w:szCs w:val="30"/>
        </w:rPr>
        <w:sectPr>
          <w:headerReference r:id="rId4" w:type="first"/>
          <w:headerReference r:id="rId3" w:type="default"/>
          <w:footerReference r:id="rId5" w:type="default"/>
          <w:footerReference r:id="rId6" w:type="even"/>
          <w:pgSz w:w="11906" w:h="16838"/>
          <w:pgMar w:top="1418" w:right="1418" w:bottom="1701" w:left="1418" w:header="851" w:footer="992" w:gutter="0"/>
          <w:pgNumType w:start="1"/>
          <w:cols w:space="720" w:num="1"/>
          <w:titlePg/>
          <w:docGrid w:type="lines" w:linePitch="312" w:charSpace="0"/>
        </w:sectPr>
      </w:pPr>
      <w:r>
        <w:rPr>
          <w:rFonts w:eastAsia="黑体"/>
          <w:b/>
          <w:color w:val="auto"/>
          <w:kern w:val="44"/>
          <w:sz w:val="30"/>
          <w:szCs w:val="30"/>
        </w:rPr>
        <w:t>20</w:t>
      </w:r>
      <w:r>
        <w:rPr>
          <w:rFonts w:hint="eastAsia" w:eastAsia="黑体"/>
          <w:b/>
          <w:color w:val="auto"/>
          <w:kern w:val="44"/>
          <w:sz w:val="30"/>
          <w:szCs w:val="30"/>
        </w:rPr>
        <w:t>21</w:t>
      </w:r>
      <w:r>
        <w:rPr>
          <w:rFonts w:eastAsia="黑体"/>
          <w:b/>
          <w:color w:val="auto"/>
          <w:kern w:val="44"/>
          <w:sz w:val="30"/>
          <w:szCs w:val="30"/>
        </w:rPr>
        <w:t>年</w:t>
      </w:r>
      <w:r>
        <w:rPr>
          <w:rFonts w:hint="eastAsia" w:eastAsia="黑体"/>
          <w:b/>
          <w:color w:val="auto"/>
          <w:kern w:val="44"/>
          <w:sz w:val="30"/>
          <w:szCs w:val="30"/>
          <w:lang w:val="en-US" w:eastAsia="zh-CN"/>
        </w:rPr>
        <w:t>3</w:t>
      </w:r>
      <w:r>
        <w:rPr>
          <w:rFonts w:eastAsia="黑体"/>
          <w:b/>
          <w:color w:val="auto"/>
          <w:kern w:val="44"/>
          <w:sz w:val="30"/>
          <w:szCs w:val="30"/>
        </w:rPr>
        <w:t>月</w:t>
      </w:r>
    </w:p>
    <w:p>
      <w:pPr>
        <w:rPr>
          <w:rFonts w:eastAsia="黑体"/>
          <w:b/>
          <w:color w:val="auto"/>
          <w:kern w:val="44"/>
          <w:sz w:val="30"/>
          <w:szCs w:val="30"/>
        </w:rPr>
        <w:sectPr>
          <w:pgSz w:w="11906" w:h="16838"/>
          <w:pgMar w:top="1418" w:right="1418" w:bottom="1701" w:left="1418" w:header="851" w:footer="992" w:gutter="0"/>
          <w:pgNumType w:start="1"/>
          <w:cols w:space="720" w:num="1"/>
          <w:titlePg/>
          <w:docGrid w:type="lines" w:linePitch="312" w:charSpace="0"/>
        </w:sectPr>
      </w:pPr>
    </w:p>
    <w:p>
      <w:pPr>
        <w:spacing w:line="360" w:lineRule="auto"/>
        <w:jc w:val="center"/>
        <w:rPr>
          <w:bCs/>
          <w:color w:val="auto"/>
          <w:kern w:val="44"/>
          <w:sz w:val="30"/>
          <w:szCs w:val="30"/>
        </w:rPr>
      </w:pPr>
      <w:r>
        <w:rPr>
          <w:bCs/>
          <w:color w:val="auto"/>
          <w:kern w:val="44"/>
          <w:sz w:val="30"/>
          <w:szCs w:val="30"/>
        </w:rPr>
        <w:t>《建设项目环境影响报告表》编制说明</w:t>
      </w:r>
    </w:p>
    <w:p>
      <w:pPr>
        <w:spacing w:line="360" w:lineRule="auto"/>
        <w:ind w:firstLine="560" w:firstLineChars="200"/>
        <w:rPr>
          <w:bCs/>
          <w:color w:val="auto"/>
          <w:kern w:val="44"/>
          <w:sz w:val="28"/>
          <w:szCs w:val="28"/>
        </w:rPr>
      </w:pPr>
      <w:r>
        <w:rPr>
          <w:bCs/>
          <w:color w:val="auto"/>
          <w:kern w:val="44"/>
          <w:sz w:val="28"/>
          <w:szCs w:val="28"/>
        </w:rPr>
        <w:t>《建设项目环境影响报告表》由具有从事环境影响评价工作资质的单位编制。</w:t>
      </w:r>
    </w:p>
    <w:p>
      <w:pPr>
        <w:spacing w:line="360" w:lineRule="auto"/>
        <w:ind w:firstLine="560" w:firstLineChars="200"/>
        <w:rPr>
          <w:bCs/>
          <w:color w:val="auto"/>
          <w:kern w:val="44"/>
          <w:sz w:val="28"/>
          <w:szCs w:val="28"/>
        </w:rPr>
      </w:pPr>
      <w:r>
        <w:rPr>
          <w:bCs/>
          <w:color w:val="auto"/>
          <w:kern w:val="44"/>
          <w:sz w:val="28"/>
          <w:szCs w:val="28"/>
        </w:rPr>
        <w:t>1、项目名称——指项目立项批复时的名称，应不超过30个字（两个英文字段作一个汉字）。</w:t>
      </w:r>
    </w:p>
    <w:p>
      <w:pPr>
        <w:spacing w:line="360" w:lineRule="auto"/>
        <w:ind w:firstLine="560" w:firstLineChars="200"/>
        <w:rPr>
          <w:bCs/>
          <w:color w:val="auto"/>
          <w:kern w:val="44"/>
          <w:sz w:val="28"/>
          <w:szCs w:val="28"/>
        </w:rPr>
      </w:pPr>
      <w:r>
        <w:rPr>
          <w:bCs/>
          <w:color w:val="auto"/>
          <w:kern w:val="44"/>
          <w:sz w:val="28"/>
          <w:szCs w:val="28"/>
        </w:rPr>
        <w:t>2、建设地点——指项目所在地详细地址，公路、铁路应填写起止地点。</w:t>
      </w:r>
    </w:p>
    <w:p>
      <w:pPr>
        <w:spacing w:line="360" w:lineRule="auto"/>
        <w:ind w:firstLine="560" w:firstLineChars="200"/>
        <w:rPr>
          <w:bCs/>
          <w:color w:val="auto"/>
          <w:kern w:val="44"/>
          <w:sz w:val="28"/>
          <w:szCs w:val="28"/>
        </w:rPr>
      </w:pPr>
      <w:r>
        <w:rPr>
          <w:bCs/>
          <w:color w:val="auto"/>
          <w:kern w:val="44"/>
          <w:sz w:val="28"/>
          <w:szCs w:val="28"/>
        </w:rPr>
        <w:t>3、行业类别——按国标填写。</w:t>
      </w:r>
    </w:p>
    <w:p>
      <w:pPr>
        <w:spacing w:line="360" w:lineRule="auto"/>
        <w:ind w:firstLine="560" w:firstLineChars="200"/>
        <w:rPr>
          <w:bCs/>
          <w:color w:val="auto"/>
          <w:kern w:val="44"/>
          <w:sz w:val="28"/>
          <w:szCs w:val="28"/>
        </w:rPr>
      </w:pPr>
      <w:r>
        <w:rPr>
          <w:bCs/>
          <w:color w:val="auto"/>
          <w:kern w:val="44"/>
          <w:sz w:val="28"/>
          <w:szCs w:val="28"/>
        </w:rPr>
        <w:t>4、总投资——指项目投资总额。</w:t>
      </w:r>
    </w:p>
    <w:p>
      <w:pPr>
        <w:spacing w:line="360" w:lineRule="auto"/>
        <w:ind w:firstLine="560" w:firstLineChars="200"/>
        <w:rPr>
          <w:bCs/>
          <w:color w:val="auto"/>
          <w:kern w:val="44"/>
          <w:sz w:val="28"/>
          <w:szCs w:val="28"/>
        </w:rPr>
      </w:pPr>
      <w:r>
        <w:rPr>
          <w:bCs/>
          <w:color w:val="auto"/>
          <w:kern w:val="44"/>
          <w:sz w:val="28"/>
          <w:szCs w:val="28"/>
        </w:rPr>
        <w:t>5、主要环境保护目标——指项目区周围一定范围内集中居民住宅区、学校、医院、保护文物、风景名胜区、水源地和生态敏感点等，应尽可能给出保护目标、性质、规模和距厂界距离等。</w:t>
      </w:r>
    </w:p>
    <w:p>
      <w:pPr>
        <w:spacing w:line="360" w:lineRule="auto"/>
        <w:ind w:firstLine="560" w:firstLineChars="200"/>
        <w:rPr>
          <w:bCs/>
          <w:color w:val="auto"/>
          <w:kern w:val="44"/>
          <w:sz w:val="28"/>
          <w:szCs w:val="28"/>
        </w:rPr>
      </w:pPr>
      <w:r>
        <w:rPr>
          <w:bCs/>
          <w:color w:val="auto"/>
          <w:kern w:val="44"/>
          <w:sz w:val="28"/>
          <w:szCs w:val="28"/>
        </w:rPr>
        <w:t>6、结论与建议——给出本项目清洁生产、达标排放和总量控制的分析结论，确定污染防治措施的有效性，说明本项目对环境造成的影响，给出建设项目环境可行性的明确结论。同时提出减少环境影响的其他建议。</w:t>
      </w:r>
    </w:p>
    <w:p>
      <w:pPr>
        <w:spacing w:line="360" w:lineRule="auto"/>
        <w:ind w:firstLine="560" w:firstLineChars="200"/>
        <w:rPr>
          <w:bCs/>
          <w:color w:val="auto"/>
          <w:kern w:val="44"/>
          <w:sz w:val="28"/>
          <w:szCs w:val="28"/>
        </w:rPr>
      </w:pPr>
      <w:r>
        <w:rPr>
          <w:bCs/>
          <w:color w:val="auto"/>
          <w:kern w:val="44"/>
          <w:sz w:val="28"/>
          <w:szCs w:val="28"/>
        </w:rPr>
        <w:t>7、预审意见——由行业主管部门填写答复意见，无主管部门项目，可不填。</w:t>
      </w:r>
    </w:p>
    <w:p>
      <w:pPr>
        <w:spacing w:line="360" w:lineRule="auto"/>
        <w:ind w:firstLine="560" w:firstLineChars="200"/>
        <w:rPr>
          <w:bCs/>
          <w:color w:val="auto"/>
          <w:kern w:val="44"/>
          <w:sz w:val="28"/>
          <w:szCs w:val="28"/>
        </w:rPr>
      </w:pPr>
      <w:r>
        <w:rPr>
          <w:bCs/>
          <w:color w:val="auto"/>
          <w:kern w:val="44"/>
          <w:sz w:val="28"/>
          <w:szCs w:val="28"/>
        </w:rPr>
        <w:t>8、审批意见——由负责审批该项目的环境保护行政主管部门批复</w:t>
      </w: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sectPr>
          <w:headerReference r:id="rId8" w:type="first"/>
          <w:headerReference r:id="rId7" w:type="default"/>
          <w:footerReference r:id="rId9" w:type="default"/>
          <w:pgSz w:w="11906" w:h="16838"/>
          <w:pgMar w:top="1418" w:right="1418" w:bottom="1701" w:left="1418" w:header="851" w:footer="992" w:gutter="0"/>
          <w:pgNumType w:start="1"/>
          <w:cols w:space="720" w:num="1"/>
          <w:titlePg/>
          <w:docGrid w:type="lines" w:linePitch="312" w:charSpace="0"/>
        </w:sectPr>
      </w:pP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pPr>
    </w:p>
    <w:p>
      <w:pPr>
        <w:spacing w:line="360" w:lineRule="auto"/>
        <w:ind w:firstLine="560" w:firstLineChars="200"/>
        <w:rPr>
          <w:bCs/>
          <w:color w:val="auto"/>
          <w:kern w:val="44"/>
          <w:sz w:val="28"/>
          <w:szCs w:val="28"/>
        </w:rPr>
        <w:sectPr>
          <w:pgSz w:w="11906" w:h="16838"/>
          <w:pgMar w:top="1418" w:right="1418" w:bottom="1701" w:left="1418" w:header="851" w:footer="992" w:gutter="0"/>
          <w:pgNumType w:start="1"/>
          <w:cols w:space="720" w:num="1"/>
          <w:titlePg/>
          <w:docGrid w:type="lines" w:linePitch="312" w:charSpace="0"/>
        </w:sectPr>
      </w:pPr>
    </w:p>
    <w:p>
      <w:pPr>
        <w:pStyle w:val="6"/>
        <w:rPr>
          <w:rFonts w:eastAsia="黑体"/>
          <w:b w:val="0"/>
          <w:color w:val="auto"/>
          <w:sz w:val="30"/>
          <w:szCs w:val="30"/>
        </w:rPr>
      </w:pPr>
      <w:r>
        <w:rPr>
          <w:rFonts w:eastAsia="黑体"/>
          <w:b w:val="0"/>
          <w:color w:val="auto"/>
          <w:sz w:val="30"/>
          <w:szCs w:val="30"/>
        </w:rPr>
        <w:t>建设项目基本情况</w:t>
      </w:r>
    </w:p>
    <w:tbl>
      <w:tblPr>
        <w:tblStyle w:val="24"/>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91"/>
        <w:gridCol w:w="1827"/>
        <w:gridCol w:w="562"/>
        <w:gridCol w:w="924"/>
        <w:gridCol w:w="483"/>
        <w:gridCol w:w="1146"/>
        <w:gridCol w:w="71"/>
        <w:gridCol w:w="1019"/>
        <w:gridCol w:w="295"/>
        <w:gridCol w:w="1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791" w:type="dxa"/>
            <w:tcBorders>
              <w:top w:val="single" w:color="auto" w:sz="12" w:space="0"/>
              <w:left w:val="single" w:color="auto" w:sz="12" w:space="0"/>
            </w:tcBorders>
            <w:vAlign w:val="center"/>
          </w:tcPr>
          <w:p>
            <w:pPr>
              <w:spacing w:line="400" w:lineRule="exact"/>
              <w:jc w:val="center"/>
              <w:rPr>
                <w:color w:val="auto"/>
                <w:sz w:val="28"/>
              </w:rPr>
            </w:pPr>
            <w:r>
              <w:rPr>
                <w:color w:val="auto"/>
                <w:sz w:val="28"/>
              </w:rPr>
              <w:t>项目名称</w:t>
            </w:r>
          </w:p>
        </w:tc>
        <w:tc>
          <w:tcPr>
            <w:tcW w:w="7568" w:type="dxa"/>
            <w:gridSpan w:val="9"/>
            <w:tcBorders>
              <w:top w:val="single" w:color="auto" w:sz="12" w:space="0"/>
              <w:right w:val="single" w:color="auto" w:sz="12" w:space="0"/>
            </w:tcBorders>
            <w:vAlign w:val="center"/>
          </w:tcPr>
          <w:p>
            <w:pPr>
              <w:spacing w:line="400" w:lineRule="exact"/>
              <w:jc w:val="center"/>
              <w:rPr>
                <w:color w:val="auto"/>
                <w:sz w:val="28"/>
              </w:rPr>
            </w:pPr>
            <w:r>
              <w:rPr>
                <w:rFonts w:hint="eastAsia"/>
                <w:color w:val="auto"/>
                <w:sz w:val="28"/>
              </w:rPr>
              <w:t>新疆巩留县久达鞋业有限责任公司鞋子生产项目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建设单位</w:t>
            </w:r>
          </w:p>
        </w:tc>
        <w:tc>
          <w:tcPr>
            <w:tcW w:w="7568" w:type="dxa"/>
            <w:gridSpan w:val="9"/>
            <w:tcBorders>
              <w:right w:val="single" w:color="auto" w:sz="12" w:space="0"/>
            </w:tcBorders>
            <w:vAlign w:val="center"/>
          </w:tcPr>
          <w:p>
            <w:pPr>
              <w:spacing w:line="400" w:lineRule="exact"/>
              <w:jc w:val="center"/>
              <w:rPr>
                <w:color w:val="auto"/>
                <w:sz w:val="28"/>
                <w:szCs w:val="28"/>
              </w:rPr>
            </w:pPr>
            <w:r>
              <w:rPr>
                <w:rFonts w:hint="eastAsia"/>
                <w:color w:val="auto"/>
                <w:sz w:val="28"/>
              </w:rPr>
              <w:t>巩留县久达鞋业有限责任公司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法人代表</w:t>
            </w:r>
          </w:p>
        </w:tc>
        <w:tc>
          <w:tcPr>
            <w:tcW w:w="3313" w:type="dxa"/>
            <w:gridSpan w:val="3"/>
            <w:vAlign w:val="center"/>
          </w:tcPr>
          <w:p>
            <w:pPr>
              <w:spacing w:line="400" w:lineRule="exact"/>
              <w:jc w:val="center"/>
              <w:rPr>
                <w:color w:val="auto"/>
                <w:sz w:val="28"/>
                <w:szCs w:val="28"/>
              </w:rPr>
            </w:pPr>
            <w:r>
              <w:rPr>
                <w:rFonts w:hint="eastAsia"/>
                <w:color w:val="auto"/>
                <w:sz w:val="28"/>
                <w:szCs w:val="28"/>
              </w:rPr>
              <w:t>包晓龙</w:t>
            </w:r>
          </w:p>
        </w:tc>
        <w:tc>
          <w:tcPr>
            <w:tcW w:w="1629" w:type="dxa"/>
            <w:gridSpan w:val="2"/>
            <w:vAlign w:val="center"/>
          </w:tcPr>
          <w:p>
            <w:pPr>
              <w:spacing w:line="400" w:lineRule="exact"/>
              <w:jc w:val="center"/>
              <w:rPr>
                <w:color w:val="auto"/>
                <w:sz w:val="28"/>
                <w:szCs w:val="28"/>
              </w:rPr>
            </w:pPr>
            <w:r>
              <w:rPr>
                <w:color w:val="auto"/>
                <w:sz w:val="28"/>
                <w:szCs w:val="28"/>
              </w:rPr>
              <w:t>联系人</w:t>
            </w:r>
          </w:p>
        </w:tc>
        <w:tc>
          <w:tcPr>
            <w:tcW w:w="2626" w:type="dxa"/>
            <w:gridSpan w:val="4"/>
            <w:tcBorders>
              <w:right w:val="single" w:color="auto" w:sz="12" w:space="0"/>
            </w:tcBorders>
            <w:vAlign w:val="center"/>
          </w:tcPr>
          <w:p>
            <w:pPr>
              <w:spacing w:line="400" w:lineRule="exact"/>
              <w:jc w:val="center"/>
              <w:rPr>
                <w:color w:val="auto"/>
                <w:sz w:val="28"/>
                <w:szCs w:val="28"/>
                <w:highlight w:val="yellow"/>
              </w:rPr>
            </w:pPr>
            <w:r>
              <w:rPr>
                <w:rFonts w:hint="eastAsia"/>
                <w:color w:val="auto"/>
                <w:sz w:val="28"/>
                <w:szCs w:val="28"/>
              </w:rPr>
              <w:t>包晓龙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通讯地址</w:t>
            </w:r>
          </w:p>
        </w:tc>
        <w:tc>
          <w:tcPr>
            <w:tcW w:w="7568" w:type="dxa"/>
            <w:gridSpan w:val="9"/>
            <w:tcBorders>
              <w:right w:val="single" w:color="auto" w:sz="12" w:space="0"/>
            </w:tcBorders>
            <w:vAlign w:val="center"/>
          </w:tcPr>
          <w:p>
            <w:pPr>
              <w:spacing w:line="400" w:lineRule="exact"/>
              <w:jc w:val="center"/>
              <w:rPr>
                <w:color w:val="auto"/>
                <w:sz w:val="28"/>
                <w:szCs w:val="28"/>
              </w:rPr>
            </w:pPr>
            <w:r>
              <w:rPr>
                <w:rFonts w:hint="eastAsia"/>
                <w:color w:val="auto"/>
                <w:sz w:val="28"/>
                <w:szCs w:val="28"/>
              </w:rPr>
              <w:t>巩留县塔斯托别乡阔那塔木村塔斯托别路05号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联系电话</w:t>
            </w:r>
          </w:p>
        </w:tc>
        <w:tc>
          <w:tcPr>
            <w:tcW w:w="2389" w:type="dxa"/>
            <w:gridSpan w:val="2"/>
            <w:vAlign w:val="center"/>
          </w:tcPr>
          <w:p>
            <w:pPr>
              <w:spacing w:line="400" w:lineRule="exact"/>
              <w:jc w:val="center"/>
              <w:rPr>
                <w:color w:val="auto"/>
                <w:sz w:val="28"/>
                <w:szCs w:val="28"/>
              </w:rPr>
            </w:pPr>
            <w:r>
              <w:rPr>
                <w:rFonts w:hint="eastAsia"/>
                <w:color w:val="auto"/>
                <w:sz w:val="28"/>
                <w:szCs w:val="28"/>
              </w:rPr>
              <w:t>15699106218</w:t>
            </w:r>
          </w:p>
        </w:tc>
        <w:tc>
          <w:tcPr>
            <w:tcW w:w="924" w:type="dxa"/>
            <w:vAlign w:val="center"/>
          </w:tcPr>
          <w:p>
            <w:pPr>
              <w:spacing w:line="400" w:lineRule="exact"/>
              <w:jc w:val="center"/>
              <w:rPr>
                <w:color w:val="auto"/>
                <w:sz w:val="28"/>
                <w:szCs w:val="28"/>
              </w:rPr>
            </w:pPr>
            <w:r>
              <w:rPr>
                <w:color w:val="auto"/>
                <w:sz w:val="28"/>
                <w:szCs w:val="28"/>
              </w:rPr>
              <w:t>传真</w:t>
            </w:r>
          </w:p>
        </w:tc>
        <w:tc>
          <w:tcPr>
            <w:tcW w:w="1700" w:type="dxa"/>
            <w:gridSpan w:val="3"/>
            <w:vAlign w:val="center"/>
          </w:tcPr>
          <w:p>
            <w:pPr>
              <w:spacing w:line="400" w:lineRule="exact"/>
              <w:jc w:val="center"/>
              <w:rPr>
                <w:color w:val="auto"/>
                <w:sz w:val="28"/>
                <w:szCs w:val="28"/>
              </w:rPr>
            </w:pPr>
            <w:r>
              <w:rPr>
                <w:color w:val="auto"/>
                <w:sz w:val="28"/>
                <w:szCs w:val="28"/>
              </w:rPr>
              <w:t>/</w:t>
            </w:r>
          </w:p>
        </w:tc>
        <w:tc>
          <w:tcPr>
            <w:tcW w:w="1019" w:type="dxa"/>
            <w:vAlign w:val="center"/>
          </w:tcPr>
          <w:p>
            <w:pPr>
              <w:spacing w:line="400" w:lineRule="exact"/>
              <w:jc w:val="center"/>
              <w:rPr>
                <w:color w:val="auto"/>
                <w:sz w:val="28"/>
                <w:szCs w:val="28"/>
              </w:rPr>
            </w:pPr>
            <w:r>
              <w:rPr>
                <w:color w:val="auto"/>
                <w:sz w:val="28"/>
                <w:szCs w:val="28"/>
              </w:rPr>
              <w:t>邮政编码</w:t>
            </w:r>
          </w:p>
        </w:tc>
        <w:tc>
          <w:tcPr>
            <w:tcW w:w="1536" w:type="dxa"/>
            <w:gridSpan w:val="2"/>
            <w:tcBorders>
              <w:right w:val="single" w:color="auto" w:sz="12" w:space="0"/>
            </w:tcBorders>
            <w:vAlign w:val="center"/>
          </w:tcPr>
          <w:p>
            <w:pPr>
              <w:spacing w:line="400" w:lineRule="exact"/>
              <w:jc w:val="center"/>
              <w:rPr>
                <w:color w:val="auto"/>
                <w:sz w:val="28"/>
                <w:szCs w:val="28"/>
              </w:rPr>
            </w:pPr>
            <w:r>
              <w:rPr>
                <w:color w:val="auto"/>
                <w:sz w:val="28"/>
                <w:szCs w:val="28"/>
              </w:rPr>
              <w:t>835400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建设地点</w:t>
            </w:r>
          </w:p>
        </w:tc>
        <w:tc>
          <w:tcPr>
            <w:tcW w:w="7568" w:type="dxa"/>
            <w:gridSpan w:val="9"/>
            <w:tcBorders>
              <w:right w:val="single" w:color="auto" w:sz="12" w:space="0"/>
            </w:tcBorders>
            <w:vAlign w:val="center"/>
          </w:tcPr>
          <w:p>
            <w:pPr>
              <w:spacing w:line="400" w:lineRule="exact"/>
              <w:jc w:val="center"/>
              <w:rPr>
                <w:color w:val="auto"/>
                <w:spacing w:val="-4"/>
                <w:sz w:val="28"/>
                <w:szCs w:val="28"/>
              </w:rPr>
            </w:pPr>
            <w:r>
              <w:rPr>
                <w:rFonts w:hint="eastAsia"/>
                <w:color w:val="auto"/>
                <w:sz w:val="28"/>
                <w:szCs w:val="28"/>
              </w:rPr>
              <w:t>巩留县恰甫其海路南侧众帮苯板厂院内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立项审批</w:t>
            </w:r>
          </w:p>
          <w:p>
            <w:pPr>
              <w:spacing w:line="400" w:lineRule="exact"/>
              <w:jc w:val="center"/>
              <w:rPr>
                <w:color w:val="auto"/>
                <w:sz w:val="28"/>
                <w:szCs w:val="28"/>
              </w:rPr>
            </w:pPr>
            <w:r>
              <w:rPr>
                <w:color w:val="auto"/>
                <w:sz w:val="28"/>
                <w:szCs w:val="28"/>
              </w:rPr>
              <w:t>部门</w:t>
            </w:r>
          </w:p>
        </w:tc>
        <w:tc>
          <w:tcPr>
            <w:tcW w:w="3313" w:type="dxa"/>
            <w:gridSpan w:val="3"/>
            <w:vAlign w:val="center"/>
          </w:tcPr>
          <w:p>
            <w:pPr>
              <w:spacing w:line="400" w:lineRule="exact"/>
              <w:jc w:val="center"/>
              <w:rPr>
                <w:color w:val="auto"/>
                <w:sz w:val="28"/>
                <w:szCs w:val="28"/>
              </w:rPr>
            </w:pPr>
            <w:r>
              <w:rPr>
                <w:rFonts w:hint="eastAsia"/>
                <w:color w:val="auto"/>
                <w:sz w:val="28"/>
                <w:szCs w:val="28"/>
              </w:rPr>
              <w:t>巩留县发展和改革委员会</w:t>
            </w:r>
          </w:p>
        </w:tc>
        <w:tc>
          <w:tcPr>
            <w:tcW w:w="1700" w:type="dxa"/>
            <w:gridSpan w:val="3"/>
            <w:vAlign w:val="center"/>
          </w:tcPr>
          <w:p>
            <w:pPr>
              <w:spacing w:line="400" w:lineRule="exact"/>
              <w:jc w:val="center"/>
              <w:rPr>
                <w:color w:val="auto"/>
                <w:sz w:val="28"/>
                <w:szCs w:val="28"/>
              </w:rPr>
            </w:pPr>
            <w:r>
              <w:rPr>
                <w:color w:val="auto"/>
                <w:sz w:val="28"/>
                <w:szCs w:val="28"/>
              </w:rPr>
              <w:t>批准文号</w:t>
            </w:r>
          </w:p>
        </w:tc>
        <w:tc>
          <w:tcPr>
            <w:tcW w:w="2555" w:type="dxa"/>
            <w:gridSpan w:val="3"/>
            <w:tcBorders>
              <w:right w:val="single" w:color="auto" w:sz="12" w:space="0"/>
            </w:tcBorders>
            <w:vAlign w:val="center"/>
          </w:tcPr>
          <w:p>
            <w:pPr>
              <w:spacing w:line="400" w:lineRule="exact"/>
              <w:jc w:val="center"/>
              <w:rPr>
                <w:color w:val="auto"/>
                <w:sz w:val="28"/>
                <w:szCs w:val="28"/>
              </w:rPr>
            </w:pPr>
            <w:r>
              <w:rPr>
                <w:rFonts w:hint="eastAsia"/>
                <w:color w:val="auto"/>
                <w:sz w:val="28"/>
                <w:szCs w:val="28"/>
              </w:rPr>
              <w:t>巩发改备字〔2021〕1号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建设性质</w:t>
            </w:r>
          </w:p>
        </w:tc>
        <w:tc>
          <w:tcPr>
            <w:tcW w:w="3313" w:type="dxa"/>
            <w:gridSpan w:val="3"/>
            <w:vAlign w:val="center"/>
          </w:tcPr>
          <w:p>
            <w:pPr>
              <w:spacing w:line="400" w:lineRule="exact"/>
              <w:jc w:val="center"/>
              <w:rPr>
                <w:color w:val="auto"/>
                <w:sz w:val="28"/>
                <w:szCs w:val="28"/>
              </w:rPr>
            </w:pPr>
            <w:r>
              <w:rPr>
                <w:color w:val="auto"/>
                <w:sz w:val="28"/>
                <w:szCs w:val="28"/>
              </w:rPr>
              <w:t>新建</w:t>
            </w:r>
            <w:r>
              <w:rPr>
                <w:rFonts w:ascii="宋体" w:hAnsi="宋体"/>
                <w:color w:val="auto"/>
                <w:sz w:val="28"/>
                <w:szCs w:val="28"/>
              </w:rPr>
              <w:fldChar w:fldCharType="begin"/>
            </w:r>
            <w:r>
              <w:rPr>
                <w:rFonts w:ascii="宋体" w:hAnsi="宋体"/>
                <w:color w:val="auto"/>
                <w:sz w:val="28"/>
                <w:szCs w:val="28"/>
              </w:rPr>
              <w:instrText xml:space="preserve"> eq \o\ac(□,√)</w:instrText>
            </w:r>
            <w:r>
              <w:rPr>
                <w:rFonts w:ascii="宋体" w:hAnsi="宋体"/>
                <w:color w:val="auto"/>
                <w:sz w:val="28"/>
                <w:szCs w:val="28"/>
              </w:rPr>
              <w:fldChar w:fldCharType="end"/>
            </w:r>
            <w:r>
              <w:rPr>
                <w:color w:val="auto"/>
                <w:sz w:val="28"/>
                <w:szCs w:val="28"/>
              </w:rPr>
              <w:t>改扩建</w:t>
            </w:r>
            <w:r>
              <w:rPr>
                <w:rFonts w:ascii="宋体" w:hAnsi="宋体"/>
                <w:color w:val="auto"/>
                <w:sz w:val="28"/>
                <w:szCs w:val="28"/>
              </w:rPr>
              <w:t>□</w:t>
            </w:r>
            <w:r>
              <w:rPr>
                <w:color w:val="auto"/>
                <w:sz w:val="28"/>
                <w:szCs w:val="28"/>
              </w:rPr>
              <w:t>技改</w:t>
            </w:r>
            <w:r>
              <w:rPr>
                <w:rFonts w:ascii="宋体" w:hAnsi="宋体"/>
                <w:color w:val="auto"/>
                <w:sz w:val="28"/>
                <w:szCs w:val="28"/>
              </w:rPr>
              <w:t>□</w:t>
            </w:r>
          </w:p>
        </w:tc>
        <w:tc>
          <w:tcPr>
            <w:tcW w:w="1700" w:type="dxa"/>
            <w:gridSpan w:val="3"/>
            <w:vAlign w:val="center"/>
          </w:tcPr>
          <w:p>
            <w:pPr>
              <w:spacing w:line="400" w:lineRule="exact"/>
              <w:jc w:val="center"/>
              <w:rPr>
                <w:color w:val="auto"/>
                <w:sz w:val="28"/>
                <w:szCs w:val="28"/>
              </w:rPr>
            </w:pPr>
            <w:r>
              <w:rPr>
                <w:color w:val="auto"/>
                <w:sz w:val="28"/>
                <w:szCs w:val="28"/>
              </w:rPr>
              <w:t>行业类别</w:t>
            </w:r>
          </w:p>
          <w:p>
            <w:pPr>
              <w:spacing w:line="400" w:lineRule="exact"/>
              <w:jc w:val="center"/>
              <w:rPr>
                <w:color w:val="auto"/>
                <w:sz w:val="28"/>
                <w:szCs w:val="28"/>
              </w:rPr>
            </w:pPr>
            <w:r>
              <w:rPr>
                <w:color w:val="auto"/>
                <w:sz w:val="28"/>
                <w:szCs w:val="28"/>
              </w:rPr>
              <w:t>及代码</w:t>
            </w:r>
          </w:p>
        </w:tc>
        <w:tc>
          <w:tcPr>
            <w:tcW w:w="2555" w:type="dxa"/>
            <w:gridSpan w:val="3"/>
            <w:tcBorders>
              <w:right w:val="single" w:color="auto" w:sz="12" w:space="0"/>
            </w:tcBorders>
            <w:vAlign w:val="center"/>
          </w:tcPr>
          <w:p>
            <w:pPr>
              <w:spacing w:line="400" w:lineRule="exact"/>
              <w:jc w:val="center"/>
              <w:rPr>
                <w:color w:val="auto"/>
                <w:sz w:val="28"/>
                <w:szCs w:val="28"/>
              </w:rPr>
            </w:pPr>
            <w:r>
              <w:rPr>
                <w:rFonts w:hint="eastAsia"/>
                <w:color w:val="auto"/>
                <w:sz w:val="28"/>
                <w:szCs w:val="28"/>
              </w:rPr>
              <w:t>C1953塑料鞋制造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占地面积</w:t>
            </w:r>
          </w:p>
          <w:p>
            <w:pPr>
              <w:spacing w:line="400" w:lineRule="exact"/>
              <w:jc w:val="center"/>
              <w:rPr>
                <w:color w:val="auto"/>
                <w:sz w:val="28"/>
                <w:szCs w:val="28"/>
              </w:rPr>
            </w:pPr>
            <w:r>
              <w:rPr>
                <w:color w:val="auto"/>
                <w:sz w:val="28"/>
                <w:szCs w:val="28"/>
              </w:rPr>
              <w:t>（m</w:t>
            </w:r>
            <w:r>
              <w:rPr>
                <w:color w:val="auto"/>
                <w:sz w:val="28"/>
                <w:szCs w:val="28"/>
                <w:vertAlign w:val="superscript"/>
              </w:rPr>
              <w:t>2</w:t>
            </w:r>
            <w:r>
              <w:rPr>
                <w:color w:val="auto"/>
                <w:sz w:val="28"/>
                <w:szCs w:val="28"/>
              </w:rPr>
              <w:t>）</w:t>
            </w:r>
          </w:p>
        </w:tc>
        <w:tc>
          <w:tcPr>
            <w:tcW w:w="3313" w:type="dxa"/>
            <w:gridSpan w:val="3"/>
            <w:vAlign w:val="center"/>
          </w:tcPr>
          <w:p>
            <w:pPr>
              <w:spacing w:line="400" w:lineRule="exact"/>
              <w:jc w:val="center"/>
              <w:rPr>
                <w:color w:val="auto"/>
                <w:sz w:val="28"/>
                <w:szCs w:val="28"/>
              </w:rPr>
            </w:pPr>
            <w:r>
              <w:rPr>
                <w:rFonts w:hint="eastAsia"/>
                <w:color w:val="auto"/>
                <w:sz w:val="28"/>
                <w:szCs w:val="28"/>
              </w:rPr>
              <w:t>750</w:t>
            </w:r>
          </w:p>
        </w:tc>
        <w:tc>
          <w:tcPr>
            <w:tcW w:w="1700" w:type="dxa"/>
            <w:gridSpan w:val="3"/>
            <w:vAlign w:val="center"/>
          </w:tcPr>
          <w:p>
            <w:pPr>
              <w:spacing w:line="400" w:lineRule="exact"/>
              <w:jc w:val="center"/>
              <w:rPr>
                <w:color w:val="auto"/>
                <w:sz w:val="28"/>
                <w:szCs w:val="28"/>
              </w:rPr>
            </w:pPr>
            <w:r>
              <w:rPr>
                <w:color w:val="auto"/>
                <w:sz w:val="28"/>
                <w:szCs w:val="28"/>
              </w:rPr>
              <w:t>绿化面积</w:t>
            </w:r>
          </w:p>
          <w:p>
            <w:pPr>
              <w:spacing w:line="400" w:lineRule="exact"/>
              <w:jc w:val="center"/>
              <w:rPr>
                <w:color w:val="auto"/>
                <w:sz w:val="28"/>
                <w:szCs w:val="28"/>
              </w:rPr>
            </w:pPr>
            <w:r>
              <w:rPr>
                <w:color w:val="auto"/>
                <w:sz w:val="28"/>
                <w:szCs w:val="28"/>
              </w:rPr>
              <w:t>（m</w:t>
            </w:r>
            <w:r>
              <w:rPr>
                <w:color w:val="auto"/>
                <w:sz w:val="28"/>
                <w:szCs w:val="28"/>
                <w:vertAlign w:val="superscript"/>
              </w:rPr>
              <w:t>2</w:t>
            </w:r>
            <w:r>
              <w:rPr>
                <w:color w:val="auto"/>
                <w:sz w:val="28"/>
                <w:szCs w:val="28"/>
              </w:rPr>
              <w:t>）</w:t>
            </w:r>
          </w:p>
        </w:tc>
        <w:tc>
          <w:tcPr>
            <w:tcW w:w="2555" w:type="dxa"/>
            <w:gridSpan w:val="3"/>
            <w:tcBorders>
              <w:right w:val="single" w:color="auto" w:sz="12" w:space="0"/>
            </w:tcBorders>
            <w:vAlign w:val="center"/>
          </w:tcPr>
          <w:p>
            <w:pPr>
              <w:spacing w:line="400" w:lineRule="exact"/>
              <w:jc w:val="center"/>
              <w:rPr>
                <w:color w:val="auto"/>
                <w:sz w:val="28"/>
                <w:szCs w:val="28"/>
              </w:rPr>
            </w:pPr>
            <w:r>
              <w:rPr>
                <w:rFonts w:hint="eastAsia"/>
                <w:color w:val="auto"/>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trPr>
        <w:tc>
          <w:tcPr>
            <w:tcW w:w="1791" w:type="dxa"/>
            <w:tcBorders>
              <w:left w:val="single" w:color="auto" w:sz="12" w:space="0"/>
            </w:tcBorders>
            <w:vAlign w:val="center"/>
          </w:tcPr>
          <w:p>
            <w:pPr>
              <w:spacing w:line="400" w:lineRule="exact"/>
              <w:jc w:val="center"/>
              <w:rPr>
                <w:color w:val="auto"/>
                <w:sz w:val="28"/>
                <w:szCs w:val="28"/>
              </w:rPr>
            </w:pPr>
            <w:r>
              <w:rPr>
                <w:color w:val="auto"/>
                <w:sz w:val="28"/>
                <w:szCs w:val="28"/>
              </w:rPr>
              <w:t>总投资</w:t>
            </w:r>
          </w:p>
          <w:p>
            <w:pPr>
              <w:spacing w:line="400" w:lineRule="exact"/>
              <w:jc w:val="center"/>
              <w:rPr>
                <w:color w:val="auto"/>
                <w:sz w:val="28"/>
                <w:szCs w:val="28"/>
              </w:rPr>
            </w:pPr>
            <w:r>
              <w:rPr>
                <w:color w:val="auto"/>
                <w:sz w:val="28"/>
                <w:szCs w:val="28"/>
              </w:rPr>
              <w:t>（万元）</w:t>
            </w:r>
          </w:p>
        </w:tc>
        <w:tc>
          <w:tcPr>
            <w:tcW w:w="1827" w:type="dxa"/>
            <w:vAlign w:val="center"/>
          </w:tcPr>
          <w:p>
            <w:pPr>
              <w:spacing w:line="400" w:lineRule="exact"/>
              <w:jc w:val="center"/>
              <w:rPr>
                <w:color w:val="auto"/>
                <w:sz w:val="28"/>
                <w:szCs w:val="28"/>
              </w:rPr>
            </w:pPr>
            <w:r>
              <w:rPr>
                <w:rFonts w:hint="eastAsia"/>
                <w:color w:val="auto"/>
                <w:sz w:val="28"/>
                <w:szCs w:val="28"/>
              </w:rPr>
              <w:t>500</w:t>
            </w:r>
          </w:p>
        </w:tc>
        <w:tc>
          <w:tcPr>
            <w:tcW w:w="1486" w:type="dxa"/>
            <w:gridSpan w:val="2"/>
            <w:vAlign w:val="center"/>
          </w:tcPr>
          <w:p>
            <w:pPr>
              <w:spacing w:line="400" w:lineRule="exact"/>
              <w:jc w:val="center"/>
              <w:rPr>
                <w:color w:val="auto"/>
                <w:sz w:val="28"/>
                <w:szCs w:val="28"/>
              </w:rPr>
            </w:pPr>
            <w:r>
              <w:rPr>
                <w:color w:val="auto"/>
                <w:sz w:val="28"/>
                <w:szCs w:val="28"/>
              </w:rPr>
              <w:t>其中：环保投资（万元）</w:t>
            </w:r>
          </w:p>
        </w:tc>
        <w:tc>
          <w:tcPr>
            <w:tcW w:w="1700" w:type="dxa"/>
            <w:gridSpan w:val="3"/>
            <w:vAlign w:val="center"/>
          </w:tcPr>
          <w:p>
            <w:pPr>
              <w:spacing w:line="400" w:lineRule="exact"/>
              <w:jc w:val="center"/>
              <w:rPr>
                <w:color w:val="auto"/>
                <w:sz w:val="28"/>
                <w:szCs w:val="28"/>
              </w:rPr>
            </w:pPr>
            <w:r>
              <w:rPr>
                <w:rFonts w:hint="eastAsia"/>
                <w:color w:val="auto"/>
                <w:sz w:val="28"/>
                <w:szCs w:val="28"/>
              </w:rPr>
              <w:t>16.7</w:t>
            </w:r>
          </w:p>
        </w:tc>
        <w:tc>
          <w:tcPr>
            <w:tcW w:w="1314" w:type="dxa"/>
            <w:gridSpan w:val="2"/>
            <w:vAlign w:val="center"/>
          </w:tcPr>
          <w:p>
            <w:pPr>
              <w:spacing w:line="400" w:lineRule="exact"/>
              <w:jc w:val="center"/>
              <w:rPr>
                <w:color w:val="auto"/>
                <w:sz w:val="28"/>
                <w:szCs w:val="28"/>
              </w:rPr>
            </w:pPr>
            <w:r>
              <w:rPr>
                <w:color w:val="auto"/>
                <w:sz w:val="28"/>
                <w:szCs w:val="28"/>
              </w:rPr>
              <w:t>环保投资占总投资比例</w:t>
            </w:r>
          </w:p>
        </w:tc>
        <w:tc>
          <w:tcPr>
            <w:tcW w:w="1241" w:type="dxa"/>
            <w:tcBorders>
              <w:right w:val="single" w:color="auto" w:sz="12" w:space="0"/>
            </w:tcBorders>
            <w:vAlign w:val="center"/>
          </w:tcPr>
          <w:p>
            <w:pPr>
              <w:spacing w:line="400" w:lineRule="exact"/>
              <w:jc w:val="center"/>
              <w:rPr>
                <w:color w:val="auto"/>
                <w:sz w:val="28"/>
                <w:szCs w:val="28"/>
              </w:rPr>
            </w:pPr>
            <w:r>
              <w:rPr>
                <w:rFonts w:hint="eastAsia"/>
                <w:color w:val="auto"/>
                <w:sz w:val="28"/>
                <w:szCs w:val="28"/>
              </w:rPr>
              <w:t>3.34%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trPr>
        <w:tc>
          <w:tcPr>
            <w:tcW w:w="1791" w:type="dxa"/>
            <w:tcBorders>
              <w:left w:val="single" w:color="auto" w:sz="12" w:space="0"/>
              <w:bottom w:val="single" w:color="auto" w:sz="12" w:space="0"/>
            </w:tcBorders>
            <w:vAlign w:val="center"/>
          </w:tcPr>
          <w:p>
            <w:pPr>
              <w:spacing w:line="400" w:lineRule="exact"/>
              <w:jc w:val="center"/>
              <w:rPr>
                <w:color w:val="auto"/>
                <w:sz w:val="28"/>
                <w:szCs w:val="28"/>
              </w:rPr>
            </w:pPr>
            <w:r>
              <w:rPr>
                <w:color w:val="auto"/>
                <w:sz w:val="28"/>
                <w:szCs w:val="28"/>
              </w:rPr>
              <w:t>评价经费</w:t>
            </w:r>
          </w:p>
          <w:p>
            <w:pPr>
              <w:spacing w:line="400" w:lineRule="exact"/>
              <w:jc w:val="center"/>
              <w:rPr>
                <w:color w:val="auto"/>
                <w:sz w:val="28"/>
                <w:szCs w:val="28"/>
              </w:rPr>
            </w:pPr>
            <w:r>
              <w:rPr>
                <w:color w:val="auto"/>
                <w:sz w:val="28"/>
                <w:szCs w:val="28"/>
              </w:rPr>
              <w:t>（万元）</w:t>
            </w:r>
          </w:p>
        </w:tc>
        <w:tc>
          <w:tcPr>
            <w:tcW w:w="1827" w:type="dxa"/>
            <w:tcBorders>
              <w:bottom w:val="single" w:color="auto" w:sz="12" w:space="0"/>
            </w:tcBorders>
            <w:vAlign w:val="center"/>
          </w:tcPr>
          <w:p>
            <w:pPr>
              <w:spacing w:line="400" w:lineRule="exact"/>
              <w:jc w:val="center"/>
              <w:rPr>
                <w:color w:val="auto"/>
                <w:sz w:val="28"/>
                <w:szCs w:val="28"/>
              </w:rPr>
            </w:pPr>
            <w:r>
              <w:rPr>
                <w:rFonts w:hint="eastAsia"/>
                <w:color w:val="auto"/>
                <w:sz w:val="28"/>
                <w:szCs w:val="28"/>
              </w:rPr>
              <w:t>/</w:t>
            </w:r>
          </w:p>
        </w:tc>
        <w:tc>
          <w:tcPr>
            <w:tcW w:w="1969" w:type="dxa"/>
            <w:gridSpan w:val="3"/>
            <w:tcBorders>
              <w:bottom w:val="single" w:color="auto" w:sz="12" w:space="0"/>
            </w:tcBorders>
            <w:vAlign w:val="center"/>
          </w:tcPr>
          <w:p>
            <w:pPr>
              <w:spacing w:line="400" w:lineRule="exact"/>
              <w:jc w:val="center"/>
              <w:rPr>
                <w:color w:val="auto"/>
                <w:sz w:val="28"/>
                <w:szCs w:val="28"/>
              </w:rPr>
            </w:pPr>
            <w:r>
              <w:rPr>
                <w:color w:val="auto"/>
                <w:sz w:val="28"/>
                <w:szCs w:val="28"/>
              </w:rPr>
              <w:t>预期投产日期</w:t>
            </w:r>
          </w:p>
        </w:tc>
        <w:tc>
          <w:tcPr>
            <w:tcW w:w="3772" w:type="dxa"/>
            <w:gridSpan w:val="5"/>
            <w:tcBorders>
              <w:bottom w:val="single" w:color="auto" w:sz="12" w:space="0"/>
              <w:right w:val="single" w:color="auto" w:sz="12" w:space="0"/>
            </w:tcBorders>
            <w:vAlign w:val="center"/>
          </w:tcPr>
          <w:p>
            <w:pPr>
              <w:spacing w:line="400" w:lineRule="exact"/>
              <w:jc w:val="center"/>
              <w:rPr>
                <w:color w:val="auto"/>
                <w:sz w:val="28"/>
                <w:szCs w:val="28"/>
              </w:rPr>
            </w:pPr>
            <w:r>
              <w:rPr>
                <w:rFonts w:hint="eastAsia"/>
                <w:color w:val="auto"/>
                <w:sz w:val="28"/>
                <w:szCs w:val="28"/>
              </w:rPr>
              <w:t>2021年3月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59" w:type="dxa"/>
            <w:gridSpan w:val="10"/>
            <w:tcBorders>
              <w:top w:val="single" w:color="auto" w:sz="12" w:space="0"/>
              <w:left w:val="single" w:color="auto" w:sz="12" w:space="0"/>
              <w:bottom w:val="single" w:color="auto" w:sz="12" w:space="0"/>
              <w:right w:val="single" w:color="auto" w:sz="12" w:space="0"/>
            </w:tcBorders>
            <w:vAlign w:val="center"/>
          </w:tcPr>
          <w:p>
            <w:pPr>
              <w:spacing w:line="520" w:lineRule="exact"/>
              <w:rPr>
                <w:rFonts w:eastAsia="黑体"/>
                <w:bCs/>
                <w:color w:val="auto"/>
                <w:sz w:val="30"/>
                <w:szCs w:val="28"/>
              </w:rPr>
            </w:pPr>
            <w:r>
              <w:rPr>
                <w:rFonts w:eastAsia="黑体"/>
                <w:bCs/>
                <w:color w:val="auto"/>
                <w:sz w:val="30"/>
                <w:szCs w:val="28"/>
              </w:rPr>
              <w:t>工程内容及规模：</w:t>
            </w:r>
          </w:p>
          <w:p>
            <w:pPr>
              <w:pStyle w:val="5"/>
              <w:jc w:val="both"/>
              <w:rPr>
                <w:color w:val="auto"/>
              </w:rPr>
            </w:pPr>
            <w:r>
              <w:rPr>
                <w:color w:val="auto"/>
              </w:rPr>
              <w:t>1项目背景</w:t>
            </w:r>
          </w:p>
          <w:p>
            <w:pPr>
              <w:spacing w:line="520" w:lineRule="exact"/>
              <w:ind w:firstLine="560" w:firstLineChars="200"/>
              <w:rPr>
                <w:color w:val="auto"/>
                <w:sz w:val="28"/>
                <w:szCs w:val="28"/>
              </w:rPr>
            </w:pPr>
            <w:r>
              <w:rPr>
                <w:rFonts w:hint="eastAsia"/>
                <w:color w:val="auto"/>
                <w:sz w:val="28"/>
                <w:szCs w:val="28"/>
              </w:rPr>
              <w:t>当前，拖鞋已成为千家万户不可或缺的居家用品之一，我国民众消费水平与日俱增，塑料拖鞋市场快速成长，拖鞋的款式、颜色也多种多样，而且塑料拖鞋具有耐用、凉爽、质轻、价廉等多方面的优良特性，从而塑料拖鞋成为现代拖鞋产品中的主力军。</w:t>
            </w:r>
          </w:p>
          <w:p>
            <w:pPr>
              <w:spacing w:line="520" w:lineRule="exact"/>
              <w:ind w:firstLine="560" w:firstLineChars="200"/>
              <w:rPr>
                <w:color w:val="auto"/>
                <w:sz w:val="28"/>
                <w:szCs w:val="28"/>
              </w:rPr>
            </w:pPr>
            <w:r>
              <w:rPr>
                <w:rFonts w:hint="eastAsia"/>
                <w:color w:val="auto"/>
                <w:sz w:val="28"/>
                <w:szCs w:val="28"/>
              </w:rPr>
              <w:t>近几年随着巩留县的不断发展，国家二胎政策的大力开放，县城人口数量也在不断增多，在未来还将继续扩大人口规模，而现状巩留县生产拖鞋的企业数量少、规模小，各商铺还需要从周边县市进购拖鞋。在此背景下，巩留县久达鞋业有限责任公司投资500万元，在巩留县文化路北段西侧、恰甫其海路南侧地块建设新疆巩留县久达鞋业有限责任公司鞋子生产项目。项目建成后每年可生产塑料拖鞋100万双。</w:t>
            </w:r>
          </w:p>
          <w:p>
            <w:pPr>
              <w:widowControl/>
              <w:spacing w:line="520" w:lineRule="exact"/>
              <w:ind w:firstLine="560" w:firstLineChars="200"/>
              <w:rPr>
                <w:color w:val="auto"/>
                <w:sz w:val="28"/>
                <w:szCs w:val="28"/>
              </w:rPr>
            </w:pPr>
            <w:r>
              <w:rPr>
                <w:color w:val="auto"/>
                <w:sz w:val="28"/>
                <w:szCs w:val="28"/>
              </w:rPr>
              <w:t>为了评估该项目对环境质量带来的变化和产生的</w:t>
            </w:r>
            <w:r>
              <w:rPr>
                <w:rFonts w:hint="eastAsia"/>
                <w:color w:val="auto"/>
                <w:sz w:val="28"/>
                <w:szCs w:val="28"/>
              </w:rPr>
              <w:t>不利</w:t>
            </w:r>
            <w:r>
              <w:rPr>
                <w:color w:val="auto"/>
                <w:sz w:val="28"/>
                <w:szCs w:val="28"/>
              </w:rPr>
              <w:t>影响，为</w:t>
            </w:r>
            <w:r>
              <w:rPr>
                <w:rFonts w:hint="eastAsia"/>
                <w:color w:val="auto"/>
                <w:sz w:val="28"/>
                <w:szCs w:val="28"/>
              </w:rPr>
              <w:t>生态环境行政主管部门</w:t>
            </w:r>
            <w:r>
              <w:rPr>
                <w:color w:val="auto"/>
                <w:sz w:val="28"/>
                <w:szCs w:val="28"/>
              </w:rPr>
              <w:t>管理提供决策依据。根据《中华人民共和国环境保护法》、《中华人民共和国环境影响评价法》，以及国务院令第682号《建设项目环境保护管理条例》之规定，该建设项目应办理环境影响评价手续。根据《建设项目环境影响评价分类管理目录》</w:t>
            </w:r>
            <w:r>
              <w:rPr>
                <w:rFonts w:hint="eastAsia"/>
                <w:color w:val="auto"/>
                <w:sz w:val="28"/>
                <w:szCs w:val="28"/>
              </w:rPr>
              <w:t>“十六、皮革、毛皮、羽毛及其制品和制鞋业19—32制鞋业195*有橡胶硫化工艺、塑料注塑工艺的；年用溶剂型胶粘剂10吨及以上的，或年用溶剂型处理剂3吨及以上的”</w:t>
            </w:r>
            <w:r>
              <w:rPr>
                <w:color w:val="auto"/>
                <w:sz w:val="28"/>
                <w:szCs w:val="28"/>
              </w:rPr>
              <w:t>，</w:t>
            </w:r>
            <w:r>
              <w:rPr>
                <w:rFonts w:hint="eastAsia"/>
                <w:color w:val="auto"/>
                <w:sz w:val="28"/>
                <w:szCs w:val="28"/>
              </w:rPr>
              <w:t>本项目为塑料拖鞋制造，涉及塑料注塑工艺，</w:t>
            </w:r>
            <w:r>
              <w:rPr>
                <w:color w:val="auto"/>
                <w:sz w:val="28"/>
                <w:szCs w:val="28"/>
              </w:rPr>
              <w:t>确定该项目的环境影响评价形式为编制环境影响报告表，本环评报告表通过</w:t>
            </w:r>
            <w:r>
              <w:rPr>
                <w:rFonts w:hint="eastAsia"/>
                <w:color w:val="auto"/>
                <w:sz w:val="28"/>
                <w:szCs w:val="28"/>
              </w:rPr>
              <w:t>生态环境局</w:t>
            </w:r>
            <w:r>
              <w:rPr>
                <w:color w:val="auto"/>
                <w:sz w:val="28"/>
                <w:szCs w:val="28"/>
              </w:rPr>
              <w:t>批复后，将作为本项目环境管理的重要文件。</w:t>
            </w:r>
          </w:p>
          <w:p>
            <w:pPr>
              <w:spacing w:line="520" w:lineRule="exact"/>
              <w:ind w:firstLine="560" w:firstLineChars="200"/>
              <w:rPr>
                <w:color w:val="auto"/>
                <w:sz w:val="28"/>
                <w:szCs w:val="28"/>
              </w:rPr>
            </w:pPr>
            <w:r>
              <w:rPr>
                <w:color w:val="auto"/>
                <w:sz w:val="28"/>
                <w:szCs w:val="28"/>
              </w:rPr>
              <w:t>为此，受</w:t>
            </w:r>
            <w:r>
              <w:rPr>
                <w:rFonts w:hint="eastAsia"/>
                <w:color w:val="auto"/>
                <w:sz w:val="28"/>
                <w:szCs w:val="28"/>
              </w:rPr>
              <w:t>巩留县久达鞋业有限责任公司</w:t>
            </w:r>
            <w:r>
              <w:rPr>
                <w:color w:val="auto"/>
                <w:sz w:val="28"/>
                <w:szCs w:val="28"/>
              </w:rPr>
              <w:t>的委托，新疆创禹水利环境科技有限公司于20</w:t>
            </w:r>
            <w:r>
              <w:rPr>
                <w:rFonts w:hint="eastAsia"/>
                <w:color w:val="auto"/>
                <w:sz w:val="28"/>
                <w:szCs w:val="28"/>
              </w:rPr>
              <w:t>21</w:t>
            </w:r>
            <w:r>
              <w:rPr>
                <w:color w:val="auto"/>
                <w:sz w:val="28"/>
                <w:szCs w:val="28"/>
              </w:rPr>
              <w:t>年</w:t>
            </w:r>
            <w:r>
              <w:rPr>
                <w:rFonts w:hint="eastAsia"/>
                <w:color w:val="auto"/>
                <w:sz w:val="28"/>
                <w:szCs w:val="28"/>
              </w:rPr>
              <w:t>1</w:t>
            </w:r>
            <w:r>
              <w:rPr>
                <w:color w:val="auto"/>
                <w:sz w:val="28"/>
                <w:szCs w:val="28"/>
              </w:rPr>
              <w:t>月接受了该项目环境影响报告表的编制工作，并开展了现场踏勘、资料收集、整理</w:t>
            </w:r>
            <w:r>
              <w:rPr>
                <w:rFonts w:hint="eastAsia"/>
                <w:color w:val="auto"/>
                <w:sz w:val="28"/>
                <w:szCs w:val="28"/>
              </w:rPr>
              <w:t>等</w:t>
            </w:r>
            <w:r>
              <w:rPr>
                <w:color w:val="auto"/>
                <w:sz w:val="28"/>
                <w:szCs w:val="28"/>
              </w:rPr>
              <w:t>工作。</w:t>
            </w:r>
            <w:r>
              <w:rPr>
                <w:rFonts w:hint="eastAsia"/>
                <w:color w:val="auto"/>
                <w:sz w:val="28"/>
                <w:szCs w:val="28"/>
              </w:rPr>
              <w:t>我公司</w:t>
            </w:r>
            <w:r>
              <w:rPr>
                <w:color w:val="auto"/>
                <w:sz w:val="28"/>
                <w:szCs w:val="28"/>
              </w:rPr>
              <w:t>在充分掌握了资料数据的基础上，对有关环境、</w:t>
            </w:r>
            <w:r>
              <w:rPr>
                <w:rFonts w:hint="eastAsia"/>
                <w:color w:val="auto"/>
                <w:sz w:val="28"/>
                <w:szCs w:val="28"/>
              </w:rPr>
              <w:t>生产工艺</w:t>
            </w:r>
            <w:r>
              <w:rPr>
                <w:color w:val="auto"/>
                <w:sz w:val="28"/>
                <w:szCs w:val="28"/>
              </w:rPr>
              <w:t>进行分析后，编制了该项目环境影响报告表，以</w:t>
            </w:r>
            <w:r>
              <w:rPr>
                <w:rFonts w:hint="eastAsia"/>
                <w:color w:val="auto"/>
                <w:sz w:val="28"/>
                <w:szCs w:val="28"/>
              </w:rPr>
              <w:t>求</w:t>
            </w:r>
            <w:r>
              <w:rPr>
                <w:color w:val="auto"/>
                <w:sz w:val="28"/>
                <w:szCs w:val="28"/>
              </w:rPr>
              <w:t>在项目运营管理中把对环境的各类影响降到国家和区域环境许可的标准、总量控制目标之内，实现经济建设与环境保护双赢。</w:t>
            </w:r>
          </w:p>
          <w:p>
            <w:pPr>
              <w:spacing w:line="520" w:lineRule="exact"/>
              <w:rPr>
                <w:b/>
                <w:bCs/>
                <w:color w:val="auto"/>
                <w:sz w:val="28"/>
              </w:rPr>
            </w:pPr>
            <w:r>
              <w:rPr>
                <w:b/>
                <w:bCs/>
                <w:color w:val="auto"/>
                <w:sz w:val="28"/>
              </w:rPr>
              <w:t>2编制依据</w:t>
            </w:r>
          </w:p>
          <w:p>
            <w:pPr>
              <w:spacing w:line="520" w:lineRule="exact"/>
              <w:rPr>
                <w:b/>
                <w:bCs/>
                <w:color w:val="auto"/>
                <w:sz w:val="28"/>
              </w:rPr>
            </w:pPr>
            <w:r>
              <w:rPr>
                <w:b/>
                <w:bCs/>
                <w:color w:val="auto"/>
                <w:sz w:val="28"/>
              </w:rPr>
              <w:t>2.1法律、法规</w:t>
            </w:r>
          </w:p>
          <w:p>
            <w:pPr>
              <w:snapToGrid w:val="0"/>
              <w:spacing w:line="520" w:lineRule="exact"/>
              <w:ind w:firstLine="560" w:firstLineChars="200"/>
              <w:rPr>
                <w:color w:val="auto"/>
                <w:sz w:val="28"/>
                <w:szCs w:val="28"/>
              </w:rPr>
            </w:pPr>
            <w:r>
              <w:rPr>
                <w:rFonts w:hint="eastAsia"/>
                <w:color w:val="auto"/>
                <w:sz w:val="28"/>
                <w:szCs w:val="28"/>
              </w:rPr>
              <w:t>（1）《中华人民共和国环境保护法》（2015年1月1日修订）；</w:t>
            </w:r>
          </w:p>
          <w:p>
            <w:pPr>
              <w:snapToGrid w:val="0"/>
              <w:spacing w:line="520" w:lineRule="exact"/>
              <w:ind w:firstLine="560" w:firstLineChars="200"/>
              <w:rPr>
                <w:color w:val="auto"/>
                <w:sz w:val="28"/>
                <w:szCs w:val="28"/>
              </w:rPr>
            </w:pPr>
            <w:r>
              <w:rPr>
                <w:rFonts w:hint="eastAsia"/>
                <w:color w:val="auto"/>
                <w:sz w:val="28"/>
                <w:szCs w:val="28"/>
              </w:rPr>
              <w:t>（2）《中华人民共和国环境影响评价法》（2018年12月29日修正）；</w:t>
            </w:r>
          </w:p>
          <w:p>
            <w:pPr>
              <w:snapToGrid w:val="0"/>
              <w:spacing w:line="520" w:lineRule="exact"/>
              <w:ind w:firstLine="560" w:firstLineChars="200"/>
              <w:rPr>
                <w:color w:val="auto"/>
                <w:sz w:val="28"/>
                <w:szCs w:val="28"/>
              </w:rPr>
            </w:pPr>
            <w:r>
              <w:rPr>
                <w:rFonts w:hint="eastAsia"/>
                <w:color w:val="auto"/>
                <w:sz w:val="28"/>
                <w:szCs w:val="28"/>
              </w:rPr>
              <w:t>（3）《中华人民共和国大气污染防治法》（2018年10月26日修正）；</w:t>
            </w:r>
          </w:p>
          <w:p>
            <w:pPr>
              <w:snapToGrid w:val="0"/>
              <w:spacing w:line="520" w:lineRule="exact"/>
              <w:ind w:firstLine="560" w:firstLineChars="200"/>
              <w:rPr>
                <w:color w:val="auto"/>
                <w:sz w:val="28"/>
                <w:szCs w:val="28"/>
              </w:rPr>
            </w:pPr>
            <w:r>
              <w:rPr>
                <w:rFonts w:hint="eastAsia"/>
                <w:color w:val="auto"/>
                <w:sz w:val="28"/>
                <w:szCs w:val="28"/>
              </w:rPr>
              <w:t>（4）《中华人民共和国环境噪声污染防治法》（2018年12月29日修改）；</w:t>
            </w:r>
          </w:p>
          <w:p>
            <w:pPr>
              <w:snapToGrid w:val="0"/>
              <w:spacing w:line="520" w:lineRule="exact"/>
              <w:ind w:firstLine="560" w:firstLineChars="200"/>
              <w:rPr>
                <w:color w:val="auto"/>
                <w:sz w:val="28"/>
                <w:szCs w:val="28"/>
              </w:rPr>
            </w:pPr>
            <w:r>
              <w:rPr>
                <w:rFonts w:hint="eastAsia"/>
                <w:color w:val="auto"/>
                <w:sz w:val="28"/>
                <w:szCs w:val="28"/>
              </w:rPr>
              <w:t>（5）《中华人民共和国水污染防治法》（2017年6月27日修正）；</w:t>
            </w:r>
          </w:p>
          <w:p>
            <w:pPr>
              <w:snapToGrid w:val="0"/>
              <w:spacing w:line="520" w:lineRule="exact"/>
              <w:ind w:firstLine="560" w:firstLineChars="200"/>
              <w:rPr>
                <w:color w:val="auto"/>
                <w:sz w:val="28"/>
                <w:szCs w:val="28"/>
              </w:rPr>
            </w:pPr>
            <w:r>
              <w:rPr>
                <w:rFonts w:hint="eastAsia"/>
                <w:color w:val="auto"/>
                <w:sz w:val="28"/>
                <w:szCs w:val="28"/>
              </w:rPr>
              <w:t>（6）《中华人民共和国固体废物污染环境防治法》</w:t>
            </w:r>
            <w:r>
              <w:rPr>
                <w:rFonts w:hint="eastAsia"/>
                <w:color w:val="auto"/>
                <w:sz w:val="28"/>
                <w:szCs w:val="28"/>
              </w:rPr>
              <w:t>（2020年9月1日修正）；</w:t>
            </w:r>
          </w:p>
          <w:p>
            <w:pPr>
              <w:snapToGrid w:val="0"/>
              <w:spacing w:line="520" w:lineRule="exact"/>
              <w:ind w:firstLine="560" w:firstLineChars="200"/>
              <w:rPr>
                <w:color w:val="auto"/>
                <w:sz w:val="28"/>
                <w:szCs w:val="28"/>
              </w:rPr>
            </w:pPr>
            <w:r>
              <w:rPr>
                <w:rFonts w:hint="eastAsia"/>
                <w:color w:val="auto"/>
                <w:sz w:val="28"/>
                <w:szCs w:val="28"/>
              </w:rPr>
              <w:t>（7）《中华人民共和国土地管理法》（2020年1月1日修改）；</w:t>
            </w:r>
          </w:p>
          <w:p>
            <w:pPr>
              <w:snapToGrid w:val="0"/>
              <w:spacing w:line="520" w:lineRule="exact"/>
              <w:ind w:firstLine="560" w:firstLineChars="200"/>
              <w:rPr>
                <w:color w:val="auto"/>
                <w:sz w:val="28"/>
                <w:szCs w:val="28"/>
              </w:rPr>
            </w:pPr>
            <w:r>
              <w:rPr>
                <w:rFonts w:hint="eastAsia"/>
                <w:color w:val="auto"/>
                <w:sz w:val="28"/>
                <w:szCs w:val="28"/>
              </w:rPr>
              <w:t>（8）《中华人民共和国水法》（2016年7月2日修正）；</w:t>
            </w:r>
          </w:p>
          <w:p>
            <w:pPr>
              <w:snapToGrid w:val="0"/>
              <w:spacing w:line="520" w:lineRule="exact"/>
              <w:ind w:firstLine="560" w:firstLineChars="200"/>
              <w:rPr>
                <w:color w:val="auto"/>
                <w:sz w:val="28"/>
                <w:szCs w:val="28"/>
              </w:rPr>
            </w:pPr>
            <w:r>
              <w:rPr>
                <w:rFonts w:hint="eastAsia"/>
                <w:color w:val="auto"/>
                <w:sz w:val="28"/>
                <w:szCs w:val="28"/>
              </w:rPr>
              <w:t>（9）《中华人民共和国清洁生产促进法》（2012年7月1日修改）；</w:t>
            </w:r>
          </w:p>
          <w:p>
            <w:pPr>
              <w:snapToGrid w:val="0"/>
              <w:spacing w:line="520" w:lineRule="exact"/>
              <w:ind w:firstLine="560" w:firstLineChars="200"/>
              <w:rPr>
                <w:color w:val="auto"/>
                <w:sz w:val="28"/>
                <w:szCs w:val="28"/>
              </w:rPr>
            </w:pPr>
            <w:r>
              <w:rPr>
                <w:rFonts w:hint="eastAsia"/>
                <w:color w:val="auto"/>
                <w:sz w:val="28"/>
                <w:szCs w:val="28"/>
              </w:rPr>
              <w:t>（10）《中华人民共和国循环经济促进法》（2018年10月26日修正）。</w:t>
            </w:r>
          </w:p>
          <w:p>
            <w:pPr>
              <w:spacing w:line="520" w:lineRule="exact"/>
              <w:rPr>
                <w:b/>
                <w:bCs/>
                <w:color w:val="auto"/>
                <w:sz w:val="28"/>
              </w:rPr>
            </w:pPr>
            <w:r>
              <w:rPr>
                <w:b/>
                <w:bCs/>
                <w:color w:val="auto"/>
                <w:sz w:val="28"/>
              </w:rPr>
              <w:t>2.</w:t>
            </w:r>
            <w:r>
              <w:rPr>
                <w:rFonts w:hint="eastAsia"/>
                <w:b/>
                <w:bCs/>
                <w:color w:val="auto"/>
                <w:sz w:val="28"/>
              </w:rPr>
              <w:t>2规章、条例</w:t>
            </w:r>
          </w:p>
          <w:p>
            <w:pPr>
              <w:snapToGrid w:val="0"/>
              <w:spacing w:line="520" w:lineRule="exact"/>
              <w:ind w:firstLine="560" w:firstLineChars="200"/>
              <w:rPr>
                <w:color w:val="auto"/>
                <w:sz w:val="28"/>
                <w:szCs w:val="28"/>
              </w:rPr>
            </w:pPr>
            <w:r>
              <w:rPr>
                <w:rFonts w:hint="eastAsia"/>
                <w:color w:val="auto"/>
                <w:sz w:val="28"/>
                <w:szCs w:val="28"/>
              </w:rPr>
              <w:t>（1）《建设项目环境保护管理条例》（国务院令第682号）；</w:t>
            </w:r>
          </w:p>
          <w:p>
            <w:pPr>
              <w:snapToGrid w:val="0"/>
              <w:spacing w:line="520" w:lineRule="exact"/>
              <w:ind w:firstLine="560" w:firstLineChars="200"/>
              <w:rPr>
                <w:color w:val="auto"/>
                <w:sz w:val="28"/>
                <w:szCs w:val="28"/>
              </w:rPr>
            </w:pPr>
            <w:r>
              <w:rPr>
                <w:rFonts w:hint="eastAsia"/>
                <w:color w:val="auto"/>
                <w:sz w:val="28"/>
                <w:szCs w:val="28"/>
              </w:rPr>
              <w:t>（2）《国务院办公厅关于印发控制污染物排放许可制实施方案的通知》（国办发〔2016〕81号）；</w:t>
            </w:r>
          </w:p>
          <w:p>
            <w:pPr>
              <w:snapToGrid w:val="0"/>
              <w:spacing w:line="520" w:lineRule="exact"/>
              <w:ind w:firstLine="560" w:firstLineChars="200"/>
              <w:rPr>
                <w:color w:val="auto"/>
                <w:sz w:val="28"/>
                <w:szCs w:val="28"/>
              </w:rPr>
            </w:pPr>
            <w:r>
              <w:rPr>
                <w:rFonts w:hint="eastAsia"/>
                <w:color w:val="auto"/>
                <w:sz w:val="28"/>
                <w:szCs w:val="28"/>
              </w:rPr>
              <w:t>（3）《国务院关于印发土壤污染防治行动计划的通知》（国发〔2016〕31号）；</w:t>
            </w:r>
          </w:p>
          <w:p>
            <w:pPr>
              <w:snapToGrid w:val="0"/>
              <w:spacing w:line="520" w:lineRule="exact"/>
              <w:ind w:firstLine="560" w:firstLineChars="200"/>
              <w:rPr>
                <w:color w:val="auto"/>
                <w:sz w:val="28"/>
                <w:szCs w:val="28"/>
              </w:rPr>
            </w:pPr>
            <w:r>
              <w:rPr>
                <w:rFonts w:hint="eastAsia"/>
                <w:color w:val="auto"/>
                <w:sz w:val="28"/>
                <w:szCs w:val="28"/>
              </w:rPr>
              <w:t>（4）《国务院关于印发水污染防治行动计划的通知》（国发〔2015〕17号）；</w:t>
            </w:r>
          </w:p>
          <w:p>
            <w:pPr>
              <w:snapToGrid w:val="0"/>
              <w:spacing w:line="520" w:lineRule="exact"/>
              <w:ind w:firstLine="560" w:firstLineChars="200"/>
              <w:rPr>
                <w:color w:val="auto"/>
                <w:sz w:val="28"/>
                <w:szCs w:val="28"/>
              </w:rPr>
            </w:pPr>
            <w:r>
              <w:rPr>
                <w:rFonts w:hint="eastAsia"/>
                <w:color w:val="auto"/>
                <w:sz w:val="28"/>
                <w:szCs w:val="28"/>
              </w:rPr>
              <w:t>（5）《市场准入负面清单（2019年版）》（国家发展改革委、商务部，2019年11月）；</w:t>
            </w:r>
          </w:p>
          <w:p>
            <w:pPr>
              <w:snapToGrid w:val="0"/>
              <w:spacing w:line="520" w:lineRule="exact"/>
              <w:ind w:firstLine="560" w:firstLineChars="200"/>
              <w:rPr>
                <w:color w:val="auto"/>
                <w:sz w:val="28"/>
                <w:szCs w:val="28"/>
              </w:rPr>
            </w:pPr>
            <w:r>
              <w:rPr>
                <w:rFonts w:hint="eastAsia"/>
                <w:color w:val="auto"/>
                <w:sz w:val="28"/>
                <w:szCs w:val="28"/>
              </w:rPr>
              <w:t>（6）《关于印发〈重点行业挥发性有机物综合治理方案〉的通知》（环大气〔2019〕53号）；</w:t>
            </w:r>
          </w:p>
          <w:p>
            <w:pPr>
              <w:snapToGrid w:val="0"/>
              <w:spacing w:line="520" w:lineRule="exact"/>
              <w:ind w:firstLine="560" w:firstLineChars="200"/>
              <w:rPr>
                <w:color w:val="auto"/>
                <w:sz w:val="28"/>
                <w:szCs w:val="28"/>
              </w:rPr>
            </w:pPr>
            <w:r>
              <w:rPr>
                <w:rFonts w:hint="eastAsia"/>
                <w:color w:val="auto"/>
                <w:sz w:val="28"/>
                <w:szCs w:val="28"/>
              </w:rPr>
              <w:t>（7）《企业事业单位突发环境事件应急预案备案管理办法》（环发〔2015〕4号）；</w:t>
            </w:r>
          </w:p>
          <w:p>
            <w:pPr>
              <w:snapToGrid w:val="0"/>
              <w:spacing w:line="520" w:lineRule="exact"/>
              <w:ind w:firstLine="560" w:firstLineChars="200"/>
              <w:rPr>
                <w:color w:val="auto"/>
                <w:sz w:val="28"/>
                <w:szCs w:val="28"/>
              </w:rPr>
            </w:pPr>
            <w:r>
              <w:rPr>
                <w:rFonts w:hint="eastAsia"/>
                <w:color w:val="auto"/>
                <w:sz w:val="28"/>
                <w:szCs w:val="28"/>
              </w:rPr>
              <w:t>（8）《产业结构调整指导目录（2019年本）》；</w:t>
            </w:r>
          </w:p>
          <w:p>
            <w:pPr>
              <w:snapToGrid w:val="0"/>
              <w:spacing w:line="520" w:lineRule="exact"/>
              <w:ind w:firstLine="560" w:firstLineChars="200"/>
              <w:rPr>
                <w:color w:val="auto"/>
                <w:sz w:val="28"/>
                <w:szCs w:val="28"/>
              </w:rPr>
            </w:pPr>
            <w:r>
              <w:rPr>
                <w:rFonts w:hint="eastAsia"/>
                <w:color w:val="auto"/>
                <w:sz w:val="28"/>
                <w:szCs w:val="28"/>
              </w:rPr>
              <w:t>（9）《产业发展与转移指导目录（2018年本）》；</w:t>
            </w:r>
          </w:p>
          <w:p>
            <w:pPr>
              <w:snapToGrid w:val="0"/>
              <w:spacing w:line="520" w:lineRule="exact"/>
              <w:ind w:firstLine="560" w:firstLineChars="200"/>
              <w:rPr>
                <w:color w:val="auto"/>
                <w:sz w:val="28"/>
                <w:szCs w:val="28"/>
              </w:rPr>
            </w:pPr>
            <w:r>
              <w:rPr>
                <w:rFonts w:hint="eastAsia"/>
                <w:color w:val="auto"/>
                <w:sz w:val="28"/>
                <w:szCs w:val="28"/>
              </w:rPr>
              <w:t>（10）《建设项目环境影响评价分类管理名录》（2021年版）；</w:t>
            </w:r>
          </w:p>
          <w:p>
            <w:pPr>
              <w:snapToGrid w:val="0"/>
              <w:spacing w:line="520" w:lineRule="exact"/>
              <w:ind w:firstLine="560" w:firstLineChars="200"/>
              <w:rPr>
                <w:color w:val="auto"/>
                <w:sz w:val="28"/>
                <w:szCs w:val="28"/>
              </w:rPr>
            </w:pPr>
            <w:r>
              <w:rPr>
                <w:rFonts w:hint="eastAsia"/>
                <w:color w:val="auto"/>
                <w:sz w:val="28"/>
                <w:szCs w:val="28"/>
              </w:rPr>
              <w:t>（11）《新疆维吾尔自治区环境保护条例》（2018年9月21修正）；</w:t>
            </w:r>
          </w:p>
          <w:p>
            <w:pPr>
              <w:snapToGrid w:val="0"/>
              <w:spacing w:line="520" w:lineRule="exact"/>
              <w:ind w:firstLine="560" w:firstLineChars="200"/>
              <w:rPr>
                <w:color w:val="auto"/>
                <w:sz w:val="28"/>
                <w:szCs w:val="28"/>
              </w:rPr>
            </w:pPr>
            <w:r>
              <w:rPr>
                <w:rFonts w:hint="eastAsia"/>
                <w:color w:val="auto"/>
                <w:sz w:val="28"/>
                <w:szCs w:val="28"/>
              </w:rPr>
              <w:t>（12）《新疆维吾尔自治区大气污染防治条例》（2019年1月1日施行）；</w:t>
            </w:r>
          </w:p>
          <w:p>
            <w:pPr>
              <w:snapToGrid w:val="0"/>
              <w:spacing w:line="520" w:lineRule="exact"/>
              <w:ind w:firstLine="560" w:firstLineChars="200"/>
              <w:rPr>
                <w:color w:val="auto"/>
                <w:sz w:val="28"/>
                <w:szCs w:val="28"/>
              </w:rPr>
            </w:pPr>
            <w:r>
              <w:rPr>
                <w:rFonts w:hint="eastAsia"/>
                <w:color w:val="auto"/>
                <w:sz w:val="28"/>
                <w:szCs w:val="28"/>
              </w:rPr>
              <w:t>（13）《伊犁州直生态环境保护总体规划》（2014～2030年）；</w:t>
            </w:r>
          </w:p>
          <w:p>
            <w:pPr>
              <w:snapToGrid w:val="0"/>
              <w:spacing w:line="520" w:lineRule="exact"/>
              <w:ind w:firstLine="560" w:firstLineChars="200"/>
              <w:rPr>
                <w:color w:val="auto"/>
                <w:sz w:val="28"/>
                <w:szCs w:val="28"/>
              </w:rPr>
            </w:pPr>
            <w:r>
              <w:rPr>
                <w:rFonts w:hint="eastAsia"/>
                <w:color w:val="auto"/>
                <w:sz w:val="28"/>
                <w:szCs w:val="28"/>
              </w:rPr>
              <w:t>（14）《伊犁河谷生态环境保护条例》（2019年4月1日实施）.</w:t>
            </w:r>
          </w:p>
          <w:p>
            <w:pPr>
              <w:spacing w:line="520" w:lineRule="exact"/>
              <w:rPr>
                <w:b/>
                <w:color w:val="auto"/>
                <w:sz w:val="28"/>
              </w:rPr>
            </w:pPr>
            <w:r>
              <w:rPr>
                <w:b/>
                <w:color w:val="auto"/>
                <w:sz w:val="28"/>
              </w:rPr>
              <w:t>2.</w:t>
            </w:r>
            <w:r>
              <w:rPr>
                <w:rFonts w:hint="eastAsia"/>
                <w:b/>
                <w:color w:val="auto"/>
                <w:sz w:val="28"/>
              </w:rPr>
              <w:t>3</w:t>
            </w:r>
            <w:r>
              <w:rPr>
                <w:b/>
                <w:color w:val="auto"/>
                <w:sz w:val="28"/>
              </w:rPr>
              <w:t>技术导则</w:t>
            </w:r>
          </w:p>
          <w:p>
            <w:pPr>
              <w:spacing w:line="520" w:lineRule="exact"/>
              <w:ind w:firstLine="560" w:firstLineChars="200"/>
              <w:rPr>
                <w:color w:val="auto"/>
                <w:sz w:val="28"/>
              </w:rPr>
            </w:pPr>
            <w:r>
              <w:rPr>
                <w:color w:val="auto"/>
                <w:sz w:val="28"/>
              </w:rPr>
              <w:t>（1）</w:t>
            </w:r>
            <w:r>
              <w:rPr>
                <w:color w:val="auto"/>
                <w:sz w:val="28"/>
                <w:szCs w:val="28"/>
              </w:rPr>
              <w:t>《建设项目环境影响评价技术导则—总纲》（HJ2.1—2016）；</w:t>
            </w:r>
          </w:p>
          <w:p>
            <w:pPr>
              <w:spacing w:line="520" w:lineRule="exact"/>
              <w:ind w:firstLine="560" w:firstLineChars="200"/>
              <w:rPr>
                <w:color w:val="auto"/>
                <w:sz w:val="28"/>
              </w:rPr>
            </w:pPr>
            <w:r>
              <w:rPr>
                <w:color w:val="auto"/>
                <w:sz w:val="28"/>
              </w:rPr>
              <w:t>（2）《环境影响评价技术导则—</w:t>
            </w:r>
            <w:r>
              <w:rPr>
                <w:rFonts w:hint="eastAsia"/>
                <w:color w:val="auto"/>
                <w:sz w:val="28"/>
              </w:rPr>
              <w:t>地表水</w:t>
            </w:r>
            <w:r>
              <w:rPr>
                <w:color w:val="auto"/>
                <w:sz w:val="28"/>
              </w:rPr>
              <w:t>环境》（HJ2.3—</w:t>
            </w:r>
            <w:r>
              <w:rPr>
                <w:rFonts w:hint="eastAsia"/>
                <w:color w:val="auto"/>
                <w:sz w:val="28"/>
              </w:rPr>
              <w:t>2018</w:t>
            </w:r>
            <w:r>
              <w:rPr>
                <w:color w:val="auto"/>
                <w:sz w:val="28"/>
              </w:rPr>
              <w:t>）；</w:t>
            </w:r>
          </w:p>
          <w:p>
            <w:pPr>
              <w:spacing w:line="520" w:lineRule="exact"/>
              <w:ind w:firstLine="560" w:firstLineChars="200"/>
              <w:rPr>
                <w:color w:val="auto"/>
                <w:sz w:val="28"/>
              </w:rPr>
            </w:pPr>
            <w:r>
              <w:rPr>
                <w:color w:val="auto"/>
                <w:sz w:val="28"/>
                <w:szCs w:val="28"/>
              </w:rPr>
              <w:t>（3）《环境影响评价技术导则—地下水环境》（HJ610</w:t>
            </w:r>
            <w:r>
              <w:rPr>
                <w:color w:val="auto"/>
                <w:sz w:val="28"/>
              </w:rPr>
              <w:t>—</w:t>
            </w:r>
            <w:r>
              <w:rPr>
                <w:color w:val="auto"/>
                <w:sz w:val="28"/>
                <w:szCs w:val="28"/>
              </w:rPr>
              <w:t>201</w:t>
            </w:r>
            <w:r>
              <w:rPr>
                <w:rFonts w:hint="eastAsia"/>
                <w:color w:val="auto"/>
                <w:sz w:val="28"/>
                <w:szCs w:val="28"/>
              </w:rPr>
              <w:t>6</w:t>
            </w:r>
            <w:r>
              <w:rPr>
                <w:color w:val="auto"/>
                <w:sz w:val="28"/>
                <w:szCs w:val="28"/>
              </w:rPr>
              <w:t>）；</w:t>
            </w:r>
          </w:p>
          <w:p>
            <w:pPr>
              <w:spacing w:line="520" w:lineRule="exact"/>
              <w:ind w:firstLine="560" w:firstLineChars="200"/>
              <w:rPr>
                <w:color w:val="auto"/>
                <w:sz w:val="28"/>
              </w:rPr>
            </w:pPr>
            <w:r>
              <w:rPr>
                <w:color w:val="auto"/>
                <w:sz w:val="28"/>
              </w:rPr>
              <w:t>（4）《环境影响评价技术导则—生态影响》（HJ19—2011）；</w:t>
            </w:r>
          </w:p>
          <w:p>
            <w:pPr>
              <w:spacing w:line="520" w:lineRule="exact"/>
              <w:ind w:firstLine="560" w:firstLineChars="200"/>
              <w:rPr>
                <w:color w:val="auto"/>
                <w:sz w:val="28"/>
              </w:rPr>
            </w:pPr>
            <w:r>
              <w:rPr>
                <w:color w:val="auto"/>
                <w:sz w:val="28"/>
              </w:rPr>
              <w:t>（5）</w:t>
            </w:r>
            <w:r>
              <w:rPr>
                <w:color w:val="auto"/>
                <w:sz w:val="28"/>
                <w:szCs w:val="28"/>
              </w:rPr>
              <w:t>《环境影响评价技术导则—大气环境》（HJ2.2—20</w:t>
            </w:r>
            <w:r>
              <w:rPr>
                <w:rFonts w:hint="eastAsia"/>
                <w:color w:val="auto"/>
                <w:sz w:val="28"/>
                <w:szCs w:val="28"/>
              </w:rPr>
              <w:t>1</w:t>
            </w:r>
            <w:r>
              <w:rPr>
                <w:color w:val="auto"/>
                <w:sz w:val="28"/>
                <w:szCs w:val="28"/>
              </w:rPr>
              <w:t>8）</w:t>
            </w:r>
            <w:r>
              <w:rPr>
                <w:color w:val="auto"/>
                <w:sz w:val="28"/>
              </w:rPr>
              <w:t>；</w:t>
            </w:r>
          </w:p>
          <w:p>
            <w:pPr>
              <w:spacing w:line="520" w:lineRule="exact"/>
              <w:ind w:firstLine="560" w:firstLineChars="200"/>
              <w:rPr>
                <w:color w:val="auto"/>
                <w:sz w:val="28"/>
              </w:rPr>
            </w:pPr>
            <w:r>
              <w:rPr>
                <w:color w:val="auto"/>
                <w:sz w:val="28"/>
              </w:rPr>
              <w:t>（6）《环境影响评价技术导则—声环境》（HJ2.4—2009）</w:t>
            </w:r>
            <w:r>
              <w:rPr>
                <w:rFonts w:hint="eastAsia"/>
                <w:color w:val="auto"/>
                <w:sz w:val="28"/>
              </w:rPr>
              <w:t>；</w:t>
            </w:r>
          </w:p>
          <w:p>
            <w:pPr>
              <w:spacing w:line="520" w:lineRule="exact"/>
              <w:ind w:firstLine="560" w:firstLineChars="200"/>
              <w:rPr>
                <w:color w:val="auto"/>
                <w:sz w:val="28"/>
              </w:rPr>
            </w:pPr>
            <w:r>
              <w:rPr>
                <w:rFonts w:hint="eastAsia"/>
                <w:color w:val="auto"/>
                <w:sz w:val="28"/>
              </w:rPr>
              <w:t>（7）《环境影响评价技术导则—土壤环境（试行）》（HJ964—2018）；</w:t>
            </w:r>
          </w:p>
          <w:p>
            <w:pPr>
              <w:spacing w:line="520" w:lineRule="exact"/>
              <w:ind w:firstLine="560" w:firstLineChars="200"/>
              <w:rPr>
                <w:color w:val="auto"/>
                <w:sz w:val="28"/>
              </w:rPr>
            </w:pPr>
            <w:r>
              <w:rPr>
                <w:rFonts w:hint="eastAsia"/>
                <w:color w:val="auto"/>
                <w:sz w:val="28"/>
              </w:rPr>
              <w:t>（8）《建设项目环境风险评价技术导则》（HJ169—2018）；</w:t>
            </w:r>
          </w:p>
          <w:p>
            <w:pPr>
              <w:spacing w:line="520" w:lineRule="exact"/>
              <w:ind w:firstLine="560" w:firstLineChars="200"/>
              <w:rPr>
                <w:color w:val="auto"/>
                <w:sz w:val="28"/>
              </w:rPr>
            </w:pPr>
            <w:r>
              <w:rPr>
                <w:rFonts w:hint="eastAsia"/>
                <w:color w:val="auto"/>
                <w:sz w:val="28"/>
              </w:rPr>
              <w:t>（9）《危险废物处置工程技术导则》（HJ2042—2014）。</w:t>
            </w:r>
          </w:p>
          <w:p>
            <w:pPr>
              <w:spacing w:line="520" w:lineRule="exact"/>
              <w:rPr>
                <w:b/>
                <w:bCs/>
                <w:color w:val="auto"/>
                <w:sz w:val="28"/>
              </w:rPr>
            </w:pPr>
            <w:r>
              <w:rPr>
                <w:b/>
                <w:bCs/>
                <w:color w:val="auto"/>
                <w:sz w:val="28"/>
              </w:rPr>
              <w:t>2.</w:t>
            </w:r>
            <w:r>
              <w:rPr>
                <w:rFonts w:hint="eastAsia"/>
                <w:b/>
                <w:bCs/>
                <w:color w:val="auto"/>
                <w:sz w:val="28"/>
              </w:rPr>
              <w:t>4</w:t>
            </w:r>
            <w:r>
              <w:rPr>
                <w:b/>
                <w:bCs/>
                <w:color w:val="auto"/>
                <w:sz w:val="28"/>
              </w:rPr>
              <w:t>项目文件</w:t>
            </w:r>
          </w:p>
          <w:p>
            <w:pPr>
              <w:spacing w:line="520" w:lineRule="exact"/>
              <w:ind w:firstLine="560" w:firstLineChars="200"/>
              <w:rPr>
                <w:color w:val="auto"/>
                <w:sz w:val="28"/>
              </w:rPr>
            </w:pPr>
            <w:r>
              <w:rPr>
                <w:rFonts w:hint="eastAsia"/>
                <w:color w:val="auto"/>
                <w:sz w:val="28"/>
              </w:rPr>
              <w:t>（1）备案证明；</w:t>
            </w:r>
          </w:p>
          <w:p>
            <w:pPr>
              <w:spacing w:line="520" w:lineRule="exact"/>
              <w:ind w:firstLine="560" w:firstLineChars="200"/>
              <w:rPr>
                <w:color w:val="auto"/>
              </w:rPr>
            </w:pPr>
            <w:r>
              <w:rPr>
                <w:rFonts w:hint="eastAsia"/>
                <w:color w:val="auto"/>
                <w:sz w:val="28"/>
              </w:rPr>
              <w:t>（2）租赁合同；</w:t>
            </w:r>
          </w:p>
          <w:p>
            <w:pPr>
              <w:spacing w:line="520" w:lineRule="exact"/>
              <w:ind w:firstLine="560" w:firstLineChars="200"/>
              <w:rPr>
                <w:color w:val="auto"/>
                <w:sz w:val="28"/>
              </w:rPr>
            </w:pPr>
            <w:r>
              <w:rPr>
                <w:rFonts w:hint="eastAsia"/>
                <w:color w:val="auto"/>
                <w:sz w:val="28"/>
              </w:rPr>
              <w:t>（3）环境影响评价委托书；</w:t>
            </w:r>
          </w:p>
          <w:p>
            <w:pPr>
              <w:spacing w:line="520" w:lineRule="exact"/>
              <w:ind w:firstLine="560" w:firstLineChars="200"/>
              <w:rPr>
                <w:color w:val="auto"/>
                <w:sz w:val="28"/>
              </w:rPr>
            </w:pPr>
            <w:r>
              <w:rPr>
                <w:rFonts w:hint="eastAsia"/>
                <w:color w:val="auto"/>
                <w:sz w:val="28"/>
              </w:rPr>
              <w:t>（4）与项目有关</w:t>
            </w:r>
            <w:r>
              <w:rPr>
                <w:color w:val="auto"/>
                <w:sz w:val="28"/>
              </w:rPr>
              <w:t>的调查资料。</w:t>
            </w:r>
          </w:p>
          <w:p>
            <w:pPr>
              <w:spacing w:line="520" w:lineRule="exact"/>
              <w:rPr>
                <w:b/>
                <w:bCs/>
                <w:color w:val="auto"/>
                <w:sz w:val="28"/>
              </w:rPr>
            </w:pPr>
            <w:r>
              <w:rPr>
                <w:rFonts w:hint="eastAsia"/>
                <w:b/>
                <w:bCs/>
                <w:color w:val="auto"/>
                <w:sz w:val="28"/>
              </w:rPr>
              <w:t>3</w:t>
            </w:r>
            <w:r>
              <w:rPr>
                <w:b/>
                <w:bCs/>
                <w:color w:val="auto"/>
                <w:sz w:val="28"/>
              </w:rPr>
              <w:t>项目概况</w:t>
            </w:r>
          </w:p>
          <w:p>
            <w:pPr>
              <w:spacing w:line="520" w:lineRule="exact"/>
              <w:rPr>
                <w:b/>
                <w:color w:val="auto"/>
                <w:kern w:val="0"/>
                <w:sz w:val="28"/>
              </w:rPr>
            </w:pPr>
            <w:r>
              <w:rPr>
                <w:rFonts w:hint="eastAsia"/>
                <w:b/>
                <w:color w:val="auto"/>
                <w:kern w:val="0"/>
                <w:sz w:val="28"/>
              </w:rPr>
              <w:t>3</w:t>
            </w:r>
            <w:r>
              <w:rPr>
                <w:b/>
                <w:color w:val="auto"/>
                <w:kern w:val="0"/>
                <w:sz w:val="28"/>
              </w:rPr>
              <w:t>.1</w:t>
            </w:r>
            <w:r>
              <w:rPr>
                <w:rFonts w:hint="eastAsia"/>
                <w:b/>
                <w:color w:val="auto"/>
                <w:kern w:val="0"/>
                <w:sz w:val="28"/>
              </w:rPr>
              <w:t>项目基本情况</w:t>
            </w:r>
          </w:p>
          <w:p>
            <w:pPr>
              <w:autoSpaceDE w:val="0"/>
              <w:autoSpaceDN w:val="0"/>
              <w:adjustRightInd w:val="0"/>
              <w:spacing w:line="520" w:lineRule="exact"/>
              <w:ind w:firstLine="560" w:firstLineChars="200"/>
              <w:rPr>
                <w:color w:val="auto"/>
                <w:sz w:val="28"/>
                <w:szCs w:val="28"/>
              </w:rPr>
            </w:pPr>
            <w:r>
              <w:rPr>
                <w:rFonts w:hint="eastAsia"/>
                <w:color w:val="auto"/>
                <w:sz w:val="28"/>
                <w:szCs w:val="28"/>
              </w:rPr>
              <w:t>项目名称：新疆巩留县久达鞋业有限责任公司鞋子生产项目；</w:t>
            </w:r>
          </w:p>
          <w:p>
            <w:pPr>
              <w:autoSpaceDE w:val="0"/>
              <w:autoSpaceDN w:val="0"/>
              <w:adjustRightInd w:val="0"/>
              <w:spacing w:line="520" w:lineRule="exact"/>
              <w:ind w:firstLine="560" w:firstLineChars="200"/>
              <w:rPr>
                <w:color w:val="auto"/>
                <w:sz w:val="28"/>
                <w:szCs w:val="28"/>
              </w:rPr>
            </w:pPr>
            <w:r>
              <w:rPr>
                <w:rFonts w:hint="eastAsia"/>
                <w:color w:val="auto"/>
                <w:sz w:val="28"/>
                <w:szCs w:val="28"/>
              </w:rPr>
              <w:t>建设单位：巩留县久达鞋业有限责任公司；</w:t>
            </w:r>
          </w:p>
          <w:p>
            <w:pPr>
              <w:autoSpaceDE w:val="0"/>
              <w:autoSpaceDN w:val="0"/>
              <w:adjustRightInd w:val="0"/>
              <w:spacing w:line="520" w:lineRule="exact"/>
              <w:ind w:firstLine="560" w:firstLineChars="200"/>
              <w:rPr>
                <w:color w:val="auto"/>
                <w:sz w:val="28"/>
                <w:szCs w:val="28"/>
              </w:rPr>
            </w:pPr>
            <w:r>
              <w:rPr>
                <w:color w:val="auto"/>
                <w:sz w:val="28"/>
                <w:szCs w:val="28"/>
              </w:rPr>
              <w:t>建设地点</w:t>
            </w:r>
            <w:r>
              <w:rPr>
                <w:rFonts w:hint="eastAsia"/>
                <w:color w:val="auto"/>
                <w:sz w:val="28"/>
                <w:szCs w:val="28"/>
              </w:rPr>
              <w:t>：项目区</w:t>
            </w:r>
            <w:r>
              <w:rPr>
                <w:rFonts w:hint="eastAsia"/>
                <w:bCs/>
                <w:color w:val="auto"/>
                <w:kern w:val="0"/>
                <w:sz w:val="28"/>
              </w:rPr>
              <w:t>位于巩留县恰甫其海路南侧众帮苯板厂院内</w:t>
            </w:r>
            <w:r>
              <w:rPr>
                <w:rFonts w:hint="eastAsia"/>
                <w:color w:val="auto"/>
                <w:sz w:val="28"/>
                <w:szCs w:val="28"/>
              </w:rPr>
              <w:t>，项目区东侧为文化路，南侧为众帮苯板厂，西侧为巩留县天汇商贸有限责任公司，北侧为恰甫其海路。项目区中心地理坐标为：东经82°14′18.15″，北纬43°30′11.07″。</w:t>
            </w:r>
          </w:p>
          <w:p>
            <w:pPr>
              <w:autoSpaceDE w:val="0"/>
              <w:autoSpaceDN w:val="0"/>
              <w:adjustRightInd w:val="0"/>
              <w:spacing w:line="520" w:lineRule="exact"/>
              <w:ind w:firstLine="560" w:firstLineChars="200"/>
              <w:rPr>
                <w:color w:val="auto"/>
                <w:sz w:val="28"/>
                <w:szCs w:val="28"/>
              </w:rPr>
            </w:pPr>
            <w:r>
              <w:rPr>
                <w:rFonts w:hint="eastAsia"/>
                <w:color w:val="auto"/>
                <w:sz w:val="28"/>
                <w:szCs w:val="28"/>
              </w:rPr>
              <w:t>项目地理位置见图1。</w:t>
            </w:r>
          </w:p>
          <w:p>
            <w:pPr>
              <w:autoSpaceDE w:val="0"/>
              <w:autoSpaceDN w:val="0"/>
              <w:adjustRightInd w:val="0"/>
              <w:spacing w:line="520" w:lineRule="exact"/>
              <w:ind w:firstLine="560" w:firstLineChars="200"/>
              <w:rPr>
                <w:color w:val="auto"/>
                <w:kern w:val="0"/>
                <w:sz w:val="28"/>
              </w:rPr>
            </w:pPr>
            <w:r>
              <w:rPr>
                <w:color w:val="auto"/>
                <w:kern w:val="0"/>
                <w:sz w:val="28"/>
              </w:rPr>
              <w:t>建设性质：</w:t>
            </w:r>
            <w:r>
              <w:rPr>
                <w:rFonts w:hint="eastAsia"/>
                <w:color w:val="auto"/>
                <w:kern w:val="0"/>
                <w:sz w:val="28"/>
              </w:rPr>
              <w:t>新建</w:t>
            </w:r>
            <w:r>
              <w:rPr>
                <w:color w:val="auto"/>
                <w:kern w:val="0"/>
                <w:sz w:val="28"/>
              </w:rPr>
              <w:t>。</w:t>
            </w:r>
          </w:p>
          <w:p>
            <w:pPr>
              <w:spacing w:line="520" w:lineRule="exact"/>
              <w:rPr>
                <w:b/>
                <w:bCs/>
                <w:color w:val="auto"/>
                <w:sz w:val="28"/>
              </w:rPr>
            </w:pPr>
            <w:r>
              <w:rPr>
                <w:rFonts w:hint="eastAsia"/>
                <w:b/>
                <w:bCs/>
                <w:color w:val="auto"/>
                <w:sz w:val="28"/>
              </w:rPr>
              <w:t>3</w:t>
            </w:r>
            <w:r>
              <w:rPr>
                <w:b/>
                <w:bCs/>
                <w:color w:val="auto"/>
                <w:sz w:val="28"/>
              </w:rPr>
              <w:t>.2建设规模及内容</w:t>
            </w:r>
          </w:p>
          <w:p>
            <w:pPr>
              <w:spacing w:line="520" w:lineRule="exact"/>
              <w:ind w:firstLine="560" w:firstLineChars="200"/>
              <w:rPr>
                <w:bCs/>
                <w:color w:val="auto"/>
                <w:sz w:val="28"/>
              </w:rPr>
            </w:pPr>
            <w:r>
              <w:rPr>
                <w:rFonts w:hint="eastAsia"/>
                <w:color w:val="auto"/>
                <w:sz w:val="28"/>
                <w:szCs w:val="28"/>
              </w:rPr>
              <w:t>项目</w:t>
            </w:r>
            <w:r>
              <w:rPr>
                <w:rFonts w:hint="eastAsia"/>
                <w:color w:val="auto"/>
                <w:sz w:val="28"/>
              </w:rPr>
              <w:t>厂区租用众帮苯板厂面积750m</w:t>
            </w:r>
            <w:r>
              <w:rPr>
                <w:rFonts w:hint="eastAsia"/>
                <w:color w:val="auto"/>
                <w:sz w:val="28"/>
                <w:vertAlign w:val="superscript"/>
              </w:rPr>
              <w:t>2</w:t>
            </w:r>
            <w:r>
              <w:rPr>
                <w:rFonts w:hint="eastAsia"/>
                <w:color w:val="auto"/>
                <w:sz w:val="28"/>
                <w:szCs w:val="28"/>
              </w:rPr>
              <w:t>，其中租用厂房面积700m</w:t>
            </w:r>
            <w:r>
              <w:rPr>
                <w:rFonts w:hint="eastAsia"/>
                <w:color w:val="auto"/>
                <w:sz w:val="28"/>
                <w:szCs w:val="28"/>
                <w:vertAlign w:val="superscript"/>
              </w:rPr>
              <w:t>2</w:t>
            </w:r>
            <w:r>
              <w:rPr>
                <w:rFonts w:hint="eastAsia"/>
                <w:color w:val="auto"/>
                <w:sz w:val="28"/>
                <w:szCs w:val="28"/>
              </w:rPr>
              <w:t>，租用生活用房50m</w:t>
            </w:r>
            <w:r>
              <w:rPr>
                <w:rFonts w:hint="eastAsia"/>
                <w:color w:val="auto"/>
                <w:sz w:val="28"/>
                <w:szCs w:val="28"/>
                <w:vertAlign w:val="superscript"/>
              </w:rPr>
              <w:t>2</w:t>
            </w:r>
            <w:r>
              <w:rPr>
                <w:rFonts w:hint="eastAsia"/>
                <w:color w:val="auto"/>
                <w:sz w:val="28"/>
                <w:szCs w:val="28"/>
              </w:rPr>
              <w:t>。</w:t>
            </w:r>
            <w:r>
              <w:rPr>
                <w:rFonts w:hint="eastAsia"/>
                <w:color w:val="auto"/>
                <w:sz w:val="28"/>
                <w:szCs w:val="28"/>
              </w:rPr>
              <w:t>厂区现状租用已建厂房、办公生活用房</w:t>
            </w:r>
            <w:r>
              <w:rPr>
                <w:rFonts w:hint="eastAsia"/>
                <w:color w:val="auto"/>
                <w:sz w:val="28"/>
              </w:rPr>
              <w:t>。项目建成后，建设1条PVC拖鞋生产线，1条EVA拖鞋生产线，年生产塑料拖鞋100万双</w:t>
            </w:r>
            <w:r>
              <w:rPr>
                <w:rFonts w:hint="eastAsia"/>
                <w:bCs/>
                <w:color w:val="auto"/>
                <w:sz w:val="28"/>
              </w:rPr>
              <w:t>。</w:t>
            </w:r>
          </w:p>
          <w:p>
            <w:pPr>
              <w:spacing w:line="520" w:lineRule="exact"/>
              <w:rPr>
                <w:b/>
                <w:bCs/>
                <w:color w:val="auto"/>
                <w:sz w:val="28"/>
              </w:rPr>
            </w:pPr>
            <w:r>
              <w:rPr>
                <w:rFonts w:hint="eastAsia"/>
                <w:b/>
                <w:bCs/>
                <w:color w:val="auto"/>
                <w:sz w:val="28"/>
              </w:rPr>
              <w:t>3.3主要生产设备</w:t>
            </w:r>
          </w:p>
          <w:p>
            <w:pPr>
              <w:spacing w:line="520" w:lineRule="exact"/>
              <w:ind w:firstLine="560" w:firstLineChars="200"/>
              <w:rPr>
                <w:color w:val="auto"/>
                <w:sz w:val="28"/>
                <w:szCs w:val="28"/>
              </w:rPr>
            </w:pPr>
            <w:r>
              <w:rPr>
                <w:rFonts w:hint="eastAsia"/>
                <w:color w:val="auto"/>
                <w:sz w:val="28"/>
                <w:szCs w:val="28"/>
              </w:rPr>
              <w:t>本项目拟建PVC拖鞋生产线1条，EVA拖鞋生产线1条，本项目主要生产设备见表1</w:t>
            </w:r>
            <w:r>
              <w:rPr>
                <w:color w:val="auto"/>
                <w:sz w:val="28"/>
                <w:szCs w:val="28"/>
              </w:rPr>
              <w:t>。</w:t>
            </w:r>
          </w:p>
          <w:p>
            <w:pPr>
              <w:ind w:firstLine="600" w:firstLineChars="250"/>
              <w:rPr>
                <w:rFonts w:eastAsia="黑体"/>
                <w:color w:val="auto"/>
                <w:sz w:val="24"/>
              </w:rPr>
            </w:pPr>
            <w:r>
              <w:rPr>
                <w:rFonts w:hint="eastAsia" w:eastAsia="黑体"/>
                <w:color w:val="auto"/>
                <w:sz w:val="24"/>
              </w:rPr>
              <w:t>表1                      项目主要生产设备一览表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302"/>
              <w:gridCol w:w="5212"/>
              <w:gridCol w:w="1310"/>
              <w:gridCol w:w="131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2" w:type="pct"/>
                  <w:shd w:val="clear" w:color="auto" w:fill="auto"/>
                  <w:noWrap/>
                  <w:vAlign w:val="center"/>
                </w:tcPr>
                <w:p>
                  <w:pPr>
                    <w:jc w:val="center"/>
                    <w:rPr>
                      <w:b/>
                      <w:color w:val="auto"/>
                      <w:szCs w:val="21"/>
                    </w:rPr>
                  </w:pPr>
                  <w:r>
                    <w:rPr>
                      <w:rFonts w:hint="eastAsia"/>
                      <w:b/>
                      <w:color w:val="auto"/>
                      <w:szCs w:val="21"/>
                    </w:rPr>
                    <w:t>序号</w:t>
                  </w:r>
                </w:p>
              </w:tc>
              <w:tc>
                <w:tcPr>
                  <w:tcW w:w="2849" w:type="pct"/>
                  <w:shd w:val="clear" w:color="auto" w:fill="auto"/>
                  <w:noWrap/>
                  <w:vAlign w:val="center"/>
                </w:tcPr>
                <w:p>
                  <w:pPr>
                    <w:jc w:val="center"/>
                    <w:rPr>
                      <w:b/>
                      <w:color w:val="auto"/>
                      <w:szCs w:val="21"/>
                    </w:rPr>
                  </w:pPr>
                  <w:r>
                    <w:rPr>
                      <w:rFonts w:hint="eastAsia"/>
                      <w:b/>
                      <w:color w:val="auto"/>
                      <w:szCs w:val="21"/>
                    </w:rPr>
                    <w:t>设备名称</w:t>
                  </w:r>
                </w:p>
              </w:tc>
              <w:tc>
                <w:tcPr>
                  <w:tcW w:w="716" w:type="pct"/>
                  <w:shd w:val="clear" w:color="auto" w:fill="auto"/>
                  <w:noWrap/>
                  <w:vAlign w:val="center"/>
                </w:tcPr>
                <w:p>
                  <w:pPr>
                    <w:jc w:val="center"/>
                    <w:rPr>
                      <w:b/>
                      <w:color w:val="auto"/>
                      <w:szCs w:val="21"/>
                    </w:rPr>
                  </w:pPr>
                  <w:r>
                    <w:rPr>
                      <w:rFonts w:hint="eastAsia"/>
                      <w:b/>
                      <w:color w:val="auto"/>
                      <w:szCs w:val="21"/>
                    </w:rPr>
                    <w:t>单位</w:t>
                  </w:r>
                </w:p>
              </w:tc>
              <w:tc>
                <w:tcPr>
                  <w:tcW w:w="721" w:type="pct"/>
                  <w:shd w:val="clear" w:color="auto" w:fill="auto"/>
                  <w:noWrap/>
                  <w:vAlign w:val="center"/>
                </w:tcPr>
                <w:p>
                  <w:pPr>
                    <w:jc w:val="center"/>
                    <w:rPr>
                      <w:b/>
                      <w:color w:val="auto"/>
                      <w:szCs w:val="21"/>
                    </w:rPr>
                  </w:pPr>
                  <w:r>
                    <w:rPr>
                      <w:rFonts w:hint="eastAsia"/>
                      <w:b/>
                      <w:color w:val="auto"/>
                      <w:szCs w:val="21"/>
                    </w:rPr>
                    <w:t>数量</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2" w:type="pct"/>
                  <w:shd w:val="clear" w:color="auto" w:fill="auto"/>
                  <w:noWrap/>
                  <w:vAlign w:val="center"/>
                </w:tcPr>
                <w:p>
                  <w:pPr>
                    <w:jc w:val="center"/>
                    <w:rPr>
                      <w:color w:val="auto"/>
                      <w:szCs w:val="21"/>
                    </w:rPr>
                  </w:pPr>
                  <w:r>
                    <w:rPr>
                      <w:color w:val="auto"/>
                      <w:szCs w:val="21"/>
                    </w:rPr>
                    <w:t>1</w:t>
                  </w:r>
                </w:p>
              </w:tc>
              <w:tc>
                <w:tcPr>
                  <w:tcW w:w="2849" w:type="pct"/>
                  <w:shd w:val="clear" w:color="auto" w:fill="auto"/>
                  <w:noWrap/>
                  <w:vAlign w:val="center"/>
                </w:tcPr>
                <w:p>
                  <w:pPr>
                    <w:jc w:val="center"/>
                    <w:rPr>
                      <w:color w:val="auto"/>
                      <w:szCs w:val="21"/>
                    </w:rPr>
                  </w:pPr>
                  <w:r>
                    <w:rPr>
                      <w:rFonts w:hint="eastAsia"/>
                      <w:color w:val="auto"/>
                      <w:szCs w:val="21"/>
                    </w:rPr>
                    <w:t>EVA一次注射成型机</w:t>
                  </w:r>
                </w:p>
              </w:tc>
              <w:tc>
                <w:tcPr>
                  <w:tcW w:w="716" w:type="pct"/>
                  <w:shd w:val="clear" w:color="auto" w:fill="auto"/>
                  <w:noWrap/>
                  <w:vAlign w:val="center"/>
                </w:tcPr>
                <w:p>
                  <w:pPr>
                    <w:jc w:val="center"/>
                    <w:rPr>
                      <w:color w:val="auto"/>
                      <w:szCs w:val="21"/>
                    </w:rPr>
                  </w:pPr>
                  <w:r>
                    <w:rPr>
                      <w:rFonts w:hint="eastAsia"/>
                      <w:color w:val="auto"/>
                      <w:szCs w:val="21"/>
                    </w:rPr>
                    <w:t>台</w:t>
                  </w:r>
                </w:p>
              </w:tc>
              <w:tc>
                <w:tcPr>
                  <w:tcW w:w="721" w:type="pct"/>
                  <w:shd w:val="clear" w:color="auto" w:fill="auto"/>
                  <w:noWrap/>
                  <w:vAlign w:val="center"/>
                </w:tcPr>
                <w:p>
                  <w:pPr>
                    <w:jc w:val="center"/>
                    <w:rPr>
                      <w:color w:val="auto"/>
                      <w:szCs w:val="21"/>
                    </w:rPr>
                  </w:pPr>
                  <w:r>
                    <w:rPr>
                      <w:rFonts w:hint="eastAsia"/>
                      <w:color w:val="auto"/>
                      <w:szCs w:val="21"/>
                    </w:rPr>
                    <w:t>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2" w:type="pct"/>
                  <w:shd w:val="clear" w:color="auto" w:fill="auto"/>
                  <w:noWrap/>
                  <w:vAlign w:val="center"/>
                </w:tcPr>
                <w:p>
                  <w:pPr>
                    <w:jc w:val="center"/>
                    <w:rPr>
                      <w:color w:val="auto"/>
                      <w:szCs w:val="21"/>
                    </w:rPr>
                  </w:pPr>
                  <w:r>
                    <w:rPr>
                      <w:color w:val="auto"/>
                      <w:szCs w:val="21"/>
                    </w:rPr>
                    <w:t>2</w:t>
                  </w:r>
                </w:p>
              </w:tc>
              <w:tc>
                <w:tcPr>
                  <w:tcW w:w="2849" w:type="pct"/>
                  <w:shd w:val="clear" w:color="auto" w:fill="auto"/>
                  <w:noWrap/>
                  <w:vAlign w:val="center"/>
                </w:tcPr>
                <w:p>
                  <w:pPr>
                    <w:jc w:val="center"/>
                    <w:rPr>
                      <w:color w:val="auto"/>
                      <w:szCs w:val="21"/>
                    </w:rPr>
                  </w:pPr>
                  <w:r>
                    <w:rPr>
                      <w:rFonts w:hint="eastAsia"/>
                      <w:color w:val="auto"/>
                      <w:szCs w:val="21"/>
                    </w:rPr>
                    <w:t>PVC一次注射成型机</w:t>
                  </w:r>
                </w:p>
              </w:tc>
              <w:tc>
                <w:tcPr>
                  <w:tcW w:w="716" w:type="pct"/>
                  <w:shd w:val="clear" w:color="auto" w:fill="auto"/>
                  <w:noWrap/>
                  <w:vAlign w:val="center"/>
                </w:tcPr>
                <w:p>
                  <w:pPr>
                    <w:jc w:val="center"/>
                    <w:rPr>
                      <w:color w:val="auto"/>
                      <w:szCs w:val="21"/>
                    </w:rPr>
                  </w:pPr>
                  <w:r>
                    <w:rPr>
                      <w:rFonts w:hint="eastAsia"/>
                      <w:color w:val="auto"/>
                      <w:szCs w:val="21"/>
                    </w:rPr>
                    <w:t>套</w:t>
                  </w:r>
                </w:p>
              </w:tc>
              <w:tc>
                <w:tcPr>
                  <w:tcW w:w="721" w:type="pct"/>
                  <w:shd w:val="clear" w:color="auto" w:fill="auto"/>
                  <w:noWrap/>
                  <w:vAlign w:val="center"/>
                </w:tcPr>
                <w:p>
                  <w:pPr>
                    <w:jc w:val="center"/>
                    <w:rPr>
                      <w:color w:val="auto"/>
                      <w:szCs w:val="21"/>
                    </w:rPr>
                  </w:pPr>
                  <w:r>
                    <w:rPr>
                      <w:rFonts w:hint="eastAsia"/>
                      <w:color w:val="auto"/>
                      <w:szCs w:val="21"/>
                    </w:rPr>
                    <w:t>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2" w:type="pct"/>
                  <w:shd w:val="clear" w:color="auto" w:fill="auto"/>
                  <w:noWrap/>
                  <w:vAlign w:val="center"/>
                </w:tcPr>
                <w:p>
                  <w:pPr>
                    <w:jc w:val="center"/>
                    <w:rPr>
                      <w:color w:val="auto"/>
                      <w:szCs w:val="21"/>
                    </w:rPr>
                  </w:pPr>
                  <w:r>
                    <w:rPr>
                      <w:color w:val="auto"/>
                      <w:szCs w:val="21"/>
                    </w:rPr>
                    <w:t>3</w:t>
                  </w:r>
                </w:p>
              </w:tc>
              <w:tc>
                <w:tcPr>
                  <w:tcW w:w="2849" w:type="pct"/>
                  <w:shd w:val="clear" w:color="auto" w:fill="auto"/>
                  <w:noWrap/>
                  <w:vAlign w:val="center"/>
                </w:tcPr>
                <w:p>
                  <w:pPr>
                    <w:jc w:val="center"/>
                    <w:rPr>
                      <w:color w:val="auto"/>
                      <w:szCs w:val="21"/>
                    </w:rPr>
                  </w:pPr>
                  <w:r>
                    <w:rPr>
                      <w:rFonts w:hint="eastAsia"/>
                      <w:color w:val="auto"/>
                      <w:szCs w:val="21"/>
                    </w:rPr>
                    <w:t>破碎机</w:t>
                  </w:r>
                </w:p>
              </w:tc>
              <w:tc>
                <w:tcPr>
                  <w:tcW w:w="716" w:type="pct"/>
                  <w:shd w:val="clear" w:color="auto" w:fill="auto"/>
                  <w:noWrap/>
                  <w:vAlign w:val="center"/>
                </w:tcPr>
                <w:p>
                  <w:pPr>
                    <w:jc w:val="center"/>
                    <w:rPr>
                      <w:color w:val="auto"/>
                      <w:szCs w:val="21"/>
                    </w:rPr>
                  </w:pPr>
                  <w:r>
                    <w:rPr>
                      <w:rFonts w:hint="eastAsia"/>
                      <w:color w:val="auto"/>
                      <w:szCs w:val="21"/>
                    </w:rPr>
                    <w:t>台</w:t>
                  </w:r>
                </w:p>
              </w:tc>
              <w:tc>
                <w:tcPr>
                  <w:tcW w:w="721" w:type="pct"/>
                  <w:shd w:val="clear" w:color="auto" w:fill="auto"/>
                  <w:noWrap/>
                  <w:vAlign w:val="center"/>
                </w:tcPr>
                <w:p>
                  <w:pPr>
                    <w:jc w:val="center"/>
                    <w:rPr>
                      <w:color w:val="auto"/>
                      <w:szCs w:val="21"/>
                    </w:rPr>
                  </w:pPr>
                  <w:r>
                    <w:rPr>
                      <w:rFonts w:hint="eastAsia"/>
                      <w:color w:val="auto"/>
                      <w:szCs w:val="21"/>
                    </w:rPr>
                    <w:t>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2" w:type="pct"/>
                  <w:shd w:val="clear" w:color="auto" w:fill="auto"/>
                  <w:noWrap/>
                  <w:vAlign w:val="center"/>
                </w:tcPr>
                <w:p>
                  <w:pPr>
                    <w:jc w:val="center"/>
                    <w:rPr>
                      <w:color w:val="auto"/>
                      <w:szCs w:val="21"/>
                    </w:rPr>
                  </w:pPr>
                  <w:r>
                    <w:rPr>
                      <w:rFonts w:hint="eastAsia"/>
                      <w:color w:val="auto"/>
                      <w:szCs w:val="21"/>
                    </w:rPr>
                    <w:t>4</w:t>
                  </w:r>
                </w:p>
              </w:tc>
              <w:tc>
                <w:tcPr>
                  <w:tcW w:w="2849" w:type="pct"/>
                  <w:shd w:val="clear" w:color="auto" w:fill="auto"/>
                  <w:noWrap/>
                  <w:vAlign w:val="center"/>
                </w:tcPr>
                <w:p>
                  <w:pPr>
                    <w:jc w:val="center"/>
                    <w:rPr>
                      <w:color w:val="auto"/>
                      <w:szCs w:val="21"/>
                    </w:rPr>
                  </w:pPr>
                  <w:r>
                    <w:rPr>
                      <w:rFonts w:hint="eastAsia"/>
                      <w:color w:val="auto"/>
                      <w:szCs w:val="21"/>
                    </w:rPr>
                    <w:t>空压机</w:t>
                  </w:r>
                </w:p>
              </w:tc>
              <w:tc>
                <w:tcPr>
                  <w:tcW w:w="716" w:type="pct"/>
                  <w:shd w:val="clear" w:color="auto" w:fill="auto"/>
                  <w:noWrap/>
                  <w:vAlign w:val="center"/>
                </w:tcPr>
                <w:p>
                  <w:pPr>
                    <w:jc w:val="center"/>
                    <w:rPr>
                      <w:color w:val="auto"/>
                      <w:szCs w:val="21"/>
                    </w:rPr>
                  </w:pPr>
                  <w:r>
                    <w:rPr>
                      <w:rFonts w:hint="eastAsia"/>
                      <w:color w:val="auto"/>
                      <w:szCs w:val="21"/>
                    </w:rPr>
                    <w:t>台</w:t>
                  </w:r>
                </w:p>
              </w:tc>
              <w:tc>
                <w:tcPr>
                  <w:tcW w:w="721" w:type="pct"/>
                  <w:shd w:val="clear" w:color="auto" w:fill="auto"/>
                  <w:noWrap/>
                  <w:vAlign w:val="center"/>
                </w:tcPr>
                <w:p>
                  <w:pPr>
                    <w:jc w:val="center"/>
                    <w:rPr>
                      <w:color w:val="auto"/>
                      <w:szCs w:val="21"/>
                    </w:rPr>
                  </w:pPr>
                  <w:r>
                    <w:rPr>
                      <w:rFonts w:hint="eastAsia"/>
                      <w:color w:val="auto"/>
                      <w:szCs w:val="21"/>
                    </w:rPr>
                    <w:t>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2" w:type="pct"/>
                  <w:shd w:val="clear" w:color="auto" w:fill="auto"/>
                  <w:noWrap/>
                  <w:vAlign w:val="center"/>
                </w:tcPr>
                <w:p>
                  <w:pPr>
                    <w:jc w:val="center"/>
                    <w:rPr>
                      <w:color w:val="auto"/>
                      <w:szCs w:val="21"/>
                    </w:rPr>
                  </w:pPr>
                  <w:r>
                    <w:rPr>
                      <w:rFonts w:hint="eastAsia"/>
                      <w:color w:val="auto"/>
                      <w:szCs w:val="21"/>
                    </w:rPr>
                    <w:t>5</w:t>
                  </w:r>
                </w:p>
              </w:tc>
              <w:tc>
                <w:tcPr>
                  <w:tcW w:w="2849" w:type="pct"/>
                  <w:shd w:val="clear" w:color="auto" w:fill="auto"/>
                  <w:noWrap/>
                  <w:vAlign w:val="center"/>
                </w:tcPr>
                <w:p>
                  <w:pPr>
                    <w:jc w:val="center"/>
                    <w:rPr>
                      <w:color w:val="auto"/>
                      <w:szCs w:val="21"/>
                    </w:rPr>
                  </w:pPr>
                  <w:r>
                    <w:rPr>
                      <w:rFonts w:hint="eastAsia"/>
                      <w:color w:val="auto"/>
                      <w:szCs w:val="21"/>
                    </w:rPr>
                    <w:t>混色机</w:t>
                  </w:r>
                </w:p>
              </w:tc>
              <w:tc>
                <w:tcPr>
                  <w:tcW w:w="716" w:type="pct"/>
                  <w:shd w:val="clear" w:color="auto" w:fill="auto"/>
                  <w:noWrap/>
                  <w:vAlign w:val="center"/>
                </w:tcPr>
                <w:p>
                  <w:pPr>
                    <w:jc w:val="center"/>
                    <w:rPr>
                      <w:color w:val="auto"/>
                      <w:szCs w:val="21"/>
                    </w:rPr>
                  </w:pPr>
                  <w:r>
                    <w:rPr>
                      <w:rFonts w:hint="eastAsia"/>
                      <w:color w:val="auto"/>
                      <w:szCs w:val="21"/>
                    </w:rPr>
                    <w:t>台</w:t>
                  </w:r>
                </w:p>
              </w:tc>
              <w:tc>
                <w:tcPr>
                  <w:tcW w:w="721" w:type="pct"/>
                  <w:shd w:val="clear" w:color="auto" w:fill="auto"/>
                  <w:noWrap/>
                  <w:vAlign w:val="center"/>
                </w:tcPr>
                <w:p>
                  <w:pPr>
                    <w:jc w:val="center"/>
                    <w:rPr>
                      <w:color w:val="auto"/>
                      <w:szCs w:val="21"/>
                    </w:rPr>
                  </w:pPr>
                  <w:r>
                    <w:rPr>
                      <w:rFonts w:hint="eastAsia"/>
                      <w:color w:val="auto"/>
                      <w:szCs w:val="21"/>
                    </w:rPr>
                    <w:t>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2" w:type="pct"/>
                  <w:shd w:val="clear" w:color="auto" w:fill="auto"/>
                  <w:noWrap/>
                  <w:vAlign w:val="center"/>
                </w:tcPr>
                <w:p>
                  <w:pPr>
                    <w:jc w:val="center"/>
                    <w:rPr>
                      <w:color w:val="auto"/>
                      <w:szCs w:val="21"/>
                    </w:rPr>
                  </w:pPr>
                  <w:r>
                    <w:rPr>
                      <w:rFonts w:hint="eastAsia"/>
                      <w:color w:val="auto"/>
                      <w:szCs w:val="21"/>
                    </w:rPr>
                    <w:t>6</w:t>
                  </w:r>
                </w:p>
              </w:tc>
              <w:tc>
                <w:tcPr>
                  <w:tcW w:w="2849" w:type="pct"/>
                  <w:shd w:val="clear" w:color="auto" w:fill="auto"/>
                  <w:noWrap/>
                  <w:vAlign w:val="center"/>
                </w:tcPr>
                <w:p>
                  <w:pPr>
                    <w:jc w:val="center"/>
                    <w:rPr>
                      <w:color w:val="auto"/>
                      <w:szCs w:val="21"/>
                    </w:rPr>
                  </w:pPr>
                  <w:r>
                    <w:rPr>
                      <w:rFonts w:hint="eastAsia"/>
                      <w:color w:val="auto"/>
                      <w:szCs w:val="21"/>
                    </w:rPr>
                    <w:t>冷却塔</w:t>
                  </w:r>
                </w:p>
              </w:tc>
              <w:tc>
                <w:tcPr>
                  <w:tcW w:w="716" w:type="pct"/>
                  <w:shd w:val="clear" w:color="auto" w:fill="auto"/>
                  <w:noWrap/>
                  <w:vAlign w:val="center"/>
                </w:tcPr>
                <w:p>
                  <w:pPr>
                    <w:jc w:val="center"/>
                    <w:rPr>
                      <w:color w:val="auto"/>
                      <w:szCs w:val="21"/>
                    </w:rPr>
                  </w:pPr>
                  <w:r>
                    <w:rPr>
                      <w:rFonts w:hint="eastAsia"/>
                      <w:color w:val="auto"/>
                      <w:szCs w:val="21"/>
                    </w:rPr>
                    <w:t>台</w:t>
                  </w:r>
                </w:p>
              </w:tc>
              <w:tc>
                <w:tcPr>
                  <w:tcW w:w="721" w:type="pct"/>
                  <w:shd w:val="clear" w:color="auto" w:fill="auto"/>
                  <w:noWrap/>
                  <w:vAlign w:val="center"/>
                </w:tcPr>
                <w:p>
                  <w:pPr>
                    <w:jc w:val="center"/>
                    <w:rPr>
                      <w:color w:val="auto"/>
                      <w:szCs w:val="21"/>
                    </w:rPr>
                  </w:pPr>
                  <w:r>
                    <w:rPr>
                      <w:rFonts w:hint="eastAsia"/>
                      <w:color w:val="auto"/>
                      <w:szCs w:val="21"/>
                    </w:rPr>
                    <w:t>1</w:t>
                  </w:r>
                </w:p>
              </w:tc>
            </w:tr>
          </w:tbl>
          <w:p>
            <w:pPr>
              <w:spacing w:line="520" w:lineRule="exact"/>
              <w:rPr>
                <w:b/>
                <w:bCs/>
                <w:color w:val="auto"/>
                <w:sz w:val="28"/>
              </w:rPr>
            </w:pPr>
            <w:r>
              <w:rPr>
                <w:rFonts w:hint="eastAsia"/>
                <w:b/>
                <w:bCs/>
                <w:color w:val="auto"/>
                <w:sz w:val="28"/>
              </w:rPr>
              <w:t>3.4原料及产品</w:t>
            </w:r>
          </w:p>
          <w:p>
            <w:pPr>
              <w:spacing w:line="520" w:lineRule="exact"/>
              <w:rPr>
                <w:b/>
                <w:bCs/>
                <w:color w:val="auto"/>
                <w:sz w:val="28"/>
              </w:rPr>
            </w:pPr>
            <w:r>
              <w:rPr>
                <w:rFonts w:hint="eastAsia"/>
                <w:b/>
                <w:bCs/>
                <w:color w:val="auto"/>
                <w:sz w:val="28"/>
              </w:rPr>
              <w:t>3.4.1主要原料及产品量</w:t>
            </w:r>
          </w:p>
          <w:p>
            <w:pPr>
              <w:spacing w:line="520" w:lineRule="exact"/>
              <w:ind w:firstLine="560" w:firstLineChars="200"/>
              <w:rPr>
                <w:bCs/>
                <w:color w:val="auto"/>
                <w:sz w:val="28"/>
              </w:rPr>
            </w:pPr>
            <w:r>
              <w:rPr>
                <w:rFonts w:hint="eastAsia"/>
                <w:bCs/>
                <w:color w:val="auto"/>
                <w:sz w:val="28"/>
              </w:rPr>
              <w:t>根据业主提供资料，项目拖鞋生产原料为PVC颗粒和EVA颗粒。本项目塑料颗粒均为外购的原生塑料颗粒，不使用废旧塑料和再生塑料用作生产。原料及产品如表2所示。</w:t>
            </w:r>
          </w:p>
          <w:p>
            <w:pPr>
              <w:ind w:firstLine="600" w:firstLineChars="250"/>
              <w:rPr>
                <w:rFonts w:eastAsia="黑体"/>
                <w:color w:val="auto"/>
                <w:sz w:val="24"/>
              </w:rPr>
            </w:pPr>
          </w:p>
          <w:p>
            <w:pPr>
              <w:ind w:firstLine="600" w:firstLineChars="250"/>
              <w:rPr>
                <w:rFonts w:eastAsia="黑体"/>
                <w:color w:val="auto"/>
                <w:sz w:val="24"/>
              </w:rPr>
            </w:pPr>
          </w:p>
          <w:p>
            <w:pPr>
              <w:ind w:firstLine="600" w:firstLineChars="250"/>
              <w:rPr>
                <w:rFonts w:eastAsia="黑体"/>
                <w:color w:val="auto"/>
                <w:sz w:val="24"/>
              </w:rPr>
            </w:pPr>
          </w:p>
          <w:p>
            <w:pPr>
              <w:ind w:firstLine="600" w:firstLineChars="250"/>
              <w:rPr>
                <w:rFonts w:eastAsia="黑体"/>
                <w:color w:val="auto"/>
                <w:sz w:val="24"/>
              </w:rPr>
            </w:pPr>
          </w:p>
          <w:p>
            <w:pPr>
              <w:ind w:firstLine="600" w:firstLineChars="250"/>
              <w:rPr>
                <w:rFonts w:eastAsia="黑体"/>
                <w:color w:val="auto"/>
                <w:sz w:val="24"/>
              </w:rPr>
            </w:pPr>
          </w:p>
          <w:p>
            <w:pPr>
              <w:ind w:firstLine="600" w:firstLineChars="250"/>
              <w:rPr>
                <w:rFonts w:eastAsia="黑体"/>
                <w:color w:val="auto"/>
                <w:sz w:val="24"/>
              </w:rPr>
            </w:pPr>
          </w:p>
          <w:p>
            <w:pPr>
              <w:ind w:firstLine="600" w:firstLineChars="250"/>
              <w:rPr>
                <w:rFonts w:eastAsia="黑体"/>
                <w:color w:val="auto"/>
                <w:sz w:val="24"/>
              </w:rPr>
            </w:pPr>
          </w:p>
          <w:p>
            <w:pPr>
              <w:ind w:firstLine="600" w:firstLineChars="250"/>
              <w:rPr>
                <w:rFonts w:eastAsia="黑体"/>
                <w:color w:val="auto"/>
                <w:sz w:val="24"/>
              </w:rPr>
            </w:pPr>
          </w:p>
          <w:p>
            <w:pPr>
              <w:ind w:firstLine="600" w:firstLineChars="250"/>
              <w:rPr>
                <w:rFonts w:eastAsia="黑体"/>
                <w:color w:val="auto"/>
                <w:sz w:val="24"/>
              </w:rPr>
            </w:pPr>
            <w:r>
              <w:rPr>
                <w:rFonts w:hint="eastAsia" w:eastAsia="黑体"/>
                <w:color w:val="auto"/>
                <w:sz w:val="24"/>
              </w:rPr>
              <w:t>表2                      主要原料及产品量</w:t>
            </w:r>
          </w:p>
          <w:tbl>
            <w:tblPr>
              <w:tblStyle w:val="24"/>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454"/>
              <w:gridCol w:w="2009"/>
              <w:gridCol w:w="1904"/>
              <w:gridCol w:w="1378"/>
              <w:gridCol w:w="2398"/>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93" w:type="pct"/>
                  <w:gridSpan w:val="2"/>
                  <w:vAlign w:val="center"/>
                </w:tcPr>
                <w:p>
                  <w:pPr>
                    <w:ind w:firstLine="6"/>
                    <w:jc w:val="center"/>
                    <w:rPr>
                      <w:snapToGrid w:val="0"/>
                      <w:color w:val="auto"/>
                      <w:szCs w:val="21"/>
                    </w:rPr>
                  </w:pPr>
                  <w:r>
                    <w:rPr>
                      <w:rFonts w:hint="eastAsia" w:hAnsi="宋体"/>
                      <w:snapToGrid w:val="0"/>
                      <w:color w:val="auto"/>
                      <w:szCs w:val="21"/>
                    </w:rPr>
                    <w:t>名  称</w:t>
                  </w:r>
                </w:p>
              </w:tc>
              <w:tc>
                <w:tcPr>
                  <w:tcW w:w="1041" w:type="pct"/>
                  <w:vAlign w:val="center"/>
                </w:tcPr>
                <w:p>
                  <w:pPr>
                    <w:ind w:firstLine="6"/>
                    <w:jc w:val="center"/>
                    <w:rPr>
                      <w:snapToGrid w:val="0"/>
                      <w:color w:val="auto"/>
                      <w:szCs w:val="21"/>
                    </w:rPr>
                  </w:pPr>
                  <w:r>
                    <w:rPr>
                      <w:rFonts w:hAnsi="宋体"/>
                      <w:snapToGrid w:val="0"/>
                      <w:color w:val="auto"/>
                      <w:szCs w:val="21"/>
                    </w:rPr>
                    <w:t>单</w:t>
                  </w:r>
                  <w:r>
                    <w:rPr>
                      <w:rFonts w:hint="eastAsia" w:hAnsi="宋体"/>
                      <w:snapToGrid w:val="0"/>
                      <w:color w:val="auto"/>
                      <w:szCs w:val="21"/>
                    </w:rPr>
                    <w:t xml:space="preserve">  </w:t>
                  </w:r>
                  <w:r>
                    <w:rPr>
                      <w:rFonts w:hAnsi="宋体"/>
                      <w:snapToGrid w:val="0"/>
                      <w:color w:val="auto"/>
                      <w:szCs w:val="21"/>
                    </w:rPr>
                    <w:t>位</w:t>
                  </w:r>
                </w:p>
              </w:tc>
              <w:tc>
                <w:tcPr>
                  <w:tcW w:w="753" w:type="pct"/>
                  <w:vAlign w:val="center"/>
                </w:tcPr>
                <w:p>
                  <w:pPr>
                    <w:ind w:firstLine="6"/>
                    <w:jc w:val="center"/>
                    <w:rPr>
                      <w:snapToGrid w:val="0"/>
                      <w:color w:val="auto"/>
                      <w:szCs w:val="21"/>
                    </w:rPr>
                  </w:pPr>
                  <w:r>
                    <w:rPr>
                      <w:rFonts w:hAnsi="宋体"/>
                      <w:snapToGrid w:val="0"/>
                      <w:color w:val="auto"/>
                      <w:szCs w:val="21"/>
                    </w:rPr>
                    <w:t>数</w:t>
                  </w:r>
                  <w:r>
                    <w:rPr>
                      <w:rFonts w:hint="eastAsia" w:hAnsi="宋体"/>
                      <w:snapToGrid w:val="0"/>
                      <w:color w:val="auto"/>
                      <w:szCs w:val="21"/>
                    </w:rPr>
                    <w:t xml:space="preserve">  </w:t>
                  </w:r>
                  <w:r>
                    <w:rPr>
                      <w:rFonts w:hAnsi="宋体"/>
                      <w:snapToGrid w:val="0"/>
                      <w:color w:val="auto"/>
                      <w:szCs w:val="21"/>
                    </w:rPr>
                    <w:t>量</w:t>
                  </w:r>
                </w:p>
              </w:tc>
              <w:tc>
                <w:tcPr>
                  <w:tcW w:w="1311" w:type="pct"/>
                  <w:vAlign w:val="center"/>
                </w:tcPr>
                <w:p>
                  <w:pPr>
                    <w:jc w:val="center"/>
                    <w:rPr>
                      <w:snapToGrid w:val="0"/>
                      <w:color w:val="auto"/>
                      <w:szCs w:val="21"/>
                    </w:rPr>
                  </w:pPr>
                  <w:r>
                    <w:rPr>
                      <w:rFonts w:hint="eastAsia"/>
                      <w:snapToGrid w:val="0"/>
                      <w:color w:val="auto"/>
                      <w:szCs w:val="21"/>
                    </w:rPr>
                    <w:t>备  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795" w:type="pct"/>
                  <w:vMerge w:val="restart"/>
                  <w:vAlign w:val="center"/>
                </w:tcPr>
                <w:p>
                  <w:pPr>
                    <w:ind w:firstLine="6"/>
                    <w:jc w:val="center"/>
                    <w:rPr>
                      <w:snapToGrid w:val="0"/>
                      <w:color w:val="auto"/>
                      <w:szCs w:val="21"/>
                    </w:rPr>
                  </w:pPr>
                  <w:r>
                    <w:rPr>
                      <w:rFonts w:hint="eastAsia"/>
                      <w:snapToGrid w:val="0"/>
                      <w:color w:val="auto"/>
                      <w:szCs w:val="21"/>
                    </w:rPr>
                    <w:t>原料</w:t>
                  </w:r>
                </w:p>
              </w:tc>
              <w:tc>
                <w:tcPr>
                  <w:tcW w:w="1098" w:type="pct"/>
                  <w:vAlign w:val="center"/>
                </w:tcPr>
                <w:p>
                  <w:pPr>
                    <w:ind w:firstLine="6"/>
                    <w:jc w:val="center"/>
                    <w:rPr>
                      <w:rFonts w:hAnsi="宋体"/>
                      <w:snapToGrid w:val="0"/>
                      <w:color w:val="auto"/>
                      <w:szCs w:val="21"/>
                    </w:rPr>
                  </w:pPr>
                  <w:r>
                    <w:rPr>
                      <w:rFonts w:hint="eastAsia" w:hAnsi="宋体"/>
                      <w:snapToGrid w:val="0"/>
                      <w:color w:val="auto"/>
                      <w:szCs w:val="21"/>
                    </w:rPr>
                    <w:t>PVC塑料颗粒</w:t>
                  </w:r>
                </w:p>
              </w:tc>
              <w:tc>
                <w:tcPr>
                  <w:tcW w:w="1041" w:type="pct"/>
                  <w:vAlign w:val="center"/>
                </w:tcPr>
                <w:p>
                  <w:pPr>
                    <w:ind w:firstLine="6"/>
                    <w:jc w:val="center"/>
                    <w:rPr>
                      <w:snapToGrid w:val="0"/>
                      <w:color w:val="auto"/>
                      <w:szCs w:val="21"/>
                    </w:rPr>
                  </w:pPr>
                  <w:r>
                    <w:rPr>
                      <w:rFonts w:hint="eastAsia"/>
                      <w:snapToGrid w:val="0"/>
                      <w:color w:val="auto"/>
                      <w:szCs w:val="21"/>
                    </w:rPr>
                    <w:t>t/a</w:t>
                  </w:r>
                </w:p>
              </w:tc>
              <w:tc>
                <w:tcPr>
                  <w:tcW w:w="753" w:type="pct"/>
                  <w:vAlign w:val="center"/>
                </w:tcPr>
                <w:p>
                  <w:pPr>
                    <w:widowControl/>
                    <w:jc w:val="center"/>
                    <w:textAlignment w:val="center"/>
                    <w:rPr>
                      <w:rFonts w:cs="宋体"/>
                      <w:color w:val="auto"/>
                      <w:szCs w:val="21"/>
                    </w:rPr>
                  </w:pPr>
                  <w:r>
                    <w:rPr>
                      <w:rFonts w:hint="eastAsia" w:cs="宋体"/>
                      <w:color w:val="auto"/>
                      <w:szCs w:val="21"/>
                    </w:rPr>
                    <w:t>50</w:t>
                  </w:r>
                </w:p>
              </w:tc>
              <w:tc>
                <w:tcPr>
                  <w:tcW w:w="1311" w:type="pct"/>
                  <w:vAlign w:val="center"/>
                </w:tcPr>
                <w:p>
                  <w:pPr>
                    <w:jc w:val="center"/>
                    <w:rPr>
                      <w:snapToGrid w:val="0"/>
                      <w:color w:val="auto"/>
                      <w:szCs w:val="21"/>
                    </w:rPr>
                  </w:pPr>
                  <w:r>
                    <w:rPr>
                      <w:rFonts w:hint="eastAsia"/>
                      <w:snapToGrid w:val="0"/>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95" w:type="pct"/>
                  <w:vMerge w:val="continue"/>
                  <w:vAlign w:val="center"/>
                </w:tcPr>
                <w:p>
                  <w:pPr>
                    <w:ind w:firstLine="6"/>
                    <w:jc w:val="center"/>
                    <w:rPr>
                      <w:snapToGrid w:val="0"/>
                      <w:color w:val="auto"/>
                      <w:szCs w:val="21"/>
                    </w:rPr>
                  </w:pPr>
                </w:p>
              </w:tc>
              <w:tc>
                <w:tcPr>
                  <w:tcW w:w="1098" w:type="pct"/>
                  <w:vAlign w:val="center"/>
                </w:tcPr>
                <w:p>
                  <w:pPr>
                    <w:ind w:firstLine="6"/>
                    <w:jc w:val="center"/>
                    <w:rPr>
                      <w:rFonts w:hAnsi="宋体"/>
                      <w:snapToGrid w:val="0"/>
                      <w:color w:val="auto"/>
                      <w:szCs w:val="21"/>
                    </w:rPr>
                  </w:pPr>
                  <w:r>
                    <w:rPr>
                      <w:rFonts w:hint="eastAsia" w:hAnsi="宋体"/>
                      <w:snapToGrid w:val="0"/>
                      <w:color w:val="auto"/>
                      <w:szCs w:val="21"/>
                    </w:rPr>
                    <w:t>EVA塑料颗粒</w:t>
                  </w:r>
                </w:p>
              </w:tc>
              <w:tc>
                <w:tcPr>
                  <w:tcW w:w="1041" w:type="pct"/>
                  <w:vAlign w:val="center"/>
                </w:tcPr>
                <w:p>
                  <w:pPr>
                    <w:jc w:val="center"/>
                    <w:rPr>
                      <w:color w:val="auto"/>
                    </w:rPr>
                  </w:pPr>
                  <w:r>
                    <w:rPr>
                      <w:rFonts w:hint="eastAsia"/>
                      <w:snapToGrid w:val="0"/>
                      <w:color w:val="auto"/>
                      <w:szCs w:val="21"/>
                    </w:rPr>
                    <w:t>t/a</w:t>
                  </w:r>
                </w:p>
              </w:tc>
              <w:tc>
                <w:tcPr>
                  <w:tcW w:w="753" w:type="pct"/>
                  <w:vAlign w:val="center"/>
                </w:tcPr>
                <w:p>
                  <w:pPr>
                    <w:widowControl/>
                    <w:jc w:val="center"/>
                    <w:textAlignment w:val="center"/>
                    <w:rPr>
                      <w:rFonts w:cs="宋体"/>
                      <w:color w:val="auto"/>
                      <w:szCs w:val="21"/>
                    </w:rPr>
                  </w:pPr>
                  <w:r>
                    <w:rPr>
                      <w:rFonts w:hint="eastAsia" w:cs="宋体"/>
                      <w:color w:val="auto"/>
                      <w:szCs w:val="21"/>
                    </w:rPr>
                    <w:t>50</w:t>
                  </w:r>
                </w:p>
              </w:tc>
              <w:tc>
                <w:tcPr>
                  <w:tcW w:w="1311" w:type="pct"/>
                  <w:vAlign w:val="center"/>
                </w:tcPr>
                <w:p>
                  <w:pPr>
                    <w:jc w:val="center"/>
                    <w:rPr>
                      <w:color w:val="auto"/>
                    </w:rPr>
                  </w:pPr>
                  <w:r>
                    <w:rPr>
                      <w:rFonts w:hint="eastAsia"/>
                      <w:snapToGrid w:val="0"/>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795" w:type="pct"/>
                  <w:vMerge w:val="continue"/>
                  <w:vAlign w:val="center"/>
                </w:tcPr>
                <w:p>
                  <w:pPr>
                    <w:ind w:firstLine="6"/>
                    <w:jc w:val="center"/>
                    <w:rPr>
                      <w:snapToGrid w:val="0"/>
                      <w:color w:val="auto"/>
                      <w:szCs w:val="21"/>
                    </w:rPr>
                  </w:pPr>
                </w:p>
              </w:tc>
              <w:tc>
                <w:tcPr>
                  <w:tcW w:w="1098" w:type="pct"/>
                  <w:vAlign w:val="center"/>
                </w:tcPr>
                <w:p>
                  <w:pPr>
                    <w:ind w:firstLine="6"/>
                    <w:jc w:val="center"/>
                    <w:rPr>
                      <w:rFonts w:hAnsi="宋体"/>
                      <w:snapToGrid w:val="0"/>
                      <w:color w:val="auto"/>
                      <w:szCs w:val="21"/>
                    </w:rPr>
                  </w:pPr>
                  <w:r>
                    <w:rPr>
                      <w:rFonts w:hint="eastAsia" w:hAnsi="宋体"/>
                      <w:snapToGrid w:val="0"/>
                      <w:color w:val="auto"/>
                      <w:szCs w:val="21"/>
                    </w:rPr>
                    <w:t>色粉</w:t>
                  </w:r>
                </w:p>
              </w:tc>
              <w:tc>
                <w:tcPr>
                  <w:tcW w:w="1041" w:type="pct"/>
                  <w:vAlign w:val="center"/>
                </w:tcPr>
                <w:p>
                  <w:pPr>
                    <w:jc w:val="center"/>
                    <w:rPr>
                      <w:snapToGrid w:val="0"/>
                      <w:color w:val="auto"/>
                      <w:szCs w:val="21"/>
                    </w:rPr>
                  </w:pPr>
                  <w:r>
                    <w:rPr>
                      <w:rFonts w:hint="eastAsia"/>
                      <w:snapToGrid w:val="0"/>
                      <w:color w:val="auto"/>
                      <w:szCs w:val="21"/>
                    </w:rPr>
                    <w:t>t/a</w:t>
                  </w:r>
                </w:p>
              </w:tc>
              <w:tc>
                <w:tcPr>
                  <w:tcW w:w="753" w:type="pct"/>
                  <w:vAlign w:val="center"/>
                </w:tcPr>
                <w:p>
                  <w:pPr>
                    <w:widowControl/>
                    <w:jc w:val="center"/>
                    <w:textAlignment w:val="center"/>
                    <w:rPr>
                      <w:rFonts w:cs="宋体"/>
                      <w:color w:val="auto"/>
                      <w:szCs w:val="21"/>
                    </w:rPr>
                  </w:pPr>
                  <w:r>
                    <w:rPr>
                      <w:rFonts w:hint="eastAsia" w:cs="宋体"/>
                      <w:color w:val="auto"/>
                      <w:szCs w:val="21"/>
                    </w:rPr>
                    <w:t>1</w:t>
                  </w:r>
                </w:p>
              </w:tc>
              <w:tc>
                <w:tcPr>
                  <w:tcW w:w="1311" w:type="pct"/>
                  <w:vAlign w:val="center"/>
                </w:tcPr>
                <w:p>
                  <w:pPr>
                    <w:jc w:val="center"/>
                    <w:rPr>
                      <w:snapToGrid w:val="0"/>
                      <w:color w:val="auto"/>
                      <w:szCs w:val="21"/>
                    </w:rPr>
                  </w:pPr>
                  <w:r>
                    <w:rPr>
                      <w:rFonts w:hint="eastAsia"/>
                      <w:snapToGrid w:val="0"/>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795" w:type="pct"/>
                  <w:vMerge w:val="continue"/>
                  <w:vAlign w:val="center"/>
                </w:tcPr>
                <w:p>
                  <w:pPr>
                    <w:ind w:firstLine="6"/>
                    <w:jc w:val="center"/>
                    <w:rPr>
                      <w:snapToGrid w:val="0"/>
                      <w:color w:val="auto"/>
                      <w:szCs w:val="21"/>
                    </w:rPr>
                  </w:pPr>
                </w:p>
              </w:tc>
              <w:tc>
                <w:tcPr>
                  <w:tcW w:w="1098" w:type="pct"/>
                  <w:vAlign w:val="center"/>
                </w:tcPr>
                <w:p>
                  <w:pPr>
                    <w:ind w:firstLine="6"/>
                    <w:jc w:val="center"/>
                    <w:rPr>
                      <w:rFonts w:hAnsi="宋体"/>
                      <w:snapToGrid w:val="0"/>
                      <w:color w:val="auto"/>
                      <w:szCs w:val="21"/>
                    </w:rPr>
                  </w:pPr>
                  <w:r>
                    <w:rPr>
                      <w:rFonts w:hint="eastAsia" w:hAnsi="宋体"/>
                      <w:snapToGrid w:val="0"/>
                      <w:color w:val="auto"/>
                      <w:szCs w:val="21"/>
                    </w:rPr>
                    <w:t>帮面/拉带</w:t>
                  </w:r>
                </w:p>
              </w:tc>
              <w:tc>
                <w:tcPr>
                  <w:tcW w:w="1041" w:type="pct"/>
                  <w:vAlign w:val="center"/>
                </w:tcPr>
                <w:p>
                  <w:pPr>
                    <w:jc w:val="center"/>
                    <w:rPr>
                      <w:snapToGrid w:val="0"/>
                      <w:color w:val="auto"/>
                      <w:szCs w:val="21"/>
                    </w:rPr>
                  </w:pPr>
                  <w:r>
                    <w:rPr>
                      <w:rFonts w:hint="eastAsia"/>
                      <w:snapToGrid w:val="0"/>
                      <w:color w:val="auto"/>
                      <w:szCs w:val="21"/>
                    </w:rPr>
                    <w:t>个</w:t>
                  </w:r>
                </w:p>
              </w:tc>
              <w:tc>
                <w:tcPr>
                  <w:tcW w:w="753" w:type="pct"/>
                  <w:vAlign w:val="center"/>
                </w:tcPr>
                <w:p>
                  <w:pPr>
                    <w:widowControl/>
                    <w:jc w:val="center"/>
                    <w:textAlignment w:val="center"/>
                    <w:rPr>
                      <w:rFonts w:cs="宋体"/>
                      <w:color w:val="auto"/>
                      <w:szCs w:val="21"/>
                    </w:rPr>
                  </w:pPr>
                  <w:r>
                    <w:rPr>
                      <w:rFonts w:hint="eastAsia" w:cs="宋体"/>
                      <w:color w:val="auto"/>
                      <w:szCs w:val="21"/>
                    </w:rPr>
                    <w:t>250000</w:t>
                  </w:r>
                </w:p>
              </w:tc>
              <w:tc>
                <w:tcPr>
                  <w:tcW w:w="1311" w:type="pct"/>
                  <w:vAlign w:val="center"/>
                </w:tcPr>
                <w:p>
                  <w:pPr>
                    <w:jc w:val="center"/>
                    <w:rPr>
                      <w:snapToGrid w:val="0"/>
                      <w:color w:val="auto"/>
                      <w:szCs w:val="21"/>
                    </w:rPr>
                  </w:pPr>
                  <w:r>
                    <w:rPr>
                      <w:rFonts w:hint="eastAsia"/>
                      <w:snapToGrid w:val="0"/>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795" w:type="pct"/>
                  <w:vMerge w:val="restart"/>
                  <w:vAlign w:val="center"/>
                </w:tcPr>
                <w:p>
                  <w:pPr>
                    <w:ind w:firstLine="6"/>
                    <w:jc w:val="center"/>
                    <w:rPr>
                      <w:snapToGrid w:val="0"/>
                      <w:color w:val="auto"/>
                      <w:szCs w:val="21"/>
                    </w:rPr>
                  </w:pPr>
                  <w:r>
                    <w:rPr>
                      <w:rFonts w:hint="eastAsia"/>
                      <w:snapToGrid w:val="0"/>
                      <w:color w:val="auto"/>
                      <w:szCs w:val="21"/>
                    </w:rPr>
                    <w:t>包装</w:t>
                  </w:r>
                </w:p>
              </w:tc>
              <w:tc>
                <w:tcPr>
                  <w:tcW w:w="1098" w:type="pct"/>
                  <w:vAlign w:val="center"/>
                </w:tcPr>
                <w:p>
                  <w:pPr>
                    <w:ind w:firstLine="6"/>
                    <w:jc w:val="center"/>
                    <w:rPr>
                      <w:rFonts w:hAnsi="宋体"/>
                      <w:snapToGrid w:val="0"/>
                      <w:color w:val="auto"/>
                      <w:szCs w:val="21"/>
                    </w:rPr>
                  </w:pPr>
                  <w:r>
                    <w:rPr>
                      <w:rFonts w:hint="eastAsia" w:hAnsi="宋体"/>
                      <w:snapToGrid w:val="0"/>
                      <w:color w:val="auto"/>
                      <w:szCs w:val="21"/>
                    </w:rPr>
                    <w:t>包装袋</w:t>
                  </w:r>
                </w:p>
              </w:tc>
              <w:tc>
                <w:tcPr>
                  <w:tcW w:w="1041" w:type="pct"/>
                  <w:vAlign w:val="center"/>
                </w:tcPr>
                <w:p>
                  <w:pPr>
                    <w:jc w:val="center"/>
                    <w:rPr>
                      <w:snapToGrid w:val="0"/>
                      <w:color w:val="auto"/>
                      <w:szCs w:val="21"/>
                    </w:rPr>
                  </w:pPr>
                  <w:r>
                    <w:rPr>
                      <w:rFonts w:hint="eastAsia"/>
                      <w:snapToGrid w:val="0"/>
                      <w:color w:val="auto"/>
                      <w:szCs w:val="21"/>
                    </w:rPr>
                    <w:t>个</w:t>
                  </w:r>
                </w:p>
              </w:tc>
              <w:tc>
                <w:tcPr>
                  <w:tcW w:w="753" w:type="pct"/>
                  <w:vAlign w:val="center"/>
                </w:tcPr>
                <w:p>
                  <w:pPr>
                    <w:widowControl/>
                    <w:jc w:val="center"/>
                    <w:textAlignment w:val="center"/>
                    <w:rPr>
                      <w:rFonts w:cs="宋体"/>
                      <w:color w:val="auto"/>
                      <w:szCs w:val="21"/>
                    </w:rPr>
                  </w:pPr>
                  <w:r>
                    <w:rPr>
                      <w:rFonts w:hint="eastAsia" w:cs="宋体"/>
                      <w:color w:val="auto"/>
                      <w:szCs w:val="21"/>
                    </w:rPr>
                    <w:t>1000000</w:t>
                  </w:r>
                </w:p>
              </w:tc>
              <w:tc>
                <w:tcPr>
                  <w:tcW w:w="1311" w:type="pct"/>
                  <w:vAlign w:val="center"/>
                </w:tcPr>
                <w:p>
                  <w:pPr>
                    <w:jc w:val="center"/>
                    <w:rPr>
                      <w:snapToGrid w:val="0"/>
                      <w:color w:val="auto"/>
                      <w:szCs w:val="21"/>
                    </w:rPr>
                  </w:pPr>
                  <w:r>
                    <w:rPr>
                      <w:rFonts w:hint="eastAsia"/>
                      <w:snapToGrid w:val="0"/>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795" w:type="pct"/>
                  <w:vMerge w:val="continue"/>
                  <w:vAlign w:val="center"/>
                </w:tcPr>
                <w:p>
                  <w:pPr>
                    <w:ind w:firstLine="6"/>
                    <w:jc w:val="center"/>
                    <w:rPr>
                      <w:snapToGrid w:val="0"/>
                      <w:color w:val="auto"/>
                      <w:szCs w:val="21"/>
                    </w:rPr>
                  </w:pPr>
                </w:p>
              </w:tc>
              <w:tc>
                <w:tcPr>
                  <w:tcW w:w="1098" w:type="pct"/>
                  <w:vAlign w:val="center"/>
                </w:tcPr>
                <w:p>
                  <w:pPr>
                    <w:ind w:firstLine="6"/>
                    <w:jc w:val="center"/>
                    <w:rPr>
                      <w:rFonts w:hAnsi="宋体"/>
                      <w:snapToGrid w:val="0"/>
                      <w:color w:val="auto"/>
                      <w:szCs w:val="21"/>
                    </w:rPr>
                  </w:pPr>
                  <w:r>
                    <w:rPr>
                      <w:rFonts w:hint="eastAsia" w:hAnsi="宋体"/>
                      <w:snapToGrid w:val="0"/>
                      <w:color w:val="auto"/>
                      <w:szCs w:val="21"/>
                    </w:rPr>
                    <w:t>包装箱</w:t>
                  </w:r>
                </w:p>
              </w:tc>
              <w:tc>
                <w:tcPr>
                  <w:tcW w:w="1041" w:type="pct"/>
                  <w:vAlign w:val="center"/>
                </w:tcPr>
                <w:p>
                  <w:pPr>
                    <w:jc w:val="center"/>
                    <w:rPr>
                      <w:snapToGrid w:val="0"/>
                      <w:color w:val="auto"/>
                      <w:szCs w:val="21"/>
                    </w:rPr>
                  </w:pPr>
                  <w:r>
                    <w:rPr>
                      <w:rFonts w:hint="eastAsia"/>
                      <w:snapToGrid w:val="0"/>
                      <w:color w:val="auto"/>
                      <w:szCs w:val="21"/>
                    </w:rPr>
                    <w:t>个</w:t>
                  </w:r>
                </w:p>
              </w:tc>
              <w:tc>
                <w:tcPr>
                  <w:tcW w:w="753" w:type="pct"/>
                  <w:vAlign w:val="center"/>
                </w:tcPr>
                <w:p>
                  <w:pPr>
                    <w:widowControl/>
                    <w:jc w:val="center"/>
                    <w:textAlignment w:val="center"/>
                    <w:rPr>
                      <w:rFonts w:cs="宋体"/>
                      <w:color w:val="auto"/>
                      <w:szCs w:val="21"/>
                    </w:rPr>
                  </w:pPr>
                  <w:r>
                    <w:rPr>
                      <w:rFonts w:hint="eastAsia" w:cs="宋体"/>
                      <w:color w:val="auto"/>
                      <w:szCs w:val="21"/>
                    </w:rPr>
                    <w:t>1500</w:t>
                  </w:r>
                </w:p>
              </w:tc>
              <w:tc>
                <w:tcPr>
                  <w:tcW w:w="1311" w:type="pct"/>
                  <w:vAlign w:val="center"/>
                </w:tcPr>
                <w:p>
                  <w:pPr>
                    <w:jc w:val="center"/>
                    <w:rPr>
                      <w:snapToGrid w:val="0"/>
                      <w:color w:val="auto"/>
                      <w:szCs w:val="21"/>
                    </w:rPr>
                  </w:pPr>
                  <w:r>
                    <w:rPr>
                      <w:rFonts w:hint="eastAsia"/>
                      <w:snapToGrid w:val="0"/>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36" w:hRule="atLeast"/>
                <w:jc w:val="center"/>
              </w:trPr>
              <w:tc>
                <w:tcPr>
                  <w:tcW w:w="795" w:type="pct"/>
                  <w:vMerge w:val="restart"/>
                  <w:vAlign w:val="center"/>
                </w:tcPr>
                <w:p>
                  <w:pPr>
                    <w:ind w:firstLine="6"/>
                    <w:jc w:val="center"/>
                    <w:rPr>
                      <w:snapToGrid w:val="0"/>
                      <w:color w:val="auto"/>
                      <w:szCs w:val="21"/>
                    </w:rPr>
                  </w:pPr>
                  <w:r>
                    <w:rPr>
                      <w:rFonts w:hint="eastAsia"/>
                      <w:snapToGrid w:val="0"/>
                      <w:color w:val="auto"/>
                      <w:szCs w:val="21"/>
                    </w:rPr>
                    <w:t>产品</w:t>
                  </w:r>
                </w:p>
              </w:tc>
              <w:tc>
                <w:tcPr>
                  <w:tcW w:w="1098" w:type="pct"/>
                  <w:vAlign w:val="center"/>
                </w:tcPr>
                <w:p>
                  <w:pPr>
                    <w:ind w:firstLine="6"/>
                    <w:jc w:val="center"/>
                    <w:rPr>
                      <w:snapToGrid w:val="0"/>
                      <w:color w:val="auto"/>
                      <w:szCs w:val="21"/>
                    </w:rPr>
                  </w:pPr>
                  <w:r>
                    <w:rPr>
                      <w:rFonts w:hint="eastAsia"/>
                      <w:snapToGrid w:val="0"/>
                      <w:color w:val="auto"/>
                      <w:szCs w:val="21"/>
                    </w:rPr>
                    <w:t>PVC一次成型拖鞋</w:t>
                  </w:r>
                </w:p>
              </w:tc>
              <w:tc>
                <w:tcPr>
                  <w:tcW w:w="1041" w:type="pct"/>
                  <w:vAlign w:val="center"/>
                </w:tcPr>
                <w:p>
                  <w:pPr>
                    <w:ind w:firstLine="6"/>
                    <w:jc w:val="center"/>
                    <w:rPr>
                      <w:snapToGrid w:val="0"/>
                      <w:color w:val="auto"/>
                      <w:szCs w:val="21"/>
                    </w:rPr>
                  </w:pPr>
                  <w:r>
                    <w:rPr>
                      <w:rFonts w:hint="eastAsia"/>
                      <w:snapToGrid w:val="0"/>
                      <w:color w:val="auto"/>
                      <w:szCs w:val="21"/>
                    </w:rPr>
                    <w:t>双</w:t>
                  </w:r>
                </w:p>
              </w:tc>
              <w:tc>
                <w:tcPr>
                  <w:tcW w:w="753" w:type="pct"/>
                  <w:vAlign w:val="center"/>
                </w:tcPr>
                <w:p>
                  <w:pPr>
                    <w:ind w:firstLine="6"/>
                    <w:jc w:val="center"/>
                    <w:rPr>
                      <w:snapToGrid w:val="0"/>
                      <w:color w:val="auto"/>
                      <w:szCs w:val="21"/>
                    </w:rPr>
                  </w:pPr>
                  <w:r>
                    <w:rPr>
                      <w:rFonts w:hint="eastAsia"/>
                      <w:snapToGrid w:val="0"/>
                      <w:color w:val="auto"/>
                      <w:szCs w:val="21"/>
                    </w:rPr>
                    <w:t>500000</w:t>
                  </w:r>
                </w:p>
              </w:tc>
              <w:tc>
                <w:tcPr>
                  <w:tcW w:w="1311" w:type="pct"/>
                  <w:vAlign w:val="center"/>
                </w:tcPr>
                <w:p>
                  <w:pPr>
                    <w:pStyle w:val="82"/>
                    <w:jc w:val="center"/>
                    <w:rPr>
                      <w:color w:val="auto"/>
                    </w:rPr>
                  </w:pPr>
                  <w:r>
                    <w:rPr>
                      <w:rFonts w:hint="eastAsia"/>
                      <w:color w:val="auto"/>
                    </w:rPr>
                    <w:t>外售</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36" w:hRule="atLeast"/>
                <w:jc w:val="center"/>
              </w:trPr>
              <w:tc>
                <w:tcPr>
                  <w:tcW w:w="795" w:type="pct"/>
                  <w:vMerge w:val="continue"/>
                  <w:vAlign w:val="center"/>
                </w:tcPr>
                <w:p>
                  <w:pPr>
                    <w:ind w:firstLine="6"/>
                    <w:jc w:val="center"/>
                    <w:rPr>
                      <w:snapToGrid w:val="0"/>
                      <w:color w:val="auto"/>
                      <w:szCs w:val="21"/>
                    </w:rPr>
                  </w:pPr>
                </w:p>
              </w:tc>
              <w:tc>
                <w:tcPr>
                  <w:tcW w:w="1098" w:type="pct"/>
                  <w:vAlign w:val="center"/>
                </w:tcPr>
                <w:p>
                  <w:pPr>
                    <w:ind w:firstLine="6"/>
                    <w:jc w:val="center"/>
                    <w:rPr>
                      <w:snapToGrid w:val="0"/>
                      <w:color w:val="auto"/>
                      <w:szCs w:val="21"/>
                    </w:rPr>
                  </w:pPr>
                  <w:r>
                    <w:rPr>
                      <w:rFonts w:hint="eastAsia"/>
                      <w:snapToGrid w:val="0"/>
                      <w:color w:val="auto"/>
                      <w:szCs w:val="21"/>
                    </w:rPr>
                    <w:t>EVA一次成型拖鞋</w:t>
                  </w:r>
                </w:p>
              </w:tc>
              <w:tc>
                <w:tcPr>
                  <w:tcW w:w="1041" w:type="pct"/>
                  <w:vAlign w:val="center"/>
                </w:tcPr>
                <w:p>
                  <w:pPr>
                    <w:ind w:firstLine="6"/>
                    <w:jc w:val="center"/>
                    <w:rPr>
                      <w:snapToGrid w:val="0"/>
                      <w:color w:val="auto"/>
                      <w:szCs w:val="21"/>
                    </w:rPr>
                  </w:pPr>
                  <w:r>
                    <w:rPr>
                      <w:rFonts w:hint="eastAsia"/>
                      <w:snapToGrid w:val="0"/>
                      <w:color w:val="auto"/>
                      <w:szCs w:val="21"/>
                    </w:rPr>
                    <w:t>双</w:t>
                  </w:r>
                </w:p>
              </w:tc>
              <w:tc>
                <w:tcPr>
                  <w:tcW w:w="753" w:type="pct"/>
                  <w:vAlign w:val="center"/>
                </w:tcPr>
                <w:p>
                  <w:pPr>
                    <w:ind w:firstLine="6"/>
                    <w:jc w:val="center"/>
                    <w:rPr>
                      <w:snapToGrid w:val="0"/>
                      <w:color w:val="auto"/>
                      <w:szCs w:val="21"/>
                    </w:rPr>
                  </w:pPr>
                  <w:r>
                    <w:rPr>
                      <w:rFonts w:hint="eastAsia"/>
                      <w:snapToGrid w:val="0"/>
                      <w:color w:val="auto"/>
                      <w:szCs w:val="21"/>
                    </w:rPr>
                    <w:t>250000</w:t>
                  </w:r>
                </w:p>
              </w:tc>
              <w:tc>
                <w:tcPr>
                  <w:tcW w:w="1311" w:type="pct"/>
                  <w:vAlign w:val="center"/>
                </w:tcPr>
                <w:p>
                  <w:pPr>
                    <w:pStyle w:val="82"/>
                    <w:jc w:val="center"/>
                    <w:rPr>
                      <w:color w:val="auto"/>
                    </w:rPr>
                  </w:pPr>
                  <w:r>
                    <w:rPr>
                      <w:rFonts w:hint="eastAsia"/>
                      <w:color w:val="auto"/>
                    </w:rPr>
                    <w:t>外售</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36" w:hRule="atLeast"/>
                <w:jc w:val="center"/>
              </w:trPr>
              <w:tc>
                <w:tcPr>
                  <w:tcW w:w="795" w:type="pct"/>
                  <w:vMerge w:val="continue"/>
                  <w:vAlign w:val="center"/>
                </w:tcPr>
                <w:p>
                  <w:pPr>
                    <w:ind w:firstLine="6"/>
                    <w:jc w:val="center"/>
                    <w:rPr>
                      <w:snapToGrid w:val="0"/>
                      <w:color w:val="auto"/>
                      <w:szCs w:val="21"/>
                    </w:rPr>
                  </w:pPr>
                </w:p>
              </w:tc>
              <w:tc>
                <w:tcPr>
                  <w:tcW w:w="1098" w:type="pct"/>
                  <w:vAlign w:val="center"/>
                </w:tcPr>
                <w:p>
                  <w:pPr>
                    <w:ind w:firstLine="6"/>
                    <w:jc w:val="center"/>
                    <w:rPr>
                      <w:snapToGrid w:val="0"/>
                      <w:color w:val="auto"/>
                      <w:szCs w:val="21"/>
                    </w:rPr>
                  </w:pPr>
                  <w:r>
                    <w:rPr>
                      <w:rFonts w:hint="eastAsia"/>
                      <w:snapToGrid w:val="0"/>
                      <w:color w:val="auto"/>
                      <w:szCs w:val="21"/>
                    </w:rPr>
                    <w:t>EVA组合拖鞋</w:t>
                  </w:r>
                </w:p>
              </w:tc>
              <w:tc>
                <w:tcPr>
                  <w:tcW w:w="1041" w:type="pct"/>
                  <w:vAlign w:val="center"/>
                </w:tcPr>
                <w:p>
                  <w:pPr>
                    <w:ind w:firstLine="6"/>
                    <w:jc w:val="center"/>
                    <w:rPr>
                      <w:snapToGrid w:val="0"/>
                      <w:color w:val="auto"/>
                      <w:szCs w:val="21"/>
                    </w:rPr>
                  </w:pPr>
                  <w:r>
                    <w:rPr>
                      <w:rFonts w:hint="eastAsia"/>
                      <w:snapToGrid w:val="0"/>
                      <w:color w:val="auto"/>
                      <w:szCs w:val="21"/>
                    </w:rPr>
                    <w:t>双</w:t>
                  </w:r>
                </w:p>
              </w:tc>
              <w:tc>
                <w:tcPr>
                  <w:tcW w:w="753" w:type="pct"/>
                  <w:vAlign w:val="center"/>
                </w:tcPr>
                <w:p>
                  <w:pPr>
                    <w:ind w:firstLine="6"/>
                    <w:jc w:val="center"/>
                    <w:rPr>
                      <w:snapToGrid w:val="0"/>
                      <w:color w:val="auto"/>
                      <w:szCs w:val="21"/>
                    </w:rPr>
                  </w:pPr>
                  <w:r>
                    <w:rPr>
                      <w:rFonts w:hint="eastAsia"/>
                      <w:snapToGrid w:val="0"/>
                      <w:color w:val="auto"/>
                      <w:szCs w:val="21"/>
                    </w:rPr>
                    <w:t>250000</w:t>
                  </w:r>
                </w:p>
              </w:tc>
              <w:tc>
                <w:tcPr>
                  <w:tcW w:w="1311" w:type="pct"/>
                  <w:vAlign w:val="center"/>
                </w:tcPr>
                <w:p>
                  <w:pPr>
                    <w:pStyle w:val="82"/>
                    <w:jc w:val="center"/>
                    <w:rPr>
                      <w:color w:val="auto"/>
                    </w:rPr>
                  </w:pPr>
                  <w:r>
                    <w:rPr>
                      <w:rFonts w:hint="eastAsia"/>
                      <w:color w:val="auto"/>
                    </w:rPr>
                    <w:t>外售</w:t>
                  </w:r>
                </w:p>
              </w:tc>
            </w:tr>
          </w:tbl>
          <w:p>
            <w:pPr>
              <w:spacing w:line="520" w:lineRule="exact"/>
              <w:rPr>
                <w:b/>
                <w:bCs/>
                <w:color w:val="auto"/>
                <w:sz w:val="28"/>
              </w:rPr>
            </w:pPr>
            <w:r>
              <w:rPr>
                <w:rFonts w:hint="eastAsia"/>
                <w:b/>
                <w:bCs/>
                <w:color w:val="auto"/>
                <w:sz w:val="28"/>
              </w:rPr>
              <w:t>3.4.2原辅料理化性质</w:t>
            </w:r>
          </w:p>
          <w:p>
            <w:pPr>
              <w:spacing w:line="520" w:lineRule="exact"/>
              <w:ind w:firstLine="560" w:firstLineChars="200"/>
              <w:rPr>
                <w:bCs/>
                <w:color w:val="auto"/>
                <w:sz w:val="28"/>
              </w:rPr>
            </w:pPr>
            <w:r>
              <w:rPr>
                <w:rFonts w:hint="eastAsia"/>
                <w:bCs/>
                <w:color w:val="auto"/>
                <w:sz w:val="28"/>
              </w:rPr>
              <w:t>（1）EVA：由乙烯（Ethylene）和醋酸乙烯（Vinyl Acetate）共聚而制得，简称为EVA。EVA中醋酸乙烯的含量一般在5%～40%</w:t>
            </w:r>
            <w:r>
              <w:rPr>
                <w:rFonts w:hint="eastAsia" w:ascii="宋体" w:hAnsi="宋体" w:cs="宋体"/>
                <w:bCs/>
                <w:color w:val="auto"/>
                <w:sz w:val="28"/>
              </w:rPr>
              <w:t>(</w:t>
            </w:r>
            <w:r>
              <w:rPr>
                <w:rFonts w:hint="eastAsia"/>
                <w:bCs/>
                <w:color w:val="auto"/>
                <w:sz w:val="28"/>
              </w:rPr>
              <w:t>质量分数</w:t>
            </w:r>
            <w:r>
              <w:rPr>
                <w:rFonts w:hint="eastAsia" w:ascii="宋体" w:hAnsi="宋体" w:cs="宋体"/>
                <w:bCs/>
                <w:color w:val="auto"/>
                <w:sz w:val="28"/>
              </w:rPr>
              <w:t>)</w:t>
            </w:r>
            <w:r>
              <w:rPr>
                <w:rFonts w:hint="eastAsia"/>
                <w:bCs/>
                <w:color w:val="auto"/>
                <w:sz w:val="28"/>
              </w:rPr>
              <w:t>。平均分子量：10000～30000。EVA的应用领域相当广泛，我国每年的市场消费量都在不断地增加，尤其在制鞋工业，被应用于中高档旅游鞋、登山鞋、拖鞋、凉鞋的鞋底和内饰材料中。</w:t>
            </w:r>
          </w:p>
          <w:p>
            <w:pPr>
              <w:spacing w:line="520" w:lineRule="exact"/>
              <w:ind w:firstLine="560" w:firstLineChars="200"/>
              <w:rPr>
                <w:bCs/>
                <w:color w:val="auto"/>
                <w:sz w:val="28"/>
              </w:rPr>
            </w:pPr>
            <w:r>
              <w:rPr>
                <w:rFonts w:hint="eastAsia"/>
                <w:bCs/>
                <w:color w:val="auto"/>
                <w:sz w:val="28"/>
              </w:rPr>
              <w:t>（2）聚氯乙烯（PVC）：主要成份为聚氯乙烯，另外加入其他成分来增强其耐热性，韧性，延展性等。这种表面膜的最上层是漆，中间的主要成分是聚氯乙烯，最下层是背涂粘合剂。聚氯乙烯有较好的电气绝缘性能，可作低频绝缘材料，其化学稳定性也好。由于聚氯乙烯的热稳定性较差，长时间加热会导致分解，放出HCL气体，使聚氯乙烯变色，所以其应用范围较窄，使用温度一般在-15～55℃度之间。PVC具有很好的耐酸碱、耐磨、耐燃及绝缘性能，但对光、热稳定性差。</w:t>
            </w:r>
          </w:p>
          <w:p>
            <w:pPr>
              <w:spacing w:line="520" w:lineRule="exact"/>
              <w:rPr>
                <w:b/>
                <w:bCs/>
                <w:color w:val="auto"/>
                <w:sz w:val="28"/>
              </w:rPr>
            </w:pPr>
            <w:r>
              <w:rPr>
                <w:rFonts w:hint="eastAsia"/>
                <w:b/>
                <w:bCs/>
                <w:color w:val="auto"/>
                <w:sz w:val="28"/>
              </w:rPr>
              <w:t>3.5项目周边及平面布置</w:t>
            </w:r>
          </w:p>
          <w:p>
            <w:pPr>
              <w:spacing w:line="520" w:lineRule="exact"/>
              <w:ind w:firstLine="560" w:firstLineChars="200"/>
              <w:rPr>
                <w:bCs/>
                <w:color w:val="auto"/>
                <w:sz w:val="28"/>
              </w:rPr>
            </w:pPr>
            <w:r>
              <w:rPr>
                <w:rFonts w:hint="eastAsia"/>
                <w:bCs/>
                <w:color w:val="auto"/>
                <w:sz w:val="28"/>
                <w:szCs w:val="28"/>
              </w:rPr>
              <w:t>本项目</w:t>
            </w:r>
            <w:r>
              <w:rPr>
                <w:rFonts w:hint="eastAsia"/>
                <w:bCs/>
                <w:color w:val="auto"/>
                <w:kern w:val="0"/>
                <w:sz w:val="28"/>
              </w:rPr>
              <w:t>位于巩留县恰甫其海路南侧</w:t>
            </w:r>
            <w:r>
              <w:rPr>
                <w:rFonts w:hint="eastAsia"/>
                <w:bCs/>
                <w:color w:val="auto"/>
                <w:sz w:val="28"/>
                <w:szCs w:val="28"/>
              </w:rPr>
              <w:t>，隔离路为粮食购销有限责任公司，项目区东侧为文化路，南侧为众帮苯板厂，西侧为巩留县天汇商贸有限责任公司（彩钢板厂）。项目区周边概况见图2。</w:t>
            </w:r>
          </w:p>
          <w:p>
            <w:pPr>
              <w:spacing w:line="520" w:lineRule="exact"/>
              <w:ind w:firstLine="560" w:firstLineChars="200"/>
              <w:rPr>
                <w:bCs/>
                <w:color w:val="auto"/>
                <w:sz w:val="28"/>
                <w:szCs w:val="28"/>
              </w:rPr>
            </w:pPr>
            <w:r>
              <w:rPr>
                <w:rFonts w:hint="eastAsia"/>
                <w:color w:val="auto"/>
                <w:sz w:val="28"/>
                <w:szCs w:val="28"/>
              </w:rPr>
              <w:t>项目租用众帮苯板厂空余库房为生产车间及库房，厂区入口位于项目区北侧，入口右侧依次为值班室、办公室、生活用房，厂区南侧为生产车间及库房，生产车间内设置PVC拖鞋生产线一条，EVA拖鞋生产线一条，库房与生产车间经夹芯板隔开，</w:t>
            </w:r>
            <w:r>
              <w:rPr>
                <w:rFonts w:hint="eastAsia"/>
                <w:bCs/>
                <w:color w:val="auto"/>
                <w:sz w:val="28"/>
                <w:szCs w:val="28"/>
              </w:rPr>
              <w:t>厂区平面布置见图2。</w:t>
            </w:r>
          </w:p>
          <w:p>
            <w:pPr>
              <w:autoSpaceDE w:val="0"/>
              <w:autoSpaceDN w:val="0"/>
              <w:adjustRightInd w:val="0"/>
              <w:spacing w:line="520" w:lineRule="exact"/>
              <w:rPr>
                <w:b/>
                <w:color w:val="auto"/>
                <w:kern w:val="0"/>
                <w:sz w:val="28"/>
              </w:rPr>
            </w:pPr>
            <w:r>
              <w:rPr>
                <w:rFonts w:hint="eastAsia"/>
                <w:b/>
                <w:color w:val="auto"/>
                <w:kern w:val="0"/>
                <w:sz w:val="28"/>
              </w:rPr>
              <w:t>3.6</w:t>
            </w:r>
            <w:r>
              <w:rPr>
                <w:b/>
                <w:color w:val="auto"/>
                <w:kern w:val="0"/>
                <w:sz w:val="28"/>
              </w:rPr>
              <w:t>项目可能产生的环境问题识别</w:t>
            </w:r>
          </w:p>
          <w:p>
            <w:pPr>
              <w:spacing w:line="520" w:lineRule="exact"/>
              <w:ind w:firstLine="560" w:firstLineChars="200"/>
              <w:rPr>
                <w:color w:val="auto"/>
                <w:sz w:val="28"/>
              </w:rPr>
            </w:pPr>
            <w:r>
              <w:rPr>
                <w:rFonts w:hint="eastAsia"/>
                <w:color w:val="auto"/>
                <w:sz w:val="28"/>
              </w:rPr>
              <w:t>本</w:t>
            </w:r>
            <w:r>
              <w:rPr>
                <w:color w:val="auto"/>
                <w:sz w:val="28"/>
              </w:rPr>
              <w:t>项目可能产生的环境问题</w:t>
            </w:r>
            <w:r>
              <w:rPr>
                <w:rFonts w:hint="eastAsia"/>
                <w:color w:val="auto"/>
                <w:sz w:val="28"/>
              </w:rPr>
              <w:t>，</w:t>
            </w:r>
            <w:r>
              <w:rPr>
                <w:color w:val="auto"/>
                <w:sz w:val="28"/>
              </w:rPr>
              <w:t>见表</w:t>
            </w:r>
            <w:r>
              <w:rPr>
                <w:rFonts w:hint="eastAsia"/>
                <w:color w:val="auto"/>
                <w:sz w:val="28"/>
              </w:rPr>
              <w:t>3</w:t>
            </w:r>
            <w:r>
              <w:rPr>
                <w:color w:val="auto"/>
                <w:sz w:val="28"/>
              </w:rPr>
              <w:t>。</w:t>
            </w:r>
          </w:p>
          <w:p>
            <w:pPr>
              <w:ind w:firstLine="480" w:firstLineChars="200"/>
              <w:rPr>
                <w:rFonts w:eastAsia="黑体"/>
                <w:color w:val="auto"/>
                <w:sz w:val="24"/>
              </w:rPr>
            </w:pPr>
            <w:r>
              <w:rPr>
                <w:rFonts w:eastAsia="黑体"/>
                <w:color w:val="auto"/>
                <w:sz w:val="24"/>
              </w:rPr>
              <w:t>表</w:t>
            </w:r>
            <w:r>
              <w:rPr>
                <w:rFonts w:hint="eastAsia" w:eastAsia="黑体"/>
                <w:color w:val="auto"/>
                <w:sz w:val="24"/>
              </w:rPr>
              <w:t>3</w:t>
            </w:r>
            <w:r>
              <w:rPr>
                <w:rFonts w:eastAsia="黑体"/>
                <w:color w:val="auto"/>
                <w:sz w:val="24"/>
              </w:rPr>
              <w:t xml:space="preserve">        </w:t>
            </w:r>
            <w:r>
              <w:rPr>
                <w:rFonts w:hint="eastAsia" w:eastAsia="黑体"/>
                <w:color w:val="auto"/>
                <w:sz w:val="24"/>
              </w:rPr>
              <w:t xml:space="preserve">  </w:t>
            </w:r>
            <w:r>
              <w:rPr>
                <w:rFonts w:eastAsia="黑体"/>
                <w:color w:val="auto"/>
                <w:sz w:val="24"/>
              </w:rPr>
              <w:t xml:space="preserve">       建设项目主要环境问题一览表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918"/>
              <w:gridCol w:w="1147"/>
              <w:gridCol w:w="4348"/>
              <w:gridCol w:w="273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Align w:val="center"/>
                </w:tcPr>
                <w:p>
                  <w:pPr>
                    <w:jc w:val="center"/>
                    <w:rPr>
                      <w:bCs/>
                      <w:color w:val="auto"/>
                      <w:szCs w:val="21"/>
                    </w:rPr>
                  </w:pPr>
                  <w:r>
                    <w:rPr>
                      <w:rFonts w:hint="eastAsia"/>
                      <w:bCs/>
                      <w:color w:val="auto"/>
                      <w:szCs w:val="21"/>
                    </w:rPr>
                    <w:t>时段</w:t>
                  </w:r>
                </w:p>
              </w:tc>
              <w:tc>
                <w:tcPr>
                  <w:tcW w:w="627" w:type="pct"/>
                  <w:vAlign w:val="center"/>
                </w:tcPr>
                <w:p>
                  <w:pPr>
                    <w:jc w:val="center"/>
                    <w:rPr>
                      <w:bCs/>
                      <w:color w:val="auto"/>
                      <w:szCs w:val="21"/>
                    </w:rPr>
                  </w:pPr>
                  <w:r>
                    <w:rPr>
                      <w:rFonts w:hint="eastAsia"/>
                      <w:bCs/>
                      <w:color w:val="auto"/>
                      <w:szCs w:val="21"/>
                    </w:rPr>
                    <w:t>环境要素</w:t>
                  </w:r>
                </w:p>
              </w:tc>
              <w:tc>
                <w:tcPr>
                  <w:tcW w:w="2377" w:type="pct"/>
                  <w:vAlign w:val="center"/>
                </w:tcPr>
                <w:p>
                  <w:pPr>
                    <w:jc w:val="center"/>
                    <w:rPr>
                      <w:bCs/>
                      <w:color w:val="auto"/>
                      <w:szCs w:val="21"/>
                    </w:rPr>
                  </w:pPr>
                  <w:r>
                    <w:rPr>
                      <w:rFonts w:hint="eastAsia"/>
                      <w:bCs/>
                      <w:color w:val="auto"/>
                      <w:szCs w:val="21"/>
                    </w:rPr>
                    <w:t>产生影响的主要内容</w:t>
                  </w:r>
                </w:p>
              </w:tc>
              <w:tc>
                <w:tcPr>
                  <w:tcW w:w="1492" w:type="pct"/>
                  <w:vAlign w:val="center"/>
                </w:tcPr>
                <w:p>
                  <w:pPr>
                    <w:jc w:val="center"/>
                    <w:rPr>
                      <w:bCs/>
                      <w:color w:val="auto"/>
                      <w:szCs w:val="21"/>
                    </w:rPr>
                  </w:pPr>
                  <w:r>
                    <w:rPr>
                      <w:rFonts w:hint="eastAsia"/>
                      <w:bCs/>
                      <w:color w:val="auto"/>
                      <w:szCs w:val="21"/>
                    </w:rPr>
                    <w:t>主要影响因素</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restart"/>
                  <w:vAlign w:val="center"/>
                </w:tcPr>
                <w:p>
                  <w:pPr>
                    <w:jc w:val="center"/>
                    <w:rPr>
                      <w:rFonts w:ascii="宋体" w:hAnsi="宋体"/>
                      <w:bCs/>
                      <w:color w:val="auto"/>
                      <w:szCs w:val="21"/>
                    </w:rPr>
                  </w:pPr>
                  <w:r>
                    <w:rPr>
                      <w:rFonts w:hint="eastAsia" w:ascii="宋体" w:hAnsi="宋体"/>
                      <w:bCs/>
                      <w:color w:val="auto"/>
                      <w:szCs w:val="21"/>
                    </w:rPr>
                    <w:t>运营期</w:t>
                  </w:r>
                </w:p>
              </w:tc>
              <w:tc>
                <w:tcPr>
                  <w:tcW w:w="627" w:type="pct"/>
                  <w:vMerge w:val="restart"/>
                  <w:vAlign w:val="center"/>
                </w:tcPr>
                <w:p>
                  <w:pPr>
                    <w:jc w:val="center"/>
                    <w:rPr>
                      <w:rFonts w:ascii="宋体" w:hAnsi="宋体"/>
                      <w:bCs/>
                      <w:color w:val="auto"/>
                      <w:szCs w:val="21"/>
                    </w:rPr>
                  </w:pPr>
                  <w:r>
                    <w:rPr>
                      <w:rFonts w:hint="eastAsia" w:ascii="宋体" w:hAnsi="宋体"/>
                      <w:bCs/>
                      <w:color w:val="auto"/>
                      <w:szCs w:val="21"/>
                    </w:rPr>
                    <w:t>大气环境</w:t>
                  </w:r>
                </w:p>
              </w:tc>
              <w:tc>
                <w:tcPr>
                  <w:tcW w:w="2377" w:type="pct"/>
                  <w:vAlign w:val="center"/>
                </w:tcPr>
                <w:p>
                  <w:pPr>
                    <w:jc w:val="center"/>
                    <w:rPr>
                      <w:rFonts w:ascii="宋体" w:hAnsi="宋体"/>
                      <w:bCs/>
                      <w:color w:val="auto"/>
                      <w:szCs w:val="21"/>
                    </w:rPr>
                  </w:pPr>
                  <w:r>
                    <w:rPr>
                      <w:rFonts w:hint="eastAsia" w:ascii="宋体" w:hAnsi="宋体"/>
                      <w:bCs/>
                      <w:color w:val="auto"/>
                      <w:szCs w:val="21"/>
                    </w:rPr>
                    <w:t>生产废气</w:t>
                  </w:r>
                </w:p>
              </w:tc>
              <w:tc>
                <w:tcPr>
                  <w:tcW w:w="1492" w:type="pct"/>
                  <w:vAlign w:val="center"/>
                </w:tcPr>
                <w:p>
                  <w:pPr>
                    <w:jc w:val="center"/>
                    <w:rPr>
                      <w:rFonts w:hAnsi="宋体"/>
                      <w:bCs/>
                      <w:color w:val="auto"/>
                      <w:szCs w:val="21"/>
                    </w:rPr>
                  </w:pPr>
                  <w:r>
                    <w:rPr>
                      <w:rFonts w:hint="eastAsia" w:hAnsi="宋体"/>
                      <w:bCs/>
                      <w:color w:val="auto"/>
                      <w:szCs w:val="21"/>
                    </w:rPr>
                    <w:t>非甲烷总烃</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continue"/>
                  <w:vAlign w:val="center"/>
                </w:tcPr>
                <w:p>
                  <w:pPr>
                    <w:jc w:val="center"/>
                    <w:rPr>
                      <w:rFonts w:ascii="宋体" w:hAnsi="宋体"/>
                      <w:bCs/>
                      <w:color w:val="auto"/>
                      <w:szCs w:val="21"/>
                    </w:rPr>
                  </w:pPr>
                </w:p>
              </w:tc>
              <w:tc>
                <w:tcPr>
                  <w:tcW w:w="2377" w:type="pct"/>
                  <w:vAlign w:val="center"/>
                </w:tcPr>
                <w:p>
                  <w:pPr>
                    <w:jc w:val="center"/>
                    <w:rPr>
                      <w:rFonts w:ascii="宋体" w:hAnsi="宋体"/>
                      <w:bCs/>
                      <w:color w:val="auto"/>
                      <w:szCs w:val="21"/>
                    </w:rPr>
                  </w:pPr>
                  <w:r>
                    <w:rPr>
                      <w:rFonts w:hint="eastAsia" w:ascii="宋体" w:hAnsi="宋体"/>
                      <w:bCs/>
                      <w:color w:val="auto"/>
                      <w:szCs w:val="21"/>
                    </w:rPr>
                    <w:t>厨房油烟</w:t>
                  </w:r>
                </w:p>
              </w:tc>
              <w:tc>
                <w:tcPr>
                  <w:tcW w:w="1492" w:type="pct"/>
                  <w:vAlign w:val="center"/>
                </w:tcPr>
                <w:p>
                  <w:pPr>
                    <w:jc w:val="center"/>
                    <w:rPr>
                      <w:rFonts w:hAnsi="宋体"/>
                      <w:bCs/>
                      <w:color w:val="auto"/>
                      <w:szCs w:val="21"/>
                    </w:rPr>
                  </w:pPr>
                  <w:r>
                    <w:rPr>
                      <w:rFonts w:hint="eastAsia" w:hAnsi="宋体"/>
                      <w:bCs/>
                      <w:color w:val="auto"/>
                      <w:szCs w:val="21"/>
                    </w:rPr>
                    <w:t>油烟废气</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restart"/>
                  <w:vAlign w:val="center"/>
                </w:tcPr>
                <w:p>
                  <w:pPr>
                    <w:jc w:val="center"/>
                    <w:rPr>
                      <w:rFonts w:ascii="宋体" w:hAnsi="宋体"/>
                      <w:bCs/>
                      <w:color w:val="auto"/>
                      <w:szCs w:val="21"/>
                    </w:rPr>
                  </w:pPr>
                  <w:r>
                    <w:rPr>
                      <w:rFonts w:hint="eastAsia" w:ascii="宋体" w:hAnsi="宋体"/>
                      <w:bCs/>
                      <w:color w:val="auto"/>
                      <w:szCs w:val="21"/>
                    </w:rPr>
                    <w:t>水环境</w:t>
                  </w:r>
                </w:p>
              </w:tc>
              <w:tc>
                <w:tcPr>
                  <w:tcW w:w="2377" w:type="pct"/>
                  <w:vAlign w:val="center"/>
                </w:tcPr>
                <w:p>
                  <w:pPr>
                    <w:jc w:val="center"/>
                    <w:rPr>
                      <w:rFonts w:ascii="宋体" w:hAnsi="宋体"/>
                      <w:bCs/>
                      <w:color w:val="auto"/>
                      <w:szCs w:val="21"/>
                    </w:rPr>
                  </w:pPr>
                  <w:r>
                    <w:rPr>
                      <w:rFonts w:hint="eastAsia" w:ascii="宋体" w:hAnsi="宋体"/>
                      <w:bCs/>
                      <w:color w:val="auto"/>
                      <w:szCs w:val="21"/>
                    </w:rPr>
                    <w:t>办公生活污水</w:t>
                  </w:r>
                </w:p>
              </w:tc>
              <w:tc>
                <w:tcPr>
                  <w:tcW w:w="1492" w:type="pct"/>
                  <w:vAlign w:val="center"/>
                </w:tcPr>
                <w:p>
                  <w:pPr>
                    <w:jc w:val="center"/>
                    <w:rPr>
                      <w:bCs/>
                      <w:color w:val="auto"/>
                      <w:szCs w:val="21"/>
                    </w:rPr>
                  </w:pPr>
                  <w:r>
                    <w:rPr>
                      <w:rFonts w:hint="eastAsia"/>
                      <w:bCs/>
                      <w:color w:val="auto"/>
                      <w:szCs w:val="21"/>
                    </w:rPr>
                    <w:t>COD、SS、BOD</w:t>
                  </w:r>
                  <w:r>
                    <w:rPr>
                      <w:rFonts w:hint="eastAsia"/>
                      <w:bCs/>
                      <w:color w:val="auto"/>
                      <w:szCs w:val="21"/>
                      <w:vertAlign w:val="subscript"/>
                    </w:rPr>
                    <w:t>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continue"/>
                  <w:vAlign w:val="center"/>
                </w:tcPr>
                <w:p>
                  <w:pPr>
                    <w:jc w:val="center"/>
                    <w:rPr>
                      <w:rFonts w:ascii="宋体" w:hAnsi="宋体"/>
                      <w:bCs/>
                      <w:color w:val="auto"/>
                      <w:szCs w:val="21"/>
                    </w:rPr>
                  </w:pPr>
                </w:p>
              </w:tc>
              <w:tc>
                <w:tcPr>
                  <w:tcW w:w="2377" w:type="pct"/>
                  <w:vAlign w:val="center"/>
                </w:tcPr>
                <w:p>
                  <w:pPr>
                    <w:jc w:val="center"/>
                    <w:rPr>
                      <w:rFonts w:ascii="宋体" w:hAnsi="宋体"/>
                      <w:bCs/>
                      <w:color w:val="auto"/>
                      <w:szCs w:val="21"/>
                    </w:rPr>
                  </w:pPr>
                  <w:r>
                    <w:rPr>
                      <w:rFonts w:hint="eastAsia" w:ascii="宋体" w:hAnsi="宋体"/>
                      <w:bCs/>
                      <w:color w:val="auto"/>
                      <w:szCs w:val="21"/>
                    </w:rPr>
                    <w:t>冷却水</w:t>
                  </w:r>
                </w:p>
              </w:tc>
              <w:tc>
                <w:tcPr>
                  <w:tcW w:w="1492" w:type="pct"/>
                  <w:vAlign w:val="center"/>
                </w:tcPr>
                <w:p>
                  <w:pPr>
                    <w:jc w:val="center"/>
                    <w:rPr>
                      <w:bCs/>
                      <w:color w:val="auto"/>
                      <w:szCs w:val="21"/>
                    </w:rPr>
                  </w:pPr>
                  <w:r>
                    <w:rPr>
                      <w:rFonts w:hint="eastAsia"/>
                      <w:bCs/>
                      <w:color w:val="auto"/>
                      <w:szCs w:val="21"/>
                    </w:rPr>
                    <w:t>循环使用不外排</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restart"/>
                  <w:vAlign w:val="center"/>
                </w:tcPr>
                <w:p>
                  <w:pPr>
                    <w:jc w:val="center"/>
                    <w:rPr>
                      <w:rFonts w:ascii="宋体" w:hAnsi="宋体"/>
                      <w:bCs/>
                      <w:color w:val="auto"/>
                      <w:szCs w:val="21"/>
                    </w:rPr>
                  </w:pPr>
                  <w:r>
                    <w:rPr>
                      <w:rFonts w:hint="eastAsia" w:ascii="宋体" w:hAnsi="宋体"/>
                      <w:bCs/>
                      <w:color w:val="auto"/>
                      <w:szCs w:val="21"/>
                    </w:rPr>
                    <w:t>固体废物</w:t>
                  </w:r>
                </w:p>
              </w:tc>
              <w:tc>
                <w:tcPr>
                  <w:tcW w:w="2377" w:type="pct"/>
                  <w:vAlign w:val="center"/>
                </w:tcPr>
                <w:p>
                  <w:pPr>
                    <w:jc w:val="center"/>
                    <w:rPr>
                      <w:rFonts w:ascii="宋体" w:hAnsi="宋体"/>
                      <w:bCs/>
                      <w:color w:val="auto"/>
                      <w:szCs w:val="21"/>
                    </w:rPr>
                  </w:pPr>
                  <w:r>
                    <w:rPr>
                      <w:rFonts w:hint="eastAsia" w:ascii="宋体" w:hAnsi="宋体"/>
                      <w:bCs/>
                      <w:color w:val="auto"/>
                      <w:szCs w:val="21"/>
                    </w:rPr>
                    <w:t>生产固废</w:t>
                  </w:r>
                </w:p>
              </w:tc>
              <w:tc>
                <w:tcPr>
                  <w:tcW w:w="1492" w:type="pct"/>
                  <w:vAlign w:val="center"/>
                </w:tcPr>
                <w:p>
                  <w:pPr>
                    <w:jc w:val="center"/>
                    <w:rPr>
                      <w:rFonts w:hAnsi="宋体"/>
                      <w:bCs/>
                      <w:color w:val="auto"/>
                      <w:szCs w:val="21"/>
                    </w:rPr>
                  </w:pPr>
                  <w:r>
                    <w:rPr>
                      <w:rFonts w:hint="eastAsia" w:hAnsi="宋体"/>
                      <w:bCs/>
                      <w:color w:val="auto"/>
                      <w:szCs w:val="21"/>
                    </w:rPr>
                    <w:t>废原料包装、废包装袋/箱、不合格产品</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continue"/>
                  <w:vAlign w:val="center"/>
                </w:tcPr>
                <w:p>
                  <w:pPr>
                    <w:jc w:val="center"/>
                    <w:rPr>
                      <w:rFonts w:ascii="宋体" w:hAnsi="宋体"/>
                      <w:bCs/>
                      <w:color w:val="auto"/>
                      <w:szCs w:val="21"/>
                    </w:rPr>
                  </w:pPr>
                </w:p>
              </w:tc>
              <w:tc>
                <w:tcPr>
                  <w:tcW w:w="2377" w:type="pct"/>
                  <w:vAlign w:val="center"/>
                </w:tcPr>
                <w:p>
                  <w:pPr>
                    <w:jc w:val="center"/>
                    <w:rPr>
                      <w:rFonts w:ascii="宋体" w:hAnsi="宋体"/>
                      <w:bCs/>
                      <w:color w:val="auto"/>
                      <w:szCs w:val="21"/>
                    </w:rPr>
                  </w:pPr>
                  <w:r>
                    <w:rPr>
                      <w:rFonts w:hint="eastAsia" w:ascii="宋体" w:hAnsi="宋体"/>
                      <w:bCs/>
                      <w:color w:val="auto"/>
                      <w:szCs w:val="21"/>
                    </w:rPr>
                    <w:t>办公、生活</w:t>
                  </w:r>
                </w:p>
              </w:tc>
              <w:tc>
                <w:tcPr>
                  <w:tcW w:w="1492" w:type="pct"/>
                  <w:vAlign w:val="center"/>
                </w:tcPr>
                <w:p>
                  <w:pPr>
                    <w:jc w:val="center"/>
                    <w:rPr>
                      <w:rFonts w:hAnsi="宋体"/>
                      <w:bCs/>
                      <w:color w:val="auto"/>
                      <w:szCs w:val="21"/>
                    </w:rPr>
                  </w:pPr>
                  <w:r>
                    <w:rPr>
                      <w:rFonts w:hint="eastAsia" w:hAnsi="宋体"/>
                      <w:bCs/>
                      <w:color w:val="auto"/>
                      <w:szCs w:val="21"/>
                    </w:rPr>
                    <w:t>生活垃圾</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continue"/>
                  <w:vAlign w:val="center"/>
                </w:tcPr>
                <w:p>
                  <w:pPr>
                    <w:jc w:val="center"/>
                    <w:rPr>
                      <w:rFonts w:ascii="宋体" w:hAnsi="宋体"/>
                      <w:bCs/>
                      <w:color w:val="auto"/>
                      <w:szCs w:val="21"/>
                    </w:rPr>
                  </w:pPr>
                </w:p>
              </w:tc>
              <w:tc>
                <w:tcPr>
                  <w:tcW w:w="2377" w:type="pct"/>
                  <w:vAlign w:val="center"/>
                </w:tcPr>
                <w:p>
                  <w:pPr>
                    <w:jc w:val="center"/>
                    <w:rPr>
                      <w:rFonts w:ascii="宋体" w:hAnsi="宋体"/>
                      <w:bCs/>
                      <w:color w:val="auto"/>
                      <w:szCs w:val="21"/>
                    </w:rPr>
                  </w:pPr>
                  <w:r>
                    <w:rPr>
                      <w:rFonts w:hint="eastAsia" w:ascii="宋体" w:hAnsi="宋体"/>
                      <w:bCs/>
                      <w:color w:val="auto"/>
                      <w:szCs w:val="21"/>
                    </w:rPr>
                    <w:t>光催化氧化装置</w:t>
                  </w:r>
                </w:p>
              </w:tc>
              <w:tc>
                <w:tcPr>
                  <w:tcW w:w="1492" w:type="pct"/>
                  <w:vAlign w:val="center"/>
                </w:tcPr>
                <w:p>
                  <w:pPr>
                    <w:jc w:val="center"/>
                    <w:rPr>
                      <w:rFonts w:hAnsi="宋体"/>
                      <w:bCs/>
                      <w:color w:val="auto"/>
                      <w:szCs w:val="21"/>
                    </w:rPr>
                  </w:pPr>
                  <w:r>
                    <w:rPr>
                      <w:rFonts w:hint="eastAsia" w:hAnsi="宋体"/>
                      <w:bCs/>
                      <w:color w:val="auto"/>
                      <w:szCs w:val="21"/>
                    </w:rPr>
                    <w:t>废灯管</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continue"/>
                  <w:vAlign w:val="center"/>
                </w:tcPr>
                <w:p>
                  <w:pPr>
                    <w:jc w:val="center"/>
                    <w:rPr>
                      <w:rFonts w:ascii="宋体" w:hAnsi="宋体"/>
                      <w:bCs/>
                      <w:color w:val="auto"/>
                      <w:szCs w:val="21"/>
                    </w:rPr>
                  </w:pPr>
                </w:p>
              </w:tc>
              <w:tc>
                <w:tcPr>
                  <w:tcW w:w="2377" w:type="pct"/>
                  <w:vAlign w:val="center"/>
                </w:tcPr>
                <w:p>
                  <w:pPr>
                    <w:jc w:val="center"/>
                    <w:rPr>
                      <w:rFonts w:ascii="宋体" w:hAnsi="宋体"/>
                      <w:bCs/>
                      <w:color w:val="auto"/>
                      <w:szCs w:val="21"/>
                    </w:rPr>
                  </w:pPr>
                  <w:r>
                    <w:rPr>
                      <w:rFonts w:hint="eastAsia" w:ascii="宋体" w:hAnsi="宋体"/>
                      <w:bCs/>
                      <w:color w:val="auto"/>
                      <w:szCs w:val="21"/>
                    </w:rPr>
                    <w:t>活性炭吸附装置</w:t>
                  </w:r>
                </w:p>
              </w:tc>
              <w:tc>
                <w:tcPr>
                  <w:tcW w:w="1492" w:type="pct"/>
                  <w:vAlign w:val="center"/>
                </w:tcPr>
                <w:p>
                  <w:pPr>
                    <w:jc w:val="center"/>
                    <w:rPr>
                      <w:rFonts w:ascii="宋体" w:hAnsi="宋体"/>
                      <w:bCs/>
                      <w:color w:val="auto"/>
                      <w:szCs w:val="21"/>
                    </w:rPr>
                  </w:pPr>
                  <w:r>
                    <w:rPr>
                      <w:rFonts w:hint="eastAsia" w:ascii="宋体" w:hAnsi="宋体"/>
                      <w:bCs/>
                      <w:color w:val="auto"/>
                      <w:szCs w:val="21"/>
                    </w:rPr>
                    <w:t>废活性炭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02" w:type="pct"/>
                  <w:vMerge w:val="continue"/>
                  <w:vAlign w:val="center"/>
                </w:tcPr>
                <w:p>
                  <w:pPr>
                    <w:jc w:val="center"/>
                    <w:rPr>
                      <w:rFonts w:ascii="宋体" w:hAnsi="宋体"/>
                      <w:bCs/>
                      <w:color w:val="auto"/>
                      <w:szCs w:val="21"/>
                    </w:rPr>
                  </w:pPr>
                </w:p>
              </w:tc>
              <w:tc>
                <w:tcPr>
                  <w:tcW w:w="627" w:type="pct"/>
                  <w:vMerge w:val="continue"/>
                  <w:vAlign w:val="center"/>
                </w:tcPr>
                <w:p>
                  <w:pPr>
                    <w:jc w:val="center"/>
                    <w:rPr>
                      <w:rFonts w:ascii="宋体" w:hAnsi="宋体"/>
                      <w:bCs/>
                      <w:color w:val="auto"/>
                      <w:szCs w:val="21"/>
                    </w:rPr>
                  </w:pPr>
                </w:p>
              </w:tc>
              <w:tc>
                <w:tcPr>
                  <w:tcW w:w="2377" w:type="pct"/>
                  <w:vAlign w:val="center"/>
                </w:tcPr>
                <w:p>
                  <w:pPr>
                    <w:jc w:val="center"/>
                    <w:rPr>
                      <w:rFonts w:ascii="宋体" w:hAnsi="宋体"/>
                      <w:bCs/>
                      <w:color w:val="auto"/>
                      <w:szCs w:val="21"/>
                    </w:rPr>
                  </w:pPr>
                  <w:r>
                    <w:rPr>
                      <w:rFonts w:hint="eastAsia" w:ascii="宋体" w:hAnsi="宋体"/>
                      <w:bCs/>
                      <w:color w:val="auto"/>
                      <w:szCs w:val="21"/>
                    </w:rPr>
                    <w:t>机械维修</w:t>
                  </w:r>
                </w:p>
              </w:tc>
              <w:tc>
                <w:tcPr>
                  <w:tcW w:w="1492" w:type="pct"/>
                  <w:vAlign w:val="center"/>
                </w:tcPr>
                <w:p>
                  <w:pPr>
                    <w:jc w:val="center"/>
                    <w:rPr>
                      <w:rFonts w:ascii="宋体" w:hAnsi="宋体"/>
                      <w:bCs/>
                      <w:color w:val="auto"/>
                      <w:szCs w:val="21"/>
                    </w:rPr>
                  </w:pPr>
                  <w:r>
                    <w:rPr>
                      <w:rFonts w:hint="eastAsia" w:ascii="宋体" w:hAnsi="宋体"/>
                      <w:bCs/>
                      <w:color w:val="auto"/>
                      <w:szCs w:val="21"/>
                    </w:rPr>
                    <w:t>废机油</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29" w:hRule="atLeast"/>
              </w:trPr>
              <w:tc>
                <w:tcPr>
                  <w:tcW w:w="502" w:type="pct"/>
                  <w:vMerge w:val="continue"/>
                  <w:vAlign w:val="center"/>
                </w:tcPr>
                <w:p>
                  <w:pPr>
                    <w:jc w:val="center"/>
                    <w:rPr>
                      <w:rFonts w:ascii="宋体" w:hAnsi="宋体"/>
                      <w:bCs/>
                      <w:color w:val="auto"/>
                      <w:szCs w:val="21"/>
                    </w:rPr>
                  </w:pPr>
                </w:p>
              </w:tc>
              <w:tc>
                <w:tcPr>
                  <w:tcW w:w="627" w:type="pct"/>
                  <w:vAlign w:val="center"/>
                </w:tcPr>
                <w:p>
                  <w:pPr>
                    <w:jc w:val="center"/>
                    <w:rPr>
                      <w:rFonts w:ascii="宋体" w:hAnsi="宋体"/>
                      <w:bCs/>
                      <w:color w:val="auto"/>
                      <w:szCs w:val="21"/>
                    </w:rPr>
                  </w:pPr>
                  <w:r>
                    <w:rPr>
                      <w:rFonts w:hint="eastAsia" w:ascii="宋体" w:hAnsi="宋体"/>
                      <w:bCs/>
                      <w:color w:val="auto"/>
                      <w:szCs w:val="21"/>
                    </w:rPr>
                    <w:t>声环境</w:t>
                  </w:r>
                </w:p>
              </w:tc>
              <w:tc>
                <w:tcPr>
                  <w:tcW w:w="2377" w:type="pct"/>
                  <w:vAlign w:val="center"/>
                </w:tcPr>
                <w:p>
                  <w:pPr>
                    <w:jc w:val="center"/>
                    <w:rPr>
                      <w:rFonts w:ascii="宋体" w:hAnsi="宋体"/>
                      <w:bCs/>
                      <w:color w:val="auto"/>
                      <w:szCs w:val="21"/>
                    </w:rPr>
                  </w:pPr>
                  <w:r>
                    <w:rPr>
                      <w:rFonts w:hint="eastAsia" w:ascii="宋体" w:hAnsi="宋体"/>
                      <w:bCs/>
                      <w:color w:val="auto"/>
                      <w:szCs w:val="21"/>
                    </w:rPr>
                    <w:t>生产厂房</w:t>
                  </w:r>
                </w:p>
              </w:tc>
              <w:tc>
                <w:tcPr>
                  <w:tcW w:w="1492" w:type="pct"/>
                  <w:vAlign w:val="center"/>
                </w:tcPr>
                <w:p>
                  <w:pPr>
                    <w:jc w:val="center"/>
                    <w:rPr>
                      <w:rFonts w:ascii="宋体" w:hAnsi="宋体"/>
                      <w:bCs/>
                      <w:color w:val="auto"/>
                      <w:szCs w:val="21"/>
                    </w:rPr>
                  </w:pPr>
                  <w:r>
                    <w:rPr>
                      <w:rFonts w:hint="eastAsia" w:ascii="宋体" w:hAnsi="宋体"/>
                      <w:bCs/>
                      <w:color w:val="auto"/>
                      <w:szCs w:val="21"/>
                    </w:rPr>
                    <w:t>设备运行噪声</w:t>
                  </w:r>
                </w:p>
              </w:tc>
            </w:tr>
          </w:tbl>
          <w:p>
            <w:pPr>
              <w:autoSpaceDE w:val="0"/>
              <w:autoSpaceDN w:val="0"/>
              <w:adjustRightInd w:val="0"/>
              <w:spacing w:line="520" w:lineRule="exact"/>
              <w:rPr>
                <w:b/>
                <w:color w:val="auto"/>
                <w:kern w:val="0"/>
                <w:sz w:val="28"/>
              </w:rPr>
            </w:pPr>
            <w:r>
              <w:rPr>
                <w:rFonts w:hint="eastAsia"/>
                <w:b/>
                <w:color w:val="auto"/>
                <w:kern w:val="0"/>
                <w:sz w:val="28"/>
              </w:rPr>
              <w:t>3.7劳动定员</w:t>
            </w:r>
            <w:r>
              <w:rPr>
                <w:rFonts w:hint="eastAsia"/>
                <w:b/>
                <w:color w:val="auto"/>
                <w:sz w:val="28"/>
                <w:szCs w:val="28"/>
                <w:lang w:val="zh-CN"/>
              </w:rPr>
              <w:t>及生产制度</w:t>
            </w:r>
          </w:p>
          <w:p>
            <w:pPr>
              <w:spacing w:line="520" w:lineRule="exact"/>
              <w:ind w:firstLine="560" w:firstLineChars="200"/>
              <w:rPr>
                <w:color w:val="auto"/>
                <w:kern w:val="0"/>
                <w:sz w:val="28"/>
              </w:rPr>
            </w:pPr>
            <w:r>
              <w:rPr>
                <w:rFonts w:hint="eastAsia"/>
                <w:color w:val="auto"/>
                <w:kern w:val="0"/>
                <w:sz w:val="28"/>
              </w:rPr>
              <w:t>运营期间劳动定员20人，均为当地招募工人，工期为每年3月</w:t>
            </w:r>
            <w:r>
              <w:rPr>
                <w:rFonts w:hint="eastAsia"/>
                <w:bCs/>
                <w:color w:val="auto"/>
                <w:sz w:val="28"/>
              </w:rPr>
              <w:t>～</w:t>
            </w:r>
            <w:r>
              <w:rPr>
                <w:rFonts w:hint="eastAsia"/>
                <w:color w:val="auto"/>
                <w:kern w:val="0"/>
                <w:sz w:val="28"/>
              </w:rPr>
              <w:t>11月，年工作时长约270天，每天1班制，每班工作8小时，年工作时数2160h。</w:t>
            </w:r>
          </w:p>
          <w:p>
            <w:pPr>
              <w:spacing w:line="520" w:lineRule="exact"/>
              <w:rPr>
                <w:color w:val="auto"/>
                <w:sz w:val="28"/>
                <w:szCs w:val="28"/>
              </w:rPr>
            </w:pPr>
            <w:r>
              <w:rPr>
                <w:rFonts w:hint="eastAsia"/>
                <w:b/>
                <w:bCs/>
                <w:color w:val="auto"/>
                <w:sz w:val="28"/>
              </w:rPr>
              <w:t>4公用工程</w:t>
            </w:r>
          </w:p>
          <w:p>
            <w:pPr>
              <w:spacing w:line="520" w:lineRule="exact"/>
              <w:rPr>
                <w:color w:val="auto"/>
                <w:sz w:val="28"/>
                <w:szCs w:val="28"/>
              </w:rPr>
            </w:pPr>
            <w:r>
              <w:rPr>
                <w:rFonts w:hint="eastAsia"/>
                <w:b/>
                <w:color w:val="auto"/>
                <w:sz w:val="28"/>
                <w:szCs w:val="28"/>
              </w:rPr>
              <w:t>4.1供水</w:t>
            </w:r>
          </w:p>
          <w:p>
            <w:pPr>
              <w:spacing w:line="520" w:lineRule="exact"/>
              <w:ind w:firstLine="560" w:firstLineChars="200"/>
              <w:rPr>
                <w:color w:val="auto"/>
                <w:kern w:val="0"/>
                <w:sz w:val="28"/>
                <w:szCs w:val="20"/>
              </w:rPr>
            </w:pPr>
            <w:r>
              <w:rPr>
                <w:rFonts w:hint="eastAsia"/>
                <w:color w:val="auto"/>
                <w:kern w:val="0"/>
                <w:sz w:val="28"/>
                <w:szCs w:val="20"/>
              </w:rPr>
              <w:t>厂区用水为市政自来水，给水管线已敷设至项目区地块，本项目可直接接入已建的管网进行使用。</w:t>
            </w:r>
          </w:p>
          <w:p>
            <w:pPr>
              <w:spacing w:line="520" w:lineRule="exact"/>
              <w:rPr>
                <w:b/>
                <w:color w:val="auto"/>
                <w:sz w:val="28"/>
                <w:szCs w:val="28"/>
              </w:rPr>
            </w:pPr>
            <w:r>
              <w:rPr>
                <w:rFonts w:hint="eastAsia"/>
                <w:b/>
                <w:color w:val="auto"/>
                <w:sz w:val="28"/>
                <w:szCs w:val="28"/>
              </w:rPr>
              <w:t>4.2排水</w:t>
            </w:r>
          </w:p>
          <w:p>
            <w:pPr>
              <w:spacing w:line="520" w:lineRule="exact"/>
              <w:ind w:firstLine="560" w:firstLineChars="200"/>
              <w:rPr>
                <w:color w:val="auto"/>
                <w:sz w:val="28"/>
                <w:szCs w:val="28"/>
              </w:rPr>
            </w:pPr>
            <w:r>
              <w:rPr>
                <w:rFonts w:hint="eastAsia"/>
                <w:color w:val="auto"/>
                <w:sz w:val="28"/>
                <w:szCs w:val="28"/>
              </w:rPr>
              <w:t>塑料拖鞋加工过程中的冷却废水排入冷却水池处理后回用。生活污水直接排入市政的污水管网，由市政污水处理厂处理。</w:t>
            </w:r>
          </w:p>
          <w:p>
            <w:pPr>
              <w:spacing w:line="520" w:lineRule="exact"/>
              <w:rPr>
                <w:b/>
                <w:color w:val="auto"/>
                <w:sz w:val="28"/>
                <w:szCs w:val="28"/>
              </w:rPr>
            </w:pPr>
            <w:r>
              <w:rPr>
                <w:rFonts w:hint="eastAsia"/>
                <w:b/>
                <w:color w:val="auto"/>
                <w:sz w:val="28"/>
                <w:szCs w:val="28"/>
              </w:rPr>
              <w:t>4.3供电</w:t>
            </w:r>
          </w:p>
          <w:p>
            <w:pPr>
              <w:spacing w:line="520" w:lineRule="exact"/>
              <w:ind w:firstLine="560" w:firstLineChars="200"/>
              <w:rPr>
                <w:color w:val="auto"/>
                <w:kern w:val="0"/>
                <w:sz w:val="28"/>
                <w:szCs w:val="20"/>
              </w:rPr>
            </w:pPr>
            <w:r>
              <w:rPr>
                <w:rFonts w:hint="eastAsia"/>
                <w:color w:val="auto"/>
                <w:kern w:val="0"/>
                <w:sz w:val="28"/>
                <w:szCs w:val="20"/>
              </w:rPr>
              <w:t>项目租赁厂房已接入市政电网，能够保障正常的生产和生活用电需求，项目用电主要用于生产、照明和冬季生活采暖。</w:t>
            </w:r>
          </w:p>
          <w:p>
            <w:pPr>
              <w:spacing w:line="520" w:lineRule="exact"/>
              <w:rPr>
                <w:b/>
                <w:color w:val="auto"/>
                <w:sz w:val="28"/>
                <w:szCs w:val="28"/>
              </w:rPr>
            </w:pPr>
            <w:r>
              <w:rPr>
                <w:rFonts w:hint="eastAsia"/>
                <w:b/>
                <w:color w:val="auto"/>
                <w:sz w:val="28"/>
                <w:szCs w:val="28"/>
              </w:rPr>
              <w:t>4.4供热</w:t>
            </w:r>
          </w:p>
          <w:p>
            <w:pPr>
              <w:spacing w:line="520" w:lineRule="exact"/>
              <w:ind w:firstLine="560" w:firstLineChars="200"/>
              <w:rPr>
                <w:color w:val="auto"/>
                <w:sz w:val="28"/>
                <w:szCs w:val="28"/>
              </w:rPr>
            </w:pPr>
            <w:r>
              <w:rPr>
                <w:rFonts w:hint="eastAsia"/>
                <w:color w:val="auto"/>
                <w:sz w:val="28"/>
                <w:szCs w:val="28"/>
              </w:rPr>
              <w:t>厂房内生产供热采用生产设备余热供暖，另配备电暖器供暖，办公、生活区供暖采用电暖器供热。</w:t>
            </w:r>
          </w:p>
          <w:p>
            <w:pPr>
              <w:spacing w:line="520" w:lineRule="exact"/>
              <w:rPr>
                <w:b/>
                <w:color w:val="auto"/>
                <w:sz w:val="28"/>
                <w:szCs w:val="28"/>
              </w:rPr>
            </w:pPr>
            <w:r>
              <w:rPr>
                <w:rFonts w:hint="eastAsia"/>
                <w:b/>
                <w:color w:val="auto"/>
                <w:sz w:val="28"/>
                <w:szCs w:val="28"/>
              </w:rPr>
              <w:t>4.5道路运输</w:t>
            </w:r>
          </w:p>
          <w:p>
            <w:pPr>
              <w:spacing w:line="520" w:lineRule="exact"/>
              <w:ind w:firstLine="560" w:firstLineChars="200"/>
              <w:rPr>
                <w:color w:val="auto"/>
                <w:sz w:val="28"/>
                <w:szCs w:val="28"/>
              </w:rPr>
            </w:pPr>
            <w:r>
              <w:rPr>
                <w:rFonts w:hint="eastAsia"/>
                <w:color w:val="auto"/>
                <w:sz w:val="28"/>
                <w:szCs w:val="28"/>
              </w:rPr>
              <w:t>场内道路为混凝土路面，主要为运输原料及产品服务，道路设计既要满足运输需求，同时也满足消防要求。项目区东侧为文化路，北侧为恰甫其海路，交通便捷。</w:t>
            </w:r>
          </w:p>
          <w:p>
            <w:pPr>
              <w:spacing w:line="520" w:lineRule="exact"/>
              <w:rPr>
                <w:b/>
                <w:color w:val="auto"/>
                <w:sz w:val="28"/>
                <w:szCs w:val="28"/>
              </w:rPr>
            </w:pPr>
            <w:r>
              <w:rPr>
                <w:rFonts w:hint="eastAsia"/>
                <w:b/>
                <w:color w:val="auto"/>
                <w:sz w:val="28"/>
                <w:szCs w:val="28"/>
              </w:rPr>
              <w:t>4.6消防</w:t>
            </w:r>
          </w:p>
          <w:p>
            <w:pPr>
              <w:spacing w:line="520" w:lineRule="exact"/>
              <w:ind w:firstLine="560" w:firstLineChars="200"/>
              <w:rPr>
                <w:color w:val="auto"/>
                <w:sz w:val="28"/>
                <w:szCs w:val="28"/>
              </w:rPr>
            </w:pPr>
            <w:r>
              <w:rPr>
                <w:rFonts w:hint="eastAsia"/>
                <w:color w:val="auto"/>
                <w:sz w:val="28"/>
                <w:szCs w:val="28"/>
              </w:rPr>
              <w:t>塑料拖鞋的原料、成品及包装均属于易燃物质，当遇明火时极易燃烧并引发火灾，因此本项目在厂房内设置6组12个灭火器，在发生火灾时能够及时控制火情。</w:t>
            </w:r>
          </w:p>
          <w:p>
            <w:pPr>
              <w:spacing w:line="520" w:lineRule="exact"/>
              <w:rPr>
                <w:b/>
                <w:bCs/>
                <w:color w:val="auto"/>
                <w:sz w:val="28"/>
              </w:rPr>
            </w:pPr>
            <w:r>
              <w:rPr>
                <w:rFonts w:hint="eastAsia"/>
                <w:b/>
                <w:bCs/>
                <w:color w:val="auto"/>
                <w:sz w:val="28"/>
              </w:rPr>
              <w:t>5项目</w:t>
            </w:r>
            <w:r>
              <w:rPr>
                <w:b/>
                <w:bCs/>
                <w:color w:val="auto"/>
                <w:sz w:val="28"/>
              </w:rPr>
              <w:t>实施进度</w:t>
            </w:r>
          </w:p>
          <w:p>
            <w:pPr>
              <w:spacing w:line="520" w:lineRule="exact"/>
              <w:ind w:firstLine="560" w:firstLineChars="200"/>
              <w:rPr>
                <w:color w:val="auto"/>
                <w:sz w:val="28"/>
              </w:rPr>
            </w:pPr>
            <w:r>
              <w:rPr>
                <w:rFonts w:hint="eastAsia"/>
                <w:color w:val="auto"/>
                <w:sz w:val="28"/>
              </w:rPr>
              <w:t>1、2020年8月—2021年1月进行项目前期手续准备（编制可研、审批立项、编制环评）；</w:t>
            </w:r>
          </w:p>
          <w:p>
            <w:pPr>
              <w:spacing w:line="520" w:lineRule="exact"/>
              <w:ind w:firstLine="560" w:firstLineChars="200"/>
              <w:rPr>
                <w:color w:val="auto"/>
                <w:sz w:val="28"/>
              </w:rPr>
            </w:pPr>
            <w:r>
              <w:rPr>
                <w:rFonts w:hint="eastAsia"/>
                <w:color w:val="auto"/>
                <w:sz w:val="28"/>
              </w:rPr>
              <w:t>2、2021年1月完成项目设备购置及安装等准备工作；</w:t>
            </w:r>
          </w:p>
          <w:p>
            <w:pPr>
              <w:spacing w:line="520" w:lineRule="exact"/>
              <w:ind w:firstLine="560" w:firstLineChars="200"/>
              <w:rPr>
                <w:color w:val="auto"/>
                <w:sz w:val="28"/>
              </w:rPr>
            </w:pPr>
            <w:r>
              <w:rPr>
                <w:rFonts w:hint="eastAsia"/>
                <w:color w:val="auto"/>
                <w:sz w:val="28"/>
              </w:rPr>
              <w:t>3、2021年2月综合验收，交付投入使用。</w:t>
            </w:r>
          </w:p>
          <w:p>
            <w:pPr>
              <w:spacing w:line="520" w:lineRule="exact"/>
              <w:rPr>
                <w:b/>
                <w:bCs/>
                <w:color w:val="auto"/>
                <w:sz w:val="28"/>
              </w:rPr>
            </w:pPr>
            <w:r>
              <w:rPr>
                <w:rFonts w:hint="eastAsia"/>
                <w:b/>
                <w:bCs/>
                <w:color w:val="auto"/>
                <w:sz w:val="28"/>
              </w:rPr>
              <w:t>6项目</w:t>
            </w:r>
            <w:r>
              <w:rPr>
                <w:b/>
                <w:bCs/>
                <w:color w:val="auto"/>
                <w:sz w:val="28"/>
              </w:rPr>
              <w:t>投资及</w:t>
            </w:r>
            <w:r>
              <w:rPr>
                <w:rFonts w:hint="eastAsia"/>
                <w:b/>
                <w:bCs/>
                <w:color w:val="auto"/>
                <w:sz w:val="28"/>
              </w:rPr>
              <w:t>来源</w:t>
            </w:r>
          </w:p>
          <w:p>
            <w:pPr>
              <w:spacing w:line="520" w:lineRule="exact"/>
              <w:ind w:firstLine="570"/>
              <w:rPr>
                <w:bCs/>
                <w:color w:val="auto"/>
                <w:sz w:val="28"/>
              </w:rPr>
            </w:pPr>
            <w:r>
              <w:rPr>
                <w:bCs/>
                <w:color w:val="auto"/>
                <w:sz w:val="28"/>
              </w:rPr>
              <w:t>本项目投资总额为</w:t>
            </w:r>
            <w:r>
              <w:rPr>
                <w:rFonts w:hint="eastAsia"/>
                <w:bCs/>
                <w:color w:val="auto"/>
                <w:sz w:val="28"/>
              </w:rPr>
              <w:t>500</w:t>
            </w:r>
            <w:r>
              <w:rPr>
                <w:bCs/>
                <w:color w:val="auto"/>
                <w:sz w:val="28"/>
              </w:rPr>
              <w:t>万元，资金全部来源于</w:t>
            </w:r>
            <w:r>
              <w:rPr>
                <w:rFonts w:hint="eastAsia"/>
                <w:bCs/>
                <w:color w:val="auto"/>
                <w:sz w:val="28"/>
              </w:rPr>
              <w:t>企业自筹</w:t>
            </w:r>
            <w:r>
              <w:rPr>
                <w:bCs/>
                <w:color w:val="auto"/>
                <w:sz w:val="28"/>
              </w:rPr>
              <w:t>。</w:t>
            </w:r>
          </w:p>
          <w:p>
            <w:pPr>
              <w:spacing w:line="520" w:lineRule="exact"/>
              <w:rPr>
                <w:b/>
                <w:bCs/>
                <w:color w:val="auto"/>
                <w:sz w:val="28"/>
              </w:rPr>
            </w:pPr>
            <w:r>
              <w:rPr>
                <w:rFonts w:hint="eastAsia"/>
                <w:b/>
                <w:bCs/>
                <w:color w:val="auto"/>
                <w:sz w:val="28"/>
              </w:rPr>
              <w:t>7“三线一单”符合性分析</w:t>
            </w:r>
          </w:p>
          <w:p>
            <w:pPr>
              <w:spacing w:line="520" w:lineRule="exact"/>
              <w:ind w:firstLine="570"/>
              <w:rPr>
                <w:bCs/>
                <w:color w:val="auto"/>
                <w:sz w:val="28"/>
              </w:rPr>
            </w:pPr>
            <w:r>
              <w:rPr>
                <w:rFonts w:hint="eastAsia"/>
                <w:bCs/>
                <w:color w:val="auto"/>
                <w:sz w:val="28"/>
              </w:rPr>
              <w:t>生态保护红线：本项目用地性质为工业用地，不在主导生态功能区范围内，且不在当地饮用水水源区、风景名胜区、自然保护区等生态保护区内，符合生态保护红线要求。</w:t>
            </w:r>
          </w:p>
          <w:p>
            <w:pPr>
              <w:spacing w:line="520" w:lineRule="exact"/>
              <w:ind w:firstLine="570"/>
              <w:rPr>
                <w:rFonts w:hint="eastAsia"/>
                <w:bCs/>
                <w:color w:val="auto"/>
                <w:sz w:val="28"/>
              </w:rPr>
            </w:pPr>
            <w:r>
              <w:rPr>
                <w:rFonts w:hint="eastAsia"/>
                <w:bCs/>
                <w:color w:val="auto"/>
                <w:sz w:val="28"/>
              </w:rPr>
              <w:t>环境质量底线：环境质量底线就是只能改善不能恶化。大气环境质量底线就是在符合大气环区域功能区划和大气环境管理的基础上，确保大气污染物排放不对区域功能区划造成影响，污染物排放总量低于大气环境容量。</w:t>
            </w:r>
          </w:p>
          <w:p>
            <w:pPr>
              <w:spacing w:line="520" w:lineRule="exact"/>
              <w:ind w:firstLine="570"/>
              <w:rPr>
                <w:rFonts w:hint="eastAsia"/>
                <w:bCs/>
                <w:color w:val="auto"/>
                <w:sz w:val="28"/>
                <w:lang w:eastAsia="zh-CN"/>
              </w:rPr>
            </w:pPr>
            <w:r>
              <w:rPr>
                <w:rFonts w:hint="eastAsia"/>
                <w:bCs/>
                <w:color w:val="auto"/>
                <w:sz w:val="28"/>
                <w:lang w:eastAsia="zh-CN"/>
              </w:rPr>
              <w:t>大气环境：本</w:t>
            </w:r>
            <w:r>
              <w:rPr>
                <w:rFonts w:hint="eastAsia"/>
                <w:bCs/>
                <w:color w:val="auto"/>
                <w:sz w:val="28"/>
              </w:rPr>
              <w:t>项目大气执行《环境空气质量标准》（GB3095—2012）中二级标准，</w:t>
            </w:r>
            <w:r>
              <w:rPr>
                <w:rFonts w:hint="eastAsia"/>
                <w:bCs/>
                <w:color w:val="auto"/>
                <w:sz w:val="28"/>
                <w:lang w:eastAsia="zh-CN"/>
              </w:rPr>
              <w:t>本项目产生的大气污染物有非甲烷总烃、厨房油烟，</w:t>
            </w:r>
            <w:r>
              <w:rPr>
                <w:rFonts w:hint="eastAsia"/>
                <w:bCs/>
                <w:color w:val="auto"/>
                <w:sz w:val="28"/>
              </w:rPr>
              <w:t>项目在严格执行环评中所提出的非甲烷总烃</w:t>
            </w:r>
            <w:r>
              <w:rPr>
                <w:rFonts w:hint="eastAsia"/>
                <w:bCs/>
                <w:color w:val="auto"/>
                <w:sz w:val="28"/>
                <w:lang w:eastAsia="zh-CN"/>
              </w:rPr>
              <w:t>、厨房油烟</w:t>
            </w:r>
            <w:r>
              <w:rPr>
                <w:rFonts w:hint="eastAsia"/>
                <w:bCs/>
                <w:color w:val="auto"/>
                <w:sz w:val="28"/>
              </w:rPr>
              <w:t>废气治理措施后，满足相应排放标准，排放量较少，对环境空气影响较小，不会降低区域环境空气质量。符合环境质量底线要求</w:t>
            </w:r>
            <w:r>
              <w:rPr>
                <w:rFonts w:hint="eastAsia"/>
                <w:bCs/>
                <w:color w:val="auto"/>
                <w:sz w:val="28"/>
                <w:lang w:eastAsia="zh-CN"/>
              </w:rPr>
              <w:t>。</w:t>
            </w:r>
          </w:p>
          <w:p>
            <w:pPr>
              <w:spacing w:line="520" w:lineRule="exact"/>
              <w:ind w:firstLine="570"/>
              <w:rPr>
                <w:rFonts w:hint="eastAsia"/>
                <w:bCs/>
                <w:color w:val="auto"/>
                <w:sz w:val="28"/>
                <w:lang w:eastAsia="zh-CN"/>
              </w:rPr>
            </w:pPr>
            <w:r>
              <w:rPr>
                <w:rFonts w:hint="eastAsia"/>
                <w:bCs/>
                <w:color w:val="auto"/>
                <w:sz w:val="28"/>
                <w:lang w:eastAsia="zh-CN"/>
              </w:rPr>
              <w:t>水环境：项目生产生活污水排入当地管网，由污水处理厂处理达标后排放，项目建成后对地表水环境质量影响较小，不会降低区域水环境质量。</w:t>
            </w:r>
          </w:p>
          <w:p>
            <w:pPr>
              <w:spacing w:line="520" w:lineRule="exact"/>
              <w:ind w:firstLine="570"/>
              <w:rPr>
                <w:bCs/>
                <w:color w:val="auto"/>
                <w:sz w:val="28"/>
              </w:rPr>
            </w:pPr>
            <w:r>
              <w:rPr>
                <w:rFonts w:hint="eastAsia"/>
                <w:bCs/>
                <w:color w:val="auto"/>
                <w:sz w:val="28"/>
                <w:lang w:eastAsia="zh-CN"/>
              </w:rPr>
              <w:t>声环境：项目所在区域为3类声环境功能区，根据环境噪声现状监测结果，项目区域目前能够满足《声环境质量标准》（GB3096—2008）中3类声环境功能区要求，本项目建成后噪声产生量小，能满足《声环境质量标准》（GB3096—2008）中3类声环境功能区环境噪声限值，项目建设运营不会改变项目所在区域的声环境功能，因此项目的建设声环境质量是符合要求的</w:t>
            </w:r>
            <w:r>
              <w:rPr>
                <w:rFonts w:hint="eastAsia"/>
                <w:bCs/>
                <w:color w:val="auto"/>
                <w:sz w:val="28"/>
              </w:rPr>
              <w:t>。</w:t>
            </w:r>
          </w:p>
          <w:p>
            <w:pPr>
              <w:spacing w:line="520" w:lineRule="exact"/>
              <w:ind w:firstLine="570"/>
              <w:rPr>
                <w:bCs/>
                <w:color w:val="auto"/>
                <w:sz w:val="28"/>
              </w:rPr>
            </w:pPr>
            <w:r>
              <w:rPr>
                <w:rFonts w:hint="eastAsia"/>
                <w:bCs/>
                <w:color w:val="auto"/>
                <w:sz w:val="28"/>
              </w:rPr>
              <w:t>资源利用上线：本项目运用过程中消耗一定的电能、水，资源消耗量相对于区域资源利用总量较少，符合资源利用上线要求。</w:t>
            </w:r>
          </w:p>
          <w:p>
            <w:pPr>
              <w:spacing w:line="520" w:lineRule="exact"/>
              <w:ind w:firstLine="570"/>
              <w:rPr>
                <w:bCs/>
                <w:color w:val="auto"/>
                <w:sz w:val="28"/>
              </w:rPr>
            </w:pPr>
            <w:r>
              <w:rPr>
                <w:rFonts w:hint="eastAsia"/>
                <w:bCs/>
                <w:color w:val="auto"/>
                <w:sz w:val="28"/>
              </w:rPr>
              <w:t>生态环境准入清单：</w:t>
            </w:r>
            <w:r>
              <w:rPr>
                <w:rFonts w:hint="eastAsia"/>
                <w:bCs/>
                <w:color w:val="auto"/>
                <w:sz w:val="28"/>
                <w:lang w:eastAsia="zh-CN"/>
              </w:rPr>
              <w:t>本</w:t>
            </w:r>
            <w:r>
              <w:rPr>
                <w:rFonts w:hint="eastAsia"/>
                <w:bCs/>
                <w:color w:val="auto"/>
                <w:sz w:val="28"/>
              </w:rPr>
              <w:t>项目</w:t>
            </w:r>
            <w:r>
              <w:rPr>
                <w:rFonts w:hint="eastAsia"/>
                <w:bCs/>
                <w:color w:val="auto"/>
                <w:sz w:val="28"/>
                <w:lang w:eastAsia="zh-CN"/>
              </w:rPr>
              <w:t>未列入巩留县产业准入负面清单</w:t>
            </w:r>
            <w:r>
              <w:rPr>
                <w:rFonts w:hint="eastAsia"/>
                <w:bCs/>
                <w:color w:val="auto"/>
                <w:sz w:val="28"/>
              </w:rPr>
              <w:t>，</w:t>
            </w:r>
            <w:r>
              <w:rPr>
                <w:rFonts w:hint="eastAsia"/>
                <w:bCs/>
                <w:color w:val="auto"/>
                <w:sz w:val="28"/>
              </w:rPr>
              <w:t>项目采取环境保护措施后，废气、废水、噪声、固废均得到有效处置且达标排放，不会产生二次污染</w:t>
            </w:r>
            <w:r>
              <w:rPr>
                <w:bCs/>
                <w:color w:val="auto"/>
                <w:sz w:val="28"/>
              </w:rPr>
              <w:t>。</w:t>
            </w:r>
          </w:p>
          <w:p>
            <w:pPr>
              <w:pStyle w:val="2"/>
              <w:rPr>
                <w:color w:val="auto"/>
              </w:rPr>
            </w:pPr>
          </w:p>
          <w:p>
            <w:pPr>
              <w:pStyle w:val="2"/>
              <w:rPr>
                <w:color w:val="auto"/>
              </w:rPr>
            </w:pPr>
          </w:p>
          <w:p>
            <w:pPr>
              <w:pStyle w:val="2"/>
              <w:rPr>
                <w:color w:val="auto"/>
              </w:rPr>
            </w:pPr>
          </w:p>
          <w:p>
            <w:pPr>
              <w:spacing w:line="520" w:lineRule="exact"/>
              <w:rPr>
                <w:rFonts w:eastAsia="黑体"/>
                <w:b/>
                <w:color w:val="auto"/>
                <w:sz w:val="30"/>
                <w:szCs w:val="28"/>
              </w:rPr>
            </w:pPr>
          </w:p>
          <w:p>
            <w:pPr>
              <w:spacing w:line="520" w:lineRule="exact"/>
              <w:rPr>
                <w:rFonts w:eastAsia="黑体"/>
                <w:b/>
                <w:color w:val="auto"/>
                <w:sz w:val="30"/>
                <w:szCs w:val="28"/>
              </w:rPr>
            </w:pPr>
          </w:p>
          <w:p>
            <w:pPr>
              <w:spacing w:line="520" w:lineRule="exact"/>
              <w:rPr>
                <w:rFonts w:eastAsia="黑体"/>
                <w:b/>
                <w:color w:val="auto"/>
                <w:sz w:val="30"/>
                <w:szCs w:val="28"/>
              </w:rPr>
            </w:pPr>
          </w:p>
          <w:p>
            <w:pPr>
              <w:spacing w:line="520" w:lineRule="exact"/>
              <w:rPr>
                <w:rFonts w:eastAsia="黑体"/>
                <w:b/>
                <w:color w:val="auto"/>
                <w:sz w:val="30"/>
                <w:szCs w:val="28"/>
              </w:rPr>
            </w:pPr>
          </w:p>
          <w:p>
            <w:pPr>
              <w:spacing w:line="520" w:lineRule="exact"/>
              <w:rPr>
                <w:rFonts w:eastAsia="黑体"/>
                <w:b/>
                <w:color w:val="auto"/>
                <w:sz w:val="30"/>
                <w:szCs w:val="28"/>
              </w:rPr>
            </w:pPr>
          </w:p>
          <w:p>
            <w:pPr>
              <w:pStyle w:val="2"/>
              <w:ind w:firstLine="602"/>
              <w:rPr>
                <w:rFonts w:eastAsia="黑体"/>
                <w:b/>
                <w:color w:val="auto"/>
                <w:sz w:val="30"/>
                <w:szCs w:val="28"/>
              </w:rPr>
            </w:pPr>
          </w:p>
          <w:p>
            <w:pPr>
              <w:rPr>
                <w:rFonts w:eastAsia="黑体"/>
                <w:b/>
                <w:color w:val="auto"/>
                <w:sz w:val="30"/>
                <w:szCs w:val="28"/>
              </w:rPr>
            </w:pPr>
          </w:p>
          <w:p>
            <w:pPr>
              <w:spacing w:line="520" w:lineRule="exact"/>
              <w:rPr>
                <w:rFonts w:eastAsia="黑体"/>
                <w:color w:val="auto"/>
                <w:sz w:val="30"/>
                <w:szCs w:val="28"/>
              </w:rPr>
            </w:pPr>
            <w:r>
              <w:rPr>
                <w:rFonts w:eastAsia="黑体"/>
                <w:bCs/>
                <w:color w:val="auto"/>
                <w:sz w:val="30"/>
                <w:szCs w:val="28"/>
              </w:rPr>
              <w:t>与本项目有关的原有污染情况及主要环境问题：</w:t>
            </w:r>
          </w:p>
          <w:p>
            <w:pPr>
              <w:spacing w:line="520" w:lineRule="exact"/>
              <w:ind w:firstLine="560" w:firstLineChars="200"/>
              <w:rPr>
                <w:b/>
                <w:color w:val="auto"/>
                <w:sz w:val="28"/>
                <w:szCs w:val="28"/>
              </w:rPr>
            </w:pPr>
            <w:r>
              <w:rPr>
                <w:rFonts w:hint="eastAsia"/>
                <w:color w:val="auto"/>
                <w:sz w:val="28"/>
                <w:szCs w:val="28"/>
              </w:rPr>
              <w:t>本项目为新建项目，项目区</w:t>
            </w:r>
            <w:r>
              <w:rPr>
                <w:rFonts w:hint="eastAsia"/>
                <w:bCs/>
                <w:color w:val="auto"/>
                <w:kern w:val="0"/>
                <w:sz w:val="28"/>
              </w:rPr>
              <w:t>位于巩留县恰甫其海路南侧众帮苯板厂院内</w:t>
            </w:r>
            <w:r>
              <w:rPr>
                <w:rFonts w:hint="eastAsia"/>
                <w:color w:val="auto"/>
                <w:sz w:val="28"/>
                <w:szCs w:val="28"/>
              </w:rPr>
              <w:t>，本项目租用</w:t>
            </w:r>
            <w:r>
              <w:rPr>
                <w:rFonts w:hint="eastAsia"/>
                <w:bCs/>
                <w:color w:val="auto"/>
                <w:kern w:val="0"/>
                <w:sz w:val="28"/>
              </w:rPr>
              <w:t>众帮苯板厂700m</w:t>
            </w:r>
            <w:r>
              <w:rPr>
                <w:rFonts w:hint="eastAsia"/>
                <w:bCs/>
                <w:color w:val="auto"/>
                <w:kern w:val="0"/>
                <w:sz w:val="28"/>
                <w:vertAlign w:val="superscript"/>
              </w:rPr>
              <w:t>2</w:t>
            </w:r>
            <w:r>
              <w:rPr>
                <w:rFonts w:hint="eastAsia"/>
                <w:bCs/>
                <w:color w:val="auto"/>
                <w:kern w:val="0"/>
                <w:sz w:val="28"/>
              </w:rPr>
              <w:t>库房作为成产车间及库房，50m</w:t>
            </w:r>
            <w:r>
              <w:rPr>
                <w:rFonts w:hint="eastAsia"/>
                <w:bCs/>
                <w:color w:val="auto"/>
                <w:kern w:val="0"/>
                <w:sz w:val="28"/>
                <w:vertAlign w:val="superscript"/>
              </w:rPr>
              <w:t>2</w:t>
            </w:r>
            <w:r>
              <w:rPr>
                <w:rFonts w:hint="eastAsia"/>
                <w:color w:val="auto"/>
                <w:sz w:val="28"/>
                <w:szCs w:val="28"/>
              </w:rPr>
              <w:t>平方作为办公区和生活区，项目区东侧为文化路，南侧为众帮苯板厂，西侧为巩留县天汇商贸有限责任公司（彩钢板厂），北侧为粮食购销有限责任公司，无与本项目有关的原有污染情况及环境问题。</w:t>
            </w: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p>
            <w:pPr>
              <w:spacing w:line="520" w:lineRule="exact"/>
              <w:ind w:firstLine="560" w:firstLineChars="200"/>
              <w:rPr>
                <w:color w:val="auto"/>
                <w:sz w:val="28"/>
                <w:szCs w:val="28"/>
              </w:rPr>
            </w:pPr>
          </w:p>
        </w:tc>
      </w:tr>
    </w:tbl>
    <w:p>
      <w:pPr>
        <w:pStyle w:val="6"/>
        <w:rPr>
          <w:rFonts w:eastAsia="黑体"/>
          <w:color w:val="auto"/>
          <w:sz w:val="30"/>
          <w:szCs w:val="30"/>
        </w:rPr>
      </w:pPr>
      <w:r>
        <w:rPr>
          <w:rFonts w:eastAsia="黑体"/>
          <w:b w:val="0"/>
          <w:color w:val="auto"/>
          <w:sz w:val="30"/>
          <w:szCs w:val="30"/>
        </w:rPr>
        <w:br w:type="page"/>
      </w:r>
      <w:r>
        <w:rPr>
          <w:rFonts w:hint="eastAsia" w:eastAsia="黑体"/>
          <w:b w:val="0"/>
          <w:bCs w:val="0"/>
          <w:color w:val="auto"/>
          <w:sz w:val="30"/>
          <w:szCs w:val="30"/>
        </w:rPr>
        <w:t>建</w:t>
      </w:r>
      <w:r>
        <w:rPr>
          <w:rFonts w:eastAsia="黑体"/>
          <w:b w:val="0"/>
          <w:bCs w:val="0"/>
          <w:color w:val="auto"/>
          <w:sz w:val="30"/>
          <w:szCs w:val="30"/>
        </w:rPr>
        <w:t>设项目所在地自然环境社会环境简况</w:t>
      </w:r>
    </w:p>
    <w:tbl>
      <w:tblPr>
        <w:tblStyle w:val="24"/>
        <w:tblW w:w="0" w:type="auto"/>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28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3006" w:hRule="atLeast"/>
          <w:jc w:val="center"/>
        </w:trPr>
        <w:tc>
          <w:tcPr>
            <w:tcW w:w="9287" w:type="dxa"/>
          </w:tcPr>
          <w:p>
            <w:pPr>
              <w:spacing w:line="520" w:lineRule="exact"/>
              <w:jc w:val="left"/>
              <w:rPr>
                <w:b/>
                <w:bCs/>
                <w:color w:val="auto"/>
                <w:sz w:val="28"/>
              </w:rPr>
            </w:pPr>
            <w:r>
              <w:rPr>
                <w:b/>
                <w:bCs/>
                <w:color w:val="auto"/>
                <w:sz w:val="28"/>
              </w:rPr>
              <w:t>自然环境简况</w:t>
            </w:r>
            <w:r>
              <w:rPr>
                <w:rFonts w:hint="eastAsia" w:ascii="宋体" w:hAnsi="宋体" w:cs="宋体"/>
                <w:b/>
                <w:bCs/>
                <w:color w:val="auto"/>
                <w:sz w:val="28"/>
              </w:rPr>
              <w:t>(</w:t>
            </w:r>
            <w:r>
              <w:rPr>
                <w:b/>
                <w:bCs/>
                <w:color w:val="auto"/>
                <w:sz w:val="28"/>
              </w:rPr>
              <w:t>地形、地貌、地质、气候、气象、水文、植被、生物多样性等</w:t>
            </w:r>
            <w:r>
              <w:rPr>
                <w:rFonts w:hint="eastAsia" w:ascii="宋体" w:hAnsi="宋体" w:cs="宋体"/>
                <w:b/>
                <w:bCs/>
                <w:color w:val="auto"/>
                <w:sz w:val="28"/>
              </w:rPr>
              <w:t>)</w:t>
            </w:r>
            <w:r>
              <w:rPr>
                <w:b/>
                <w:bCs/>
                <w:color w:val="auto"/>
                <w:sz w:val="28"/>
              </w:rPr>
              <w:t>：</w:t>
            </w:r>
          </w:p>
          <w:p>
            <w:pPr>
              <w:spacing w:line="520" w:lineRule="exact"/>
              <w:jc w:val="left"/>
              <w:rPr>
                <w:b/>
                <w:color w:val="auto"/>
                <w:sz w:val="28"/>
              </w:rPr>
            </w:pPr>
            <w:r>
              <w:rPr>
                <w:b/>
                <w:color w:val="auto"/>
                <w:sz w:val="28"/>
              </w:rPr>
              <w:t>1地理位置</w:t>
            </w:r>
          </w:p>
          <w:p>
            <w:pPr>
              <w:widowControl/>
              <w:spacing w:line="520" w:lineRule="exact"/>
              <w:ind w:firstLine="560" w:firstLineChars="200"/>
              <w:rPr>
                <w:color w:val="auto"/>
                <w:sz w:val="28"/>
                <w:szCs w:val="28"/>
              </w:rPr>
            </w:pPr>
            <w:r>
              <w:rPr>
                <w:color w:val="auto"/>
                <w:sz w:val="28"/>
                <w:szCs w:val="28"/>
              </w:rPr>
              <w:t>巩留</w:t>
            </w:r>
            <w:r>
              <w:rPr>
                <w:rFonts w:hint="eastAsia"/>
                <w:color w:val="auto"/>
                <w:sz w:val="28"/>
                <w:szCs w:val="28"/>
              </w:rPr>
              <w:t>县</w:t>
            </w:r>
            <w:r>
              <w:rPr>
                <w:color w:val="auto"/>
                <w:sz w:val="28"/>
                <w:szCs w:val="28"/>
              </w:rPr>
              <w:t>地处伊犁河谷中部，伊犁河上游南侧，天山支脉那拉提山北麓，位居伊犁河谷中部，四周分别与新源、尼勒克、伊宁、察布查尔、特克斯及巴音郭愣蒙古自治州的和静县相邻。东经81°34′</w:t>
            </w:r>
            <w:r>
              <w:rPr>
                <w:rFonts w:hint="eastAsia"/>
                <w:color w:val="auto"/>
                <w:sz w:val="28"/>
                <w:szCs w:val="28"/>
              </w:rPr>
              <w:t>～</w:t>
            </w:r>
            <w:r>
              <w:rPr>
                <w:color w:val="auto"/>
                <w:sz w:val="28"/>
                <w:szCs w:val="28"/>
              </w:rPr>
              <w:t>83°35′、北纬42°54′</w:t>
            </w:r>
            <w:r>
              <w:rPr>
                <w:rFonts w:hint="eastAsia"/>
                <w:color w:val="auto"/>
                <w:sz w:val="28"/>
                <w:szCs w:val="28"/>
              </w:rPr>
              <w:t>～</w:t>
            </w:r>
            <w:r>
              <w:rPr>
                <w:color w:val="auto"/>
                <w:sz w:val="28"/>
                <w:szCs w:val="28"/>
              </w:rPr>
              <w:t>43°38′。全县总面积4528</w:t>
            </w:r>
            <w:r>
              <w:rPr>
                <w:rFonts w:hint="eastAsia"/>
                <w:color w:val="auto"/>
                <w:sz w:val="28"/>
                <w:szCs w:val="28"/>
              </w:rPr>
              <w:t>km</w:t>
            </w:r>
            <w:r>
              <w:rPr>
                <w:rFonts w:hint="eastAsia"/>
                <w:color w:val="auto"/>
                <w:sz w:val="28"/>
                <w:szCs w:val="28"/>
                <w:vertAlign w:val="superscript"/>
              </w:rPr>
              <w:t>2</w:t>
            </w:r>
            <w:r>
              <w:rPr>
                <w:color w:val="auto"/>
                <w:sz w:val="28"/>
                <w:szCs w:val="28"/>
              </w:rPr>
              <w:t>。现辖6镇2乡5个农牧场。</w:t>
            </w:r>
          </w:p>
          <w:p>
            <w:pPr>
              <w:widowControl/>
              <w:spacing w:line="520" w:lineRule="exact"/>
              <w:ind w:firstLine="560" w:firstLineChars="200"/>
              <w:rPr>
                <w:color w:val="auto"/>
                <w:sz w:val="28"/>
                <w:szCs w:val="28"/>
              </w:rPr>
            </w:pPr>
            <w:r>
              <w:rPr>
                <w:rFonts w:hint="eastAsia"/>
                <w:bCs/>
                <w:color w:val="auto"/>
                <w:kern w:val="0"/>
                <w:sz w:val="28"/>
              </w:rPr>
              <w:t>本项目租用厂区位于巩留县恰甫其海路南侧众帮苯板厂院内</w:t>
            </w:r>
            <w:r>
              <w:rPr>
                <w:bCs/>
                <w:color w:val="auto"/>
                <w:kern w:val="0"/>
                <w:sz w:val="28"/>
              </w:rPr>
              <w:t>，中心地理坐标东经</w:t>
            </w:r>
            <w:r>
              <w:rPr>
                <w:rFonts w:hint="eastAsia"/>
                <w:bCs/>
                <w:color w:val="auto"/>
                <w:kern w:val="0"/>
                <w:sz w:val="28"/>
              </w:rPr>
              <w:t>82°14′18.15″</w:t>
            </w:r>
            <w:r>
              <w:rPr>
                <w:bCs/>
                <w:color w:val="auto"/>
                <w:kern w:val="0"/>
                <w:sz w:val="28"/>
              </w:rPr>
              <w:t>、北纬</w:t>
            </w:r>
            <w:r>
              <w:rPr>
                <w:rFonts w:hint="eastAsia"/>
                <w:bCs/>
                <w:color w:val="auto"/>
                <w:kern w:val="0"/>
                <w:sz w:val="28"/>
              </w:rPr>
              <w:t>43°30′11.07″</w:t>
            </w:r>
            <w:r>
              <w:rPr>
                <w:bCs/>
                <w:color w:val="auto"/>
                <w:kern w:val="0"/>
                <w:sz w:val="28"/>
              </w:rPr>
              <w:t>。</w:t>
            </w:r>
          </w:p>
          <w:p>
            <w:pPr>
              <w:spacing w:line="520" w:lineRule="exact"/>
              <w:jc w:val="left"/>
              <w:rPr>
                <w:b/>
                <w:color w:val="auto"/>
                <w:sz w:val="28"/>
              </w:rPr>
            </w:pPr>
            <w:r>
              <w:rPr>
                <w:b/>
                <w:color w:val="auto"/>
                <w:sz w:val="28"/>
              </w:rPr>
              <w:t>2地形、地貌</w:t>
            </w:r>
          </w:p>
          <w:p>
            <w:pPr>
              <w:spacing w:line="520" w:lineRule="exact"/>
              <w:ind w:firstLine="560" w:firstLineChars="200"/>
              <w:jc w:val="left"/>
              <w:rPr>
                <w:rFonts w:hAnsi="宋体"/>
                <w:color w:val="auto"/>
                <w:sz w:val="28"/>
                <w:szCs w:val="28"/>
              </w:rPr>
            </w:pPr>
            <w:r>
              <w:rPr>
                <w:rFonts w:hint="eastAsia" w:hAnsi="宋体"/>
                <w:color w:val="auto"/>
                <w:sz w:val="28"/>
                <w:szCs w:val="28"/>
              </w:rPr>
              <w:t>巩留县属于天山山区，天山是在古代强烈地槽褶皱的基础上，受到第三纪和第四纪巨大的断裂作用而隆起的。整体地貌由山地—低山丘陵—山前冲洪积平原—伊犁河低阶级地及河滩五部分组成。低山丘陵区以南地形复杂，沟壑纵横，为巩留县牧区，分布有部分牧业村。山前冲洪积平原地形由南向北趋于平缓，海拔900m以上为强倾斜平原，地面纵坡在3～10%，属于春秋放牧草场，以下地面纵坡在0.5～3%，为巩留县主要的工农业生产基地，分布有巩留县五乡、四场及巩留镇，另有新疆生产建设兵团</w:t>
            </w:r>
            <w:r>
              <w:rPr>
                <w:rFonts w:hint="eastAsia" w:hAnsi="宋体"/>
                <w:color w:val="auto"/>
                <w:sz w:val="28"/>
                <w:szCs w:val="28"/>
                <w:lang w:eastAsia="zh-CN"/>
              </w:rPr>
              <w:t>第</w:t>
            </w:r>
            <w:r>
              <w:rPr>
                <w:rFonts w:hint="eastAsia" w:hAnsi="宋体"/>
                <w:color w:val="auto"/>
                <w:sz w:val="28"/>
                <w:szCs w:val="28"/>
              </w:rPr>
              <w:t>四师73团场。</w:t>
            </w:r>
          </w:p>
          <w:p>
            <w:pPr>
              <w:widowControl/>
              <w:spacing w:line="520" w:lineRule="exact"/>
              <w:ind w:firstLine="560" w:firstLineChars="200"/>
              <w:rPr>
                <w:rFonts w:ascii="宋体" w:hAnsi="宋体"/>
                <w:color w:val="auto"/>
                <w:sz w:val="28"/>
                <w:szCs w:val="28"/>
              </w:rPr>
            </w:pPr>
            <w:r>
              <w:rPr>
                <w:rFonts w:hint="eastAsia" w:hAnsi="宋体"/>
                <w:color w:val="auto"/>
                <w:sz w:val="28"/>
                <w:szCs w:val="28"/>
              </w:rPr>
              <w:t>本项目位于</w:t>
            </w:r>
            <w:r>
              <w:rPr>
                <w:rFonts w:hint="eastAsia"/>
                <w:bCs/>
                <w:color w:val="auto"/>
                <w:kern w:val="0"/>
                <w:sz w:val="28"/>
              </w:rPr>
              <w:t>巩留县恰甫其海路南侧众帮苯板厂院内</w:t>
            </w:r>
            <w:r>
              <w:rPr>
                <w:rFonts w:hint="eastAsia" w:hAnsi="宋体"/>
                <w:color w:val="auto"/>
                <w:sz w:val="28"/>
                <w:szCs w:val="28"/>
              </w:rPr>
              <w:t>，项目厂区地块呈规则矩形，地势平坦，海拔高度为764m。</w:t>
            </w:r>
          </w:p>
          <w:p>
            <w:pPr>
              <w:adjustRightInd w:val="0"/>
              <w:snapToGrid w:val="0"/>
              <w:spacing w:line="520" w:lineRule="exact"/>
              <w:rPr>
                <w:rFonts w:ascii="宋体" w:hAnsi="宋体" w:cs="宋体"/>
                <w:b/>
                <w:bCs/>
                <w:color w:val="auto"/>
                <w:sz w:val="28"/>
                <w:szCs w:val="28"/>
              </w:rPr>
            </w:pPr>
            <w:r>
              <w:rPr>
                <w:rFonts w:hint="eastAsia"/>
                <w:b/>
                <w:bCs/>
                <w:color w:val="auto"/>
                <w:sz w:val="28"/>
                <w:szCs w:val="28"/>
              </w:rPr>
              <w:t>3</w:t>
            </w:r>
            <w:r>
              <w:rPr>
                <w:rFonts w:hint="eastAsia" w:ascii="宋体" w:hAnsi="宋体" w:cs="宋体"/>
                <w:b/>
                <w:bCs/>
                <w:color w:val="auto"/>
                <w:sz w:val="28"/>
                <w:szCs w:val="28"/>
              </w:rPr>
              <w:t>地质</w:t>
            </w:r>
          </w:p>
          <w:p>
            <w:pPr>
              <w:adjustRightInd w:val="0"/>
              <w:snapToGrid w:val="0"/>
              <w:spacing w:line="520" w:lineRule="exact"/>
              <w:ind w:firstLine="560" w:firstLineChars="200"/>
              <w:rPr>
                <w:rFonts w:hAnsi="宋体"/>
                <w:color w:val="auto"/>
                <w:sz w:val="28"/>
                <w:szCs w:val="28"/>
              </w:rPr>
            </w:pPr>
            <w:r>
              <w:rPr>
                <w:rFonts w:hint="eastAsia" w:hAnsi="宋体"/>
                <w:color w:val="auto"/>
                <w:sz w:val="28"/>
                <w:szCs w:val="28"/>
              </w:rPr>
              <w:t>巩留县从南部的伊什格力克山到北面的伊犁河河道地貌成因类型可划分为：山区侵蚀构造地形和平原区侵蚀堆积地形两个地貌单元，并进一步分为构造剥蚀中高山区、剥蚀黄土丘陵低山区、山前冲洪积倾斜平原区和伊犁河冲积平原区四个亚区。</w:t>
            </w:r>
          </w:p>
          <w:p>
            <w:pPr>
              <w:adjustRightInd w:val="0"/>
              <w:snapToGrid w:val="0"/>
              <w:spacing w:line="520" w:lineRule="exact"/>
              <w:ind w:firstLine="560" w:firstLineChars="200"/>
              <w:rPr>
                <w:rFonts w:hAnsi="宋体"/>
                <w:color w:val="auto"/>
                <w:sz w:val="28"/>
                <w:szCs w:val="28"/>
              </w:rPr>
            </w:pPr>
            <w:r>
              <w:rPr>
                <w:rFonts w:hint="eastAsia" w:hAnsi="宋体"/>
                <w:color w:val="auto"/>
                <w:sz w:val="28"/>
                <w:szCs w:val="28"/>
              </w:rPr>
              <w:t>项目所在地属伊犁河冲积平原区，该地质区沿伊犁河近东西向呈条带状分布的阶地，阶地发育有二级，阶面平坦，宽1～20hm，Ⅱ级阶地与冲洪积平原的接触带（阶坎）在省道S316公路以西多为陡坎，阶坎高2～8m；在省道S316公路以东阶坎多为斜坡：Ⅱ级阶地与Ⅰ级阶地的接触带（阶坎）多为陡坎，阶坎高1～5m。冲积阶地平原土质肥沃，地表水充沛，为良田。</w:t>
            </w:r>
          </w:p>
          <w:p>
            <w:pPr>
              <w:adjustRightInd w:val="0"/>
              <w:snapToGrid w:val="0"/>
              <w:spacing w:line="520" w:lineRule="exact"/>
              <w:ind w:firstLine="560" w:firstLineChars="200"/>
              <w:rPr>
                <w:rFonts w:hAnsi="宋体"/>
                <w:color w:val="auto"/>
                <w:sz w:val="28"/>
                <w:szCs w:val="28"/>
              </w:rPr>
            </w:pPr>
            <w:r>
              <w:rPr>
                <w:rFonts w:hint="eastAsia" w:hAnsi="宋体"/>
                <w:color w:val="auto"/>
                <w:sz w:val="28"/>
                <w:szCs w:val="28"/>
              </w:rPr>
              <w:t>根椐国家标准《建筑抗震设计规范》（GB50011—2010）（2016版）的规定，从场地土的性质判定，属于中硬场地土，场地类别为Ⅱ类，属于有利地段。</w:t>
            </w:r>
          </w:p>
          <w:p>
            <w:pPr>
              <w:adjustRightInd w:val="0"/>
              <w:snapToGrid w:val="0"/>
              <w:spacing w:line="520" w:lineRule="exact"/>
              <w:ind w:firstLine="560" w:firstLineChars="200"/>
              <w:rPr>
                <w:rFonts w:ascii="宋体" w:hAnsi="宋体" w:cs="宋体"/>
                <w:color w:val="auto"/>
                <w:sz w:val="28"/>
                <w:szCs w:val="28"/>
              </w:rPr>
            </w:pPr>
            <w:r>
              <w:rPr>
                <w:rFonts w:hint="eastAsia" w:hAnsi="宋体"/>
                <w:color w:val="auto"/>
                <w:sz w:val="28"/>
                <w:szCs w:val="28"/>
              </w:rPr>
              <w:t>根椐场地土质和地下水埋藏条件，按《建筑抗震设计规范》规定初判，本场地不会发生地震液化。</w:t>
            </w:r>
          </w:p>
          <w:p>
            <w:pPr>
              <w:adjustRightInd w:val="0"/>
              <w:snapToGrid w:val="0"/>
              <w:spacing w:line="520" w:lineRule="exact"/>
              <w:rPr>
                <w:rFonts w:ascii="宋体" w:hAnsi="宋体" w:cs="宋体"/>
                <w:b/>
                <w:bCs/>
                <w:color w:val="auto"/>
                <w:sz w:val="28"/>
                <w:szCs w:val="28"/>
              </w:rPr>
            </w:pPr>
            <w:r>
              <w:rPr>
                <w:rFonts w:hint="eastAsia"/>
                <w:b/>
                <w:bCs/>
                <w:color w:val="auto"/>
                <w:sz w:val="28"/>
                <w:szCs w:val="28"/>
              </w:rPr>
              <w:t>4</w:t>
            </w:r>
            <w:r>
              <w:rPr>
                <w:rFonts w:hint="eastAsia" w:ascii="宋体" w:hAnsi="宋体" w:cs="宋体"/>
                <w:b/>
                <w:bCs/>
                <w:color w:val="auto"/>
                <w:sz w:val="28"/>
                <w:szCs w:val="28"/>
              </w:rPr>
              <w:t>气候、气象</w:t>
            </w:r>
          </w:p>
          <w:p>
            <w:pPr>
              <w:spacing w:line="520" w:lineRule="exact"/>
              <w:ind w:firstLine="560" w:firstLineChars="200"/>
              <w:rPr>
                <w:color w:val="auto"/>
                <w:sz w:val="28"/>
                <w:szCs w:val="28"/>
              </w:rPr>
            </w:pPr>
            <w:r>
              <w:rPr>
                <w:rFonts w:hint="eastAsia"/>
                <w:color w:val="auto"/>
                <w:sz w:val="28"/>
                <w:szCs w:val="28"/>
              </w:rPr>
              <w:t>据巩留县气象部门气象资料分析，本项目区属北温带大陆性半干旱气候，气候温和，空气湿润，夏季较热，冬少严寒。多年平均气温7.4℃，一月平均气温-10.1℃，七月平均气温21.5℃，极端最高气温39.4℃，极端最低气温-37.4℃，年平均日照时数为2732h，大于10℃的积温全年为3055℃，无霜期148d。多年平均降雨量256.6mm，降水特点多集中在春夏两季；多年平均蒸发量1422.5mm。项目区盛行东风，多年平均风速2.1m/s，大风以西北风为主，最大风速达28m/s。项目区积雪厚度20～30cm，历年最大积雪厚度41cm，历年最大冻土深度1.20m，平均最大冻土深度0.80m。项目区主要气象要素详见表4。</w:t>
            </w: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p>
          <w:p>
            <w:pPr>
              <w:ind w:firstLine="480"/>
              <w:rPr>
                <w:rFonts w:eastAsia="黑体"/>
                <w:color w:val="auto"/>
                <w:kern w:val="0"/>
                <w:sz w:val="24"/>
              </w:rPr>
            </w:pPr>
            <w:r>
              <w:rPr>
                <w:rFonts w:hint="eastAsia" w:eastAsia="黑体"/>
                <w:color w:val="auto"/>
                <w:kern w:val="0"/>
                <w:sz w:val="24"/>
              </w:rPr>
              <w:t>表4                       项目区气象要素表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2542"/>
              <w:gridCol w:w="742"/>
              <w:gridCol w:w="925"/>
              <w:gridCol w:w="2768"/>
              <w:gridCol w:w="891"/>
              <w:gridCol w:w="120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项目</w:t>
                  </w:r>
                </w:p>
              </w:tc>
              <w:tc>
                <w:tcPr>
                  <w:tcW w:w="409" w:type="pct"/>
                </w:tcPr>
                <w:p>
                  <w:pPr>
                    <w:jc w:val="center"/>
                    <w:rPr>
                      <w:color w:val="auto"/>
                      <w:szCs w:val="21"/>
                    </w:rPr>
                  </w:pPr>
                  <w:r>
                    <w:rPr>
                      <w:color w:val="auto"/>
                      <w:szCs w:val="21"/>
                    </w:rPr>
                    <w:t>单位</w:t>
                  </w:r>
                </w:p>
              </w:tc>
              <w:tc>
                <w:tcPr>
                  <w:tcW w:w="510" w:type="pct"/>
                </w:tcPr>
                <w:p>
                  <w:pPr>
                    <w:jc w:val="center"/>
                    <w:rPr>
                      <w:color w:val="auto"/>
                      <w:szCs w:val="21"/>
                    </w:rPr>
                  </w:pPr>
                  <w:r>
                    <w:rPr>
                      <w:color w:val="auto"/>
                      <w:szCs w:val="21"/>
                    </w:rPr>
                    <w:t>温度</w:t>
                  </w:r>
                </w:p>
              </w:tc>
              <w:tc>
                <w:tcPr>
                  <w:tcW w:w="1526" w:type="pct"/>
                </w:tcPr>
                <w:p>
                  <w:pPr>
                    <w:jc w:val="center"/>
                    <w:rPr>
                      <w:color w:val="auto"/>
                      <w:szCs w:val="21"/>
                    </w:rPr>
                  </w:pPr>
                  <w:r>
                    <w:rPr>
                      <w:color w:val="auto"/>
                      <w:szCs w:val="21"/>
                    </w:rPr>
                    <w:t>项目</w:t>
                  </w:r>
                </w:p>
              </w:tc>
              <w:tc>
                <w:tcPr>
                  <w:tcW w:w="491" w:type="pct"/>
                </w:tcPr>
                <w:p>
                  <w:pPr>
                    <w:jc w:val="center"/>
                    <w:rPr>
                      <w:color w:val="auto"/>
                      <w:szCs w:val="21"/>
                    </w:rPr>
                  </w:pPr>
                  <w:r>
                    <w:rPr>
                      <w:color w:val="auto"/>
                      <w:szCs w:val="21"/>
                    </w:rPr>
                    <w:t>单位</w:t>
                  </w:r>
                </w:p>
              </w:tc>
              <w:tc>
                <w:tcPr>
                  <w:tcW w:w="664" w:type="pct"/>
                </w:tcPr>
                <w:p>
                  <w:pPr>
                    <w:jc w:val="center"/>
                    <w:rPr>
                      <w:color w:val="auto"/>
                      <w:szCs w:val="21"/>
                    </w:rPr>
                  </w:pPr>
                  <w:r>
                    <w:rPr>
                      <w:color w:val="auto"/>
                      <w:szCs w:val="21"/>
                    </w:rPr>
                    <w:t>温度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多年平均气温</w:t>
                  </w:r>
                </w:p>
              </w:tc>
              <w:tc>
                <w:tcPr>
                  <w:tcW w:w="409" w:type="pct"/>
                </w:tcPr>
                <w:p>
                  <w:pPr>
                    <w:jc w:val="center"/>
                    <w:rPr>
                      <w:color w:val="auto"/>
                      <w:szCs w:val="21"/>
                    </w:rPr>
                  </w:pPr>
                  <w:r>
                    <w:rPr>
                      <w:rFonts w:hint="eastAsia" w:cs="宋体"/>
                      <w:color w:val="auto"/>
                      <w:szCs w:val="21"/>
                    </w:rPr>
                    <w:t>℃</w:t>
                  </w:r>
                </w:p>
              </w:tc>
              <w:tc>
                <w:tcPr>
                  <w:tcW w:w="510" w:type="pct"/>
                </w:tcPr>
                <w:p>
                  <w:pPr>
                    <w:jc w:val="center"/>
                    <w:rPr>
                      <w:color w:val="auto"/>
                      <w:szCs w:val="21"/>
                    </w:rPr>
                  </w:pPr>
                  <w:r>
                    <w:rPr>
                      <w:color w:val="auto"/>
                      <w:szCs w:val="21"/>
                    </w:rPr>
                    <w:t>7.4</w:t>
                  </w:r>
                </w:p>
              </w:tc>
              <w:tc>
                <w:tcPr>
                  <w:tcW w:w="1526" w:type="pct"/>
                </w:tcPr>
                <w:p>
                  <w:pPr>
                    <w:jc w:val="center"/>
                    <w:rPr>
                      <w:color w:val="auto"/>
                      <w:szCs w:val="21"/>
                    </w:rPr>
                  </w:pPr>
                  <w:r>
                    <w:rPr>
                      <w:color w:val="auto"/>
                      <w:szCs w:val="21"/>
                    </w:rPr>
                    <w:t>多年平均日照时数</w:t>
                  </w:r>
                </w:p>
              </w:tc>
              <w:tc>
                <w:tcPr>
                  <w:tcW w:w="491" w:type="pct"/>
                </w:tcPr>
                <w:p>
                  <w:pPr>
                    <w:jc w:val="center"/>
                    <w:rPr>
                      <w:color w:val="auto"/>
                      <w:szCs w:val="21"/>
                    </w:rPr>
                  </w:pPr>
                  <w:r>
                    <w:rPr>
                      <w:color w:val="auto"/>
                      <w:szCs w:val="21"/>
                    </w:rPr>
                    <w:t>h</w:t>
                  </w:r>
                </w:p>
              </w:tc>
              <w:tc>
                <w:tcPr>
                  <w:tcW w:w="664" w:type="pct"/>
                </w:tcPr>
                <w:p>
                  <w:pPr>
                    <w:jc w:val="center"/>
                    <w:rPr>
                      <w:color w:val="auto"/>
                      <w:szCs w:val="21"/>
                    </w:rPr>
                  </w:pPr>
                  <w:r>
                    <w:rPr>
                      <w:color w:val="auto"/>
                      <w:szCs w:val="21"/>
                    </w:rPr>
                    <w:t>2731.9</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rFonts w:hint="eastAsia"/>
                      <w:color w:val="auto"/>
                      <w:szCs w:val="21"/>
                    </w:rPr>
                    <w:t>一</w:t>
                  </w:r>
                  <w:r>
                    <w:rPr>
                      <w:color w:val="auto"/>
                      <w:szCs w:val="21"/>
                    </w:rPr>
                    <w:t>月份平均气温</w:t>
                  </w:r>
                </w:p>
              </w:tc>
              <w:tc>
                <w:tcPr>
                  <w:tcW w:w="409" w:type="pct"/>
                </w:tcPr>
                <w:p>
                  <w:pPr>
                    <w:jc w:val="center"/>
                    <w:rPr>
                      <w:color w:val="auto"/>
                      <w:szCs w:val="21"/>
                    </w:rPr>
                  </w:pPr>
                  <w:r>
                    <w:rPr>
                      <w:rFonts w:hint="eastAsia" w:cs="宋体"/>
                      <w:color w:val="auto"/>
                      <w:szCs w:val="21"/>
                    </w:rPr>
                    <w:t>℃</w:t>
                  </w:r>
                </w:p>
              </w:tc>
              <w:tc>
                <w:tcPr>
                  <w:tcW w:w="510" w:type="pct"/>
                </w:tcPr>
                <w:p>
                  <w:pPr>
                    <w:jc w:val="center"/>
                    <w:rPr>
                      <w:color w:val="auto"/>
                      <w:szCs w:val="21"/>
                    </w:rPr>
                  </w:pPr>
                  <w:r>
                    <w:rPr>
                      <w:color w:val="auto"/>
                      <w:szCs w:val="21"/>
                    </w:rPr>
                    <w:t>-10.1</w:t>
                  </w:r>
                </w:p>
              </w:tc>
              <w:tc>
                <w:tcPr>
                  <w:tcW w:w="1526" w:type="pct"/>
                </w:tcPr>
                <w:p>
                  <w:pPr>
                    <w:jc w:val="center"/>
                    <w:rPr>
                      <w:color w:val="auto"/>
                      <w:szCs w:val="21"/>
                    </w:rPr>
                  </w:pPr>
                  <w:r>
                    <w:rPr>
                      <w:color w:val="auto"/>
                      <w:szCs w:val="21"/>
                    </w:rPr>
                    <w:t>多年平均日照百分率</w:t>
                  </w:r>
                </w:p>
              </w:tc>
              <w:tc>
                <w:tcPr>
                  <w:tcW w:w="491" w:type="pct"/>
                </w:tcPr>
                <w:p>
                  <w:pPr>
                    <w:jc w:val="center"/>
                    <w:rPr>
                      <w:color w:val="auto"/>
                      <w:szCs w:val="21"/>
                    </w:rPr>
                  </w:pPr>
                  <w:r>
                    <w:rPr>
                      <w:color w:val="auto"/>
                      <w:szCs w:val="21"/>
                    </w:rPr>
                    <w:t>%</w:t>
                  </w:r>
                </w:p>
              </w:tc>
              <w:tc>
                <w:tcPr>
                  <w:tcW w:w="664" w:type="pct"/>
                </w:tcPr>
                <w:p>
                  <w:pPr>
                    <w:jc w:val="center"/>
                    <w:rPr>
                      <w:color w:val="auto"/>
                      <w:szCs w:val="21"/>
                    </w:rPr>
                  </w:pPr>
                  <w:r>
                    <w:rPr>
                      <w:color w:val="auto"/>
                      <w:szCs w:val="21"/>
                    </w:rPr>
                    <w:t>61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七月份平均气温</w:t>
                  </w:r>
                </w:p>
              </w:tc>
              <w:tc>
                <w:tcPr>
                  <w:tcW w:w="409" w:type="pct"/>
                </w:tcPr>
                <w:p>
                  <w:pPr>
                    <w:jc w:val="center"/>
                    <w:rPr>
                      <w:color w:val="auto"/>
                      <w:szCs w:val="21"/>
                    </w:rPr>
                  </w:pPr>
                  <w:r>
                    <w:rPr>
                      <w:rFonts w:hint="eastAsia" w:cs="宋体"/>
                      <w:color w:val="auto"/>
                      <w:szCs w:val="21"/>
                    </w:rPr>
                    <w:t>℃</w:t>
                  </w:r>
                </w:p>
              </w:tc>
              <w:tc>
                <w:tcPr>
                  <w:tcW w:w="510" w:type="pct"/>
                </w:tcPr>
                <w:p>
                  <w:pPr>
                    <w:jc w:val="center"/>
                    <w:rPr>
                      <w:color w:val="auto"/>
                      <w:szCs w:val="21"/>
                    </w:rPr>
                  </w:pPr>
                  <w:r>
                    <w:rPr>
                      <w:color w:val="auto"/>
                      <w:szCs w:val="21"/>
                    </w:rPr>
                    <w:t>21.5</w:t>
                  </w:r>
                </w:p>
              </w:tc>
              <w:tc>
                <w:tcPr>
                  <w:tcW w:w="1526" w:type="pct"/>
                </w:tcPr>
                <w:p>
                  <w:pPr>
                    <w:jc w:val="center"/>
                    <w:rPr>
                      <w:color w:val="auto"/>
                      <w:szCs w:val="21"/>
                    </w:rPr>
                  </w:pPr>
                  <w:r>
                    <w:rPr>
                      <w:color w:val="auto"/>
                      <w:szCs w:val="21"/>
                    </w:rPr>
                    <w:t>全年太阳总辐射量</w:t>
                  </w:r>
                </w:p>
              </w:tc>
              <w:tc>
                <w:tcPr>
                  <w:tcW w:w="491" w:type="pct"/>
                </w:tcPr>
                <w:p>
                  <w:pPr>
                    <w:jc w:val="center"/>
                    <w:rPr>
                      <w:color w:val="auto"/>
                      <w:szCs w:val="21"/>
                      <w:vertAlign w:val="superscript"/>
                    </w:rPr>
                  </w:pPr>
                  <w:r>
                    <w:rPr>
                      <w:rFonts w:hint="eastAsia"/>
                      <w:color w:val="auto"/>
                      <w:szCs w:val="21"/>
                    </w:rPr>
                    <w:t>kJ</w:t>
                  </w:r>
                  <w:r>
                    <w:rPr>
                      <w:color w:val="auto"/>
                      <w:szCs w:val="21"/>
                    </w:rPr>
                    <w:t>/cm</w:t>
                  </w:r>
                  <w:r>
                    <w:rPr>
                      <w:rFonts w:hint="eastAsia"/>
                      <w:color w:val="auto"/>
                      <w:szCs w:val="21"/>
                      <w:vertAlign w:val="superscript"/>
                    </w:rPr>
                    <w:t>2</w:t>
                  </w:r>
                </w:p>
              </w:tc>
              <w:tc>
                <w:tcPr>
                  <w:tcW w:w="664" w:type="pct"/>
                </w:tcPr>
                <w:p>
                  <w:pPr>
                    <w:jc w:val="center"/>
                    <w:rPr>
                      <w:color w:val="auto"/>
                      <w:szCs w:val="21"/>
                    </w:rPr>
                  </w:pPr>
                  <w:r>
                    <w:rPr>
                      <w:color w:val="auto"/>
                      <w:szCs w:val="21"/>
                    </w:rPr>
                    <w:t>562.2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极端最低气温</w:t>
                  </w:r>
                </w:p>
              </w:tc>
              <w:tc>
                <w:tcPr>
                  <w:tcW w:w="409" w:type="pct"/>
                </w:tcPr>
                <w:p>
                  <w:pPr>
                    <w:jc w:val="center"/>
                    <w:rPr>
                      <w:color w:val="auto"/>
                      <w:szCs w:val="21"/>
                    </w:rPr>
                  </w:pPr>
                  <w:r>
                    <w:rPr>
                      <w:rFonts w:hint="eastAsia" w:cs="宋体"/>
                      <w:color w:val="auto"/>
                      <w:szCs w:val="21"/>
                    </w:rPr>
                    <w:t>℃</w:t>
                  </w:r>
                </w:p>
              </w:tc>
              <w:tc>
                <w:tcPr>
                  <w:tcW w:w="510" w:type="pct"/>
                </w:tcPr>
                <w:p>
                  <w:pPr>
                    <w:jc w:val="center"/>
                    <w:rPr>
                      <w:color w:val="auto"/>
                      <w:szCs w:val="21"/>
                    </w:rPr>
                  </w:pPr>
                  <w:r>
                    <w:rPr>
                      <w:color w:val="auto"/>
                      <w:szCs w:val="21"/>
                    </w:rPr>
                    <w:t>-37.4</w:t>
                  </w:r>
                </w:p>
              </w:tc>
              <w:tc>
                <w:tcPr>
                  <w:tcW w:w="1526" w:type="pct"/>
                </w:tcPr>
                <w:p>
                  <w:pPr>
                    <w:jc w:val="center"/>
                    <w:rPr>
                      <w:color w:val="auto"/>
                      <w:szCs w:val="21"/>
                    </w:rPr>
                  </w:pPr>
                  <w:r>
                    <w:rPr>
                      <w:color w:val="auto"/>
                      <w:szCs w:val="21"/>
                    </w:rPr>
                    <w:t>全年太阳生理辐射量</w:t>
                  </w:r>
                </w:p>
              </w:tc>
              <w:tc>
                <w:tcPr>
                  <w:tcW w:w="491" w:type="pct"/>
                </w:tcPr>
                <w:p>
                  <w:pPr>
                    <w:jc w:val="center"/>
                    <w:rPr>
                      <w:color w:val="auto"/>
                      <w:szCs w:val="21"/>
                    </w:rPr>
                  </w:pPr>
                  <w:r>
                    <w:rPr>
                      <w:rFonts w:hint="eastAsia"/>
                      <w:color w:val="auto"/>
                      <w:szCs w:val="21"/>
                    </w:rPr>
                    <w:t>kJ</w:t>
                  </w:r>
                  <w:r>
                    <w:rPr>
                      <w:color w:val="auto"/>
                      <w:szCs w:val="21"/>
                    </w:rPr>
                    <w:t>/cm</w:t>
                  </w:r>
                  <w:r>
                    <w:rPr>
                      <w:rFonts w:hint="eastAsia"/>
                      <w:color w:val="auto"/>
                      <w:szCs w:val="21"/>
                      <w:vertAlign w:val="superscript"/>
                    </w:rPr>
                    <w:t>2</w:t>
                  </w:r>
                </w:p>
              </w:tc>
              <w:tc>
                <w:tcPr>
                  <w:tcW w:w="664" w:type="pct"/>
                </w:tcPr>
                <w:p>
                  <w:pPr>
                    <w:jc w:val="center"/>
                    <w:rPr>
                      <w:color w:val="auto"/>
                      <w:szCs w:val="21"/>
                    </w:rPr>
                  </w:pPr>
                  <w:r>
                    <w:rPr>
                      <w:color w:val="auto"/>
                      <w:szCs w:val="21"/>
                    </w:rPr>
                    <w:t>274.05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极端最高气温</w:t>
                  </w:r>
                </w:p>
              </w:tc>
              <w:tc>
                <w:tcPr>
                  <w:tcW w:w="409" w:type="pct"/>
                </w:tcPr>
                <w:p>
                  <w:pPr>
                    <w:jc w:val="center"/>
                    <w:rPr>
                      <w:color w:val="auto"/>
                      <w:szCs w:val="21"/>
                    </w:rPr>
                  </w:pPr>
                  <w:r>
                    <w:rPr>
                      <w:rFonts w:hint="eastAsia" w:cs="宋体"/>
                      <w:color w:val="auto"/>
                      <w:szCs w:val="21"/>
                    </w:rPr>
                    <w:t>℃</w:t>
                  </w:r>
                </w:p>
              </w:tc>
              <w:tc>
                <w:tcPr>
                  <w:tcW w:w="510" w:type="pct"/>
                </w:tcPr>
                <w:p>
                  <w:pPr>
                    <w:jc w:val="center"/>
                    <w:rPr>
                      <w:color w:val="auto"/>
                      <w:szCs w:val="21"/>
                    </w:rPr>
                  </w:pPr>
                  <w:r>
                    <w:rPr>
                      <w:color w:val="auto"/>
                      <w:szCs w:val="21"/>
                    </w:rPr>
                    <w:t>39.4</w:t>
                  </w:r>
                </w:p>
              </w:tc>
              <w:tc>
                <w:tcPr>
                  <w:tcW w:w="1526" w:type="pct"/>
                </w:tcPr>
                <w:p>
                  <w:pPr>
                    <w:jc w:val="center"/>
                    <w:rPr>
                      <w:color w:val="auto"/>
                      <w:szCs w:val="21"/>
                    </w:rPr>
                  </w:pPr>
                  <w:r>
                    <w:rPr>
                      <w:color w:val="auto"/>
                      <w:szCs w:val="21"/>
                    </w:rPr>
                    <w:t>多年平均蒸发量</w:t>
                  </w:r>
                </w:p>
              </w:tc>
              <w:tc>
                <w:tcPr>
                  <w:tcW w:w="491" w:type="pct"/>
                </w:tcPr>
                <w:p>
                  <w:pPr>
                    <w:jc w:val="center"/>
                    <w:rPr>
                      <w:color w:val="auto"/>
                      <w:szCs w:val="21"/>
                    </w:rPr>
                  </w:pPr>
                  <w:r>
                    <w:rPr>
                      <w:color w:val="auto"/>
                      <w:szCs w:val="21"/>
                    </w:rPr>
                    <w:t>mm</w:t>
                  </w:r>
                </w:p>
              </w:tc>
              <w:tc>
                <w:tcPr>
                  <w:tcW w:w="664" w:type="pct"/>
                </w:tcPr>
                <w:p>
                  <w:pPr>
                    <w:jc w:val="center"/>
                    <w:rPr>
                      <w:color w:val="auto"/>
                      <w:szCs w:val="21"/>
                    </w:rPr>
                  </w:pPr>
                  <w:r>
                    <w:rPr>
                      <w:color w:val="auto"/>
                      <w:szCs w:val="21"/>
                    </w:rPr>
                    <w:t>1422.5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平均日较差</w:t>
                  </w:r>
                </w:p>
              </w:tc>
              <w:tc>
                <w:tcPr>
                  <w:tcW w:w="409" w:type="pct"/>
                </w:tcPr>
                <w:p>
                  <w:pPr>
                    <w:jc w:val="center"/>
                    <w:rPr>
                      <w:color w:val="auto"/>
                      <w:szCs w:val="21"/>
                    </w:rPr>
                  </w:pPr>
                  <w:r>
                    <w:rPr>
                      <w:rFonts w:hint="eastAsia" w:cs="宋体"/>
                      <w:color w:val="auto"/>
                      <w:szCs w:val="21"/>
                    </w:rPr>
                    <w:t>℃</w:t>
                  </w:r>
                </w:p>
              </w:tc>
              <w:tc>
                <w:tcPr>
                  <w:tcW w:w="510" w:type="pct"/>
                </w:tcPr>
                <w:p>
                  <w:pPr>
                    <w:jc w:val="center"/>
                    <w:rPr>
                      <w:color w:val="auto"/>
                      <w:szCs w:val="21"/>
                    </w:rPr>
                  </w:pPr>
                  <w:r>
                    <w:rPr>
                      <w:color w:val="auto"/>
                      <w:szCs w:val="21"/>
                    </w:rPr>
                    <w:t>15.3</w:t>
                  </w:r>
                </w:p>
              </w:tc>
              <w:tc>
                <w:tcPr>
                  <w:tcW w:w="1526" w:type="pct"/>
                </w:tcPr>
                <w:p>
                  <w:pPr>
                    <w:jc w:val="center"/>
                    <w:rPr>
                      <w:color w:val="auto"/>
                      <w:szCs w:val="21"/>
                    </w:rPr>
                  </w:pPr>
                  <w:r>
                    <w:rPr>
                      <w:color w:val="auto"/>
                      <w:szCs w:val="21"/>
                    </w:rPr>
                    <w:t>多年平均最大冻土深度</w:t>
                  </w:r>
                </w:p>
              </w:tc>
              <w:tc>
                <w:tcPr>
                  <w:tcW w:w="491" w:type="pct"/>
                </w:tcPr>
                <w:p>
                  <w:pPr>
                    <w:jc w:val="center"/>
                    <w:rPr>
                      <w:color w:val="auto"/>
                      <w:szCs w:val="21"/>
                    </w:rPr>
                  </w:pPr>
                  <w:r>
                    <w:rPr>
                      <w:color w:val="auto"/>
                      <w:szCs w:val="21"/>
                    </w:rPr>
                    <w:t>cm</w:t>
                  </w:r>
                </w:p>
              </w:tc>
              <w:tc>
                <w:tcPr>
                  <w:tcW w:w="664" w:type="pct"/>
                </w:tcPr>
                <w:p>
                  <w:pPr>
                    <w:jc w:val="center"/>
                    <w:rPr>
                      <w:color w:val="auto"/>
                      <w:szCs w:val="21"/>
                    </w:rPr>
                  </w:pPr>
                  <w:r>
                    <w:rPr>
                      <w:rFonts w:hint="eastAsia"/>
                      <w:color w:val="auto"/>
                      <w:szCs w:val="21"/>
                    </w:rPr>
                    <w:t>80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≥0</w:t>
                  </w:r>
                  <w:r>
                    <w:rPr>
                      <w:rFonts w:hint="eastAsia"/>
                      <w:color w:val="auto"/>
                      <w:szCs w:val="21"/>
                    </w:rPr>
                    <w:t>℃</w:t>
                  </w:r>
                  <w:r>
                    <w:rPr>
                      <w:color w:val="auto"/>
                      <w:szCs w:val="21"/>
                    </w:rPr>
                    <w:t>年积温</w:t>
                  </w:r>
                </w:p>
              </w:tc>
              <w:tc>
                <w:tcPr>
                  <w:tcW w:w="409" w:type="pct"/>
                </w:tcPr>
                <w:p>
                  <w:pPr>
                    <w:jc w:val="center"/>
                    <w:rPr>
                      <w:color w:val="auto"/>
                      <w:szCs w:val="21"/>
                    </w:rPr>
                  </w:pPr>
                  <w:r>
                    <w:rPr>
                      <w:rFonts w:hint="eastAsia" w:cs="宋体"/>
                      <w:color w:val="auto"/>
                      <w:szCs w:val="21"/>
                    </w:rPr>
                    <w:t>℃</w:t>
                  </w:r>
                </w:p>
              </w:tc>
              <w:tc>
                <w:tcPr>
                  <w:tcW w:w="510" w:type="pct"/>
                </w:tcPr>
                <w:p>
                  <w:pPr>
                    <w:jc w:val="center"/>
                    <w:rPr>
                      <w:color w:val="auto"/>
                      <w:szCs w:val="21"/>
                    </w:rPr>
                  </w:pPr>
                  <w:r>
                    <w:rPr>
                      <w:color w:val="auto"/>
                      <w:szCs w:val="21"/>
                    </w:rPr>
                    <w:t>3583.1</w:t>
                  </w:r>
                </w:p>
              </w:tc>
              <w:tc>
                <w:tcPr>
                  <w:tcW w:w="1526" w:type="pct"/>
                </w:tcPr>
                <w:p>
                  <w:pPr>
                    <w:jc w:val="center"/>
                    <w:rPr>
                      <w:color w:val="auto"/>
                      <w:szCs w:val="21"/>
                    </w:rPr>
                  </w:pPr>
                  <w:r>
                    <w:rPr>
                      <w:color w:val="auto"/>
                      <w:szCs w:val="21"/>
                    </w:rPr>
                    <w:t>历年最大冻土深度</w:t>
                  </w:r>
                </w:p>
              </w:tc>
              <w:tc>
                <w:tcPr>
                  <w:tcW w:w="491" w:type="pct"/>
                </w:tcPr>
                <w:p>
                  <w:pPr>
                    <w:jc w:val="center"/>
                    <w:rPr>
                      <w:color w:val="auto"/>
                      <w:szCs w:val="21"/>
                    </w:rPr>
                  </w:pPr>
                  <w:r>
                    <w:rPr>
                      <w:color w:val="auto"/>
                      <w:szCs w:val="21"/>
                    </w:rPr>
                    <w:t>cm</w:t>
                  </w:r>
                </w:p>
              </w:tc>
              <w:tc>
                <w:tcPr>
                  <w:tcW w:w="664" w:type="pct"/>
                </w:tcPr>
                <w:p>
                  <w:pPr>
                    <w:jc w:val="center"/>
                    <w:rPr>
                      <w:color w:val="auto"/>
                      <w:szCs w:val="21"/>
                    </w:rPr>
                  </w:pPr>
                  <w:r>
                    <w:rPr>
                      <w:rFonts w:hint="eastAsia"/>
                      <w:color w:val="auto"/>
                      <w:szCs w:val="21"/>
                    </w:rPr>
                    <w:t>120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多年平均相对湿度</w:t>
                  </w:r>
                </w:p>
              </w:tc>
              <w:tc>
                <w:tcPr>
                  <w:tcW w:w="409" w:type="pct"/>
                </w:tcPr>
                <w:p>
                  <w:pPr>
                    <w:jc w:val="center"/>
                    <w:rPr>
                      <w:color w:val="auto"/>
                      <w:szCs w:val="21"/>
                    </w:rPr>
                  </w:pPr>
                  <w:r>
                    <w:rPr>
                      <w:color w:val="auto"/>
                      <w:szCs w:val="21"/>
                    </w:rPr>
                    <w:t>%</w:t>
                  </w:r>
                </w:p>
              </w:tc>
              <w:tc>
                <w:tcPr>
                  <w:tcW w:w="510" w:type="pct"/>
                </w:tcPr>
                <w:p>
                  <w:pPr>
                    <w:jc w:val="center"/>
                    <w:rPr>
                      <w:color w:val="auto"/>
                      <w:szCs w:val="21"/>
                    </w:rPr>
                  </w:pPr>
                  <w:r>
                    <w:rPr>
                      <w:color w:val="auto"/>
                      <w:szCs w:val="21"/>
                    </w:rPr>
                    <w:t>72</w:t>
                  </w:r>
                </w:p>
              </w:tc>
              <w:tc>
                <w:tcPr>
                  <w:tcW w:w="1526" w:type="pct"/>
                </w:tcPr>
                <w:p>
                  <w:pPr>
                    <w:jc w:val="center"/>
                    <w:rPr>
                      <w:color w:val="auto"/>
                      <w:szCs w:val="21"/>
                    </w:rPr>
                  </w:pPr>
                  <w:r>
                    <w:rPr>
                      <w:color w:val="auto"/>
                      <w:szCs w:val="21"/>
                    </w:rPr>
                    <w:t>多年平均风速/最多风向</w:t>
                  </w:r>
                </w:p>
              </w:tc>
              <w:tc>
                <w:tcPr>
                  <w:tcW w:w="491" w:type="pct"/>
                </w:tcPr>
                <w:p>
                  <w:pPr>
                    <w:jc w:val="center"/>
                    <w:rPr>
                      <w:color w:val="auto"/>
                      <w:szCs w:val="21"/>
                    </w:rPr>
                  </w:pPr>
                  <w:r>
                    <w:rPr>
                      <w:color w:val="auto"/>
                      <w:szCs w:val="21"/>
                    </w:rPr>
                    <w:t>m/s</w:t>
                  </w:r>
                </w:p>
              </w:tc>
              <w:tc>
                <w:tcPr>
                  <w:tcW w:w="664" w:type="pct"/>
                </w:tcPr>
                <w:p>
                  <w:pPr>
                    <w:jc w:val="center"/>
                    <w:rPr>
                      <w:color w:val="auto"/>
                      <w:szCs w:val="21"/>
                    </w:rPr>
                  </w:pPr>
                  <w:r>
                    <w:rPr>
                      <w:color w:val="auto"/>
                      <w:szCs w:val="21"/>
                    </w:rPr>
                    <w:t>2.1/E</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多年平均降水量</w:t>
                  </w:r>
                </w:p>
              </w:tc>
              <w:tc>
                <w:tcPr>
                  <w:tcW w:w="409" w:type="pct"/>
                </w:tcPr>
                <w:p>
                  <w:pPr>
                    <w:jc w:val="center"/>
                    <w:rPr>
                      <w:color w:val="auto"/>
                      <w:szCs w:val="21"/>
                    </w:rPr>
                  </w:pPr>
                  <w:r>
                    <w:rPr>
                      <w:color w:val="auto"/>
                      <w:szCs w:val="21"/>
                    </w:rPr>
                    <w:t>mm</w:t>
                  </w:r>
                </w:p>
              </w:tc>
              <w:tc>
                <w:tcPr>
                  <w:tcW w:w="510" w:type="pct"/>
                </w:tcPr>
                <w:p>
                  <w:pPr>
                    <w:jc w:val="center"/>
                    <w:rPr>
                      <w:color w:val="auto"/>
                      <w:szCs w:val="21"/>
                    </w:rPr>
                  </w:pPr>
                  <w:r>
                    <w:rPr>
                      <w:rFonts w:hint="eastAsia"/>
                      <w:color w:val="auto"/>
                      <w:szCs w:val="21"/>
                    </w:rPr>
                    <w:t>274</w:t>
                  </w:r>
                </w:p>
              </w:tc>
              <w:tc>
                <w:tcPr>
                  <w:tcW w:w="1526" w:type="pct"/>
                </w:tcPr>
                <w:p>
                  <w:pPr>
                    <w:jc w:val="center"/>
                    <w:rPr>
                      <w:color w:val="auto"/>
                      <w:szCs w:val="21"/>
                    </w:rPr>
                  </w:pPr>
                  <w:r>
                    <w:rPr>
                      <w:color w:val="auto"/>
                      <w:szCs w:val="21"/>
                    </w:rPr>
                    <w:t>年最大风速/风向</w:t>
                  </w:r>
                </w:p>
              </w:tc>
              <w:tc>
                <w:tcPr>
                  <w:tcW w:w="491" w:type="pct"/>
                </w:tcPr>
                <w:p>
                  <w:pPr>
                    <w:jc w:val="center"/>
                    <w:rPr>
                      <w:color w:val="auto"/>
                      <w:szCs w:val="21"/>
                    </w:rPr>
                  </w:pPr>
                  <w:r>
                    <w:rPr>
                      <w:color w:val="auto"/>
                      <w:szCs w:val="21"/>
                    </w:rPr>
                    <w:t>m/s</w:t>
                  </w:r>
                </w:p>
              </w:tc>
              <w:tc>
                <w:tcPr>
                  <w:tcW w:w="664" w:type="pct"/>
                </w:tcPr>
                <w:p>
                  <w:pPr>
                    <w:jc w:val="center"/>
                    <w:rPr>
                      <w:color w:val="auto"/>
                      <w:szCs w:val="21"/>
                    </w:rPr>
                  </w:pPr>
                  <w:r>
                    <w:rPr>
                      <w:color w:val="auto"/>
                      <w:szCs w:val="21"/>
                    </w:rPr>
                    <w:t>28/</w:t>
                  </w:r>
                  <w:r>
                    <w:rPr>
                      <w:rFonts w:hint="eastAsia"/>
                      <w:color w:val="auto"/>
                      <w:szCs w:val="21"/>
                    </w:rPr>
                    <w:t>WNW</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日降水量≥10mm日数</w:t>
                  </w:r>
                </w:p>
              </w:tc>
              <w:tc>
                <w:tcPr>
                  <w:tcW w:w="409" w:type="pct"/>
                </w:tcPr>
                <w:p>
                  <w:pPr>
                    <w:jc w:val="center"/>
                    <w:rPr>
                      <w:color w:val="auto"/>
                      <w:szCs w:val="21"/>
                    </w:rPr>
                  </w:pPr>
                  <w:r>
                    <w:rPr>
                      <w:color w:val="auto"/>
                      <w:szCs w:val="21"/>
                    </w:rPr>
                    <w:t>d</w:t>
                  </w:r>
                </w:p>
              </w:tc>
              <w:tc>
                <w:tcPr>
                  <w:tcW w:w="510" w:type="pct"/>
                </w:tcPr>
                <w:p>
                  <w:pPr>
                    <w:jc w:val="center"/>
                    <w:rPr>
                      <w:color w:val="auto"/>
                      <w:szCs w:val="21"/>
                    </w:rPr>
                  </w:pPr>
                  <w:r>
                    <w:rPr>
                      <w:color w:val="auto"/>
                      <w:szCs w:val="21"/>
                    </w:rPr>
                    <w:t>3.2</w:t>
                  </w:r>
                </w:p>
              </w:tc>
              <w:tc>
                <w:tcPr>
                  <w:tcW w:w="1526" w:type="pct"/>
                </w:tcPr>
                <w:p>
                  <w:pPr>
                    <w:jc w:val="center"/>
                    <w:rPr>
                      <w:color w:val="auto"/>
                      <w:szCs w:val="21"/>
                    </w:rPr>
                  </w:pPr>
                  <w:r>
                    <w:rPr>
                      <w:color w:val="auto"/>
                      <w:szCs w:val="21"/>
                    </w:rPr>
                    <w:t>多年平均大风日数</w:t>
                  </w:r>
                </w:p>
              </w:tc>
              <w:tc>
                <w:tcPr>
                  <w:tcW w:w="491" w:type="pct"/>
                </w:tcPr>
                <w:p>
                  <w:pPr>
                    <w:jc w:val="center"/>
                    <w:rPr>
                      <w:color w:val="auto"/>
                      <w:szCs w:val="21"/>
                    </w:rPr>
                  </w:pPr>
                  <w:r>
                    <w:rPr>
                      <w:color w:val="auto"/>
                      <w:szCs w:val="21"/>
                    </w:rPr>
                    <w:t>d</w:t>
                  </w:r>
                </w:p>
              </w:tc>
              <w:tc>
                <w:tcPr>
                  <w:tcW w:w="664" w:type="pct"/>
                </w:tcPr>
                <w:p>
                  <w:pPr>
                    <w:jc w:val="center"/>
                    <w:rPr>
                      <w:color w:val="auto"/>
                      <w:szCs w:val="21"/>
                    </w:rPr>
                  </w:pPr>
                  <w:r>
                    <w:rPr>
                      <w:color w:val="auto"/>
                      <w:szCs w:val="21"/>
                    </w:rPr>
                    <w:t>23.6</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日降水量≥25mm日数</w:t>
                  </w:r>
                </w:p>
              </w:tc>
              <w:tc>
                <w:tcPr>
                  <w:tcW w:w="409" w:type="pct"/>
                </w:tcPr>
                <w:p>
                  <w:pPr>
                    <w:jc w:val="center"/>
                    <w:rPr>
                      <w:color w:val="auto"/>
                      <w:szCs w:val="21"/>
                    </w:rPr>
                  </w:pPr>
                  <w:r>
                    <w:rPr>
                      <w:color w:val="auto"/>
                      <w:szCs w:val="21"/>
                    </w:rPr>
                    <w:t>d</w:t>
                  </w:r>
                </w:p>
              </w:tc>
              <w:tc>
                <w:tcPr>
                  <w:tcW w:w="510" w:type="pct"/>
                </w:tcPr>
                <w:p>
                  <w:pPr>
                    <w:jc w:val="center"/>
                    <w:rPr>
                      <w:color w:val="auto"/>
                      <w:szCs w:val="21"/>
                    </w:rPr>
                  </w:pPr>
                  <w:r>
                    <w:rPr>
                      <w:color w:val="auto"/>
                      <w:szCs w:val="21"/>
                    </w:rPr>
                    <w:t>0.1</w:t>
                  </w:r>
                </w:p>
              </w:tc>
              <w:tc>
                <w:tcPr>
                  <w:tcW w:w="1526" w:type="pct"/>
                </w:tcPr>
                <w:p>
                  <w:pPr>
                    <w:jc w:val="center"/>
                    <w:rPr>
                      <w:color w:val="auto"/>
                      <w:szCs w:val="21"/>
                    </w:rPr>
                  </w:pPr>
                  <w:r>
                    <w:rPr>
                      <w:color w:val="auto"/>
                      <w:szCs w:val="21"/>
                    </w:rPr>
                    <w:t>年均雹日数/最多日数</w:t>
                  </w:r>
                </w:p>
              </w:tc>
              <w:tc>
                <w:tcPr>
                  <w:tcW w:w="491" w:type="pct"/>
                </w:tcPr>
                <w:p>
                  <w:pPr>
                    <w:jc w:val="center"/>
                    <w:rPr>
                      <w:color w:val="auto"/>
                      <w:szCs w:val="21"/>
                    </w:rPr>
                  </w:pPr>
                  <w:r>
                    <w:rPr>
                      <w:color w:val="auto"/>
                      <w:szCs w:val="21"/>
                    </w:rPr>
                    <w:t>d</w:t>
                  </w:r>
                </w:p>
              </w:tc>
              <w:tc>
                <w:tcPr>
                  <w:tcW w:w="664" w:type="pct"/>
                </w:tcPr>
                <w:p>
                  <w:pPr>
                    <w:jc w:val="center"/>
                    <w:rPr>
                      <w:color w:val="auto"/>
                      <w:szCs w:val="21"/>
                    </w:rPr>
                  </w:pPr>
                  <w:r>
                    <w:rPr>
                      <w:color w:val="auto"/>
                      <w:szCs w:val="21"/>
                    </w:rPr>
                    <w:t>0.5/4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401" w:type="pct"/>
                </w:tcPr>
                <w:p>
                  <w:pPr>
                    <w:jc w:val="center"/>
                    <w:rPr>
                      <w:color w:val="auto"/>
                      <w:szCs w:val="21"/>
                    </w:rPr>
                  </w:pPr>
                  <w:r>
                    <w:rPr>
                      <w:color w:val="auto"/>
                      <w:szCs w:val="21"/>
                    </w:rPr>
                    <w:t>最大积雪深度</w:t>
                  </w:r>
                </w:p>
              </w:tc>
              <w:tc>
                <w:tcPr>
                  <w:tcW w:w="409" w:type="pct"/>
                </w:tcPr>
                <w:p>
                  <w:pPr>
                    <w:jc w:val="center"/>
                    <w:rPr>
                      <w:color w:val="auto"/>
                      <w:szCs w:val="21"/>
                    </w:rPr>
                  </w:pPr>
                  <w:r>
                    <w:rPr>
                      <w:color w:val="auto"/>
                      <w:szCs w:val="21"/>
                    </w:rPr>
                    <w:t>cm</w:t>
                  </w:r>
                </w:p>
              </w:tc>
              <w:tc>
                <w:tcPr>
                  <w:tcW w:w="510" w:type="pct"/>
                </w:tcPr>
                <w:p>
                  <w:pPr>
                    <w:jc w:val="center"/>
                    <w:rPr>
                      <w:color w:val="auto"/>
                      <w:szCs w:val="21"/>
                    </w:rPr>
                  </w:pPr>
                  <w:r>
                    <w:rPr>
                      <w:color w:val="auto"/>
                      <w:szCs w:val="21"/>
                    </w:rPr>
                    <w:t>41</w:t>
                  </w:r>
                </w:p>
              </w:tc>
              <w:tc>
                <w:tcPr>
                  <w:tcW w:w="1526" w:type="pct"/>
                </w:tcPr>
                <w:p>
                  <w:pPr>
                    <w:jc w:val="center"/>
                    <w:rPr>
                      <w:color w:val="auto"/>
                      <w:szCs w:val="21"/>
                    </w:rPr>
                  </w:pPr>
                  <w:r>
                    <w:rPr>
                      <w:color w:val="auto"/>
                      <w:szCs w:val="21"/>
                    </w:rPr>
                    <w:t>多年平均无霜期</w:t>
                  </w:r>
                </w:p>
              </w:tc>
              <w:tc>
                <w:tcPr>
                  <w:tcW w:w="491" w:type="pct"/>
                </w:tcPr>
                <w:p>
                  <w:pPr>
                    <w:jc w:val="center"/>
                    <w:rPr>
                      <w:color w:val="auto"/>
                      <w:szCs w:val="21"/>
                    </w:rPr>
                  </w:pPr>
                  <w:r>
                    <w:rPr>
                      <w:color w:val="auto"/>
                      <w:szCs w:val="21"/>
                    </w:rPr>
                    <w:t>d</w:t>
                  </w:r>
                </w:p>
              </w:tc>
              <w:tc>
                <w:tcPr>
                  <w:tcW w:w="664" w:type="pct"/>
                </w:tcPr>
                <w:p>
                  <w:pPr>
                    <w:jc w:val="center"/>
                    <w:rPr>
                      <w:color w:val="auto"/>
                      <w:szCs w:val="21"/>
                    </w:rPr>
                  </w:pPr>
                  <w:r>
                    <w:rPr>
                      <w:color w:val="auto"/>
                      <w:szCs w:val="21"/>
                    </w:rPr>
                    <w:t>148</w:t>
                  </w:r>
                </w:p>
              </w:tc>
            </w:tr>
          </w:tbl>
          <w:p>
            <w:pPr>
              <w:spacing w:line="520" w:lineRule="exact"/>
              <w:outlineLvl w:val="0"/>
              <w:rPr>
                <w:rFonts w:hAnsi="宋体"/>
                <w:b/>
                <w:color w:val="auto"/>
                <w:sz w:val="28"/>
              </w:rPr>
            </w:pPr>
            <w:r>
              <w:rPr>
                <w:rFonts w:hint="eastAsia" w:hAnsi="宋体"/>
                <w:b/>
                <w:color w:val="auto"/>
                <w:sz w:val="28"/>
              </w:rPr>
              <w:t>5水文</w:t>
            </w:r>
          </w:p>
          <w:p>
            <w:pPr>
              <w:spacing w:line="520" w:lineRule="exact"/>
              <w:outlineLvl w:val="0"/>
              <w:rPr>
                <w:b/>
                <w:color w:val="auto"/>
                <w:sz w:val="28"/>
                <w:szCs w:val="28"/>
              </w:rPr>
            </w:pPr>
            <w:r>
              <w:rPr>
                <w:rFonts w:hint="eastAsia"/>
                <w:b/>
                <w:color w:val="auto"/>
                <w:sz w:val="28"/>
                <w:szCs w:val="28"/>
              </w:rPr>
              <w:t>5.1地表水</w:t>
            </w:r>
          </w:p>
          <w:p>
            <w:pPr>
              <w:widowControl/>
              <w:spacing w:line="520" w:lineRule="exact"/>
              <w:ind w:firstLine="560" w:firstLineChars="200"/>
              <w:rPr>
                <w:color w:val="auto"/>
                <w:sz w:val="28"/>
                <w:szCs w:val="18"/>
              </w:rPr>
            </w:pPr>
            <w:r>
              <w:rPr>
                <w:rFonts w:hint="eastAsia"/>
                <w:color w:val="auto"/>
                <w:sz w:val="28"/>
                <w:szCs w:val="18"/>
              </w:rPr>
              <w:t>巩留县包括过境河流特克斯河。特克斯河是伊犁河最大的支流，发源于天山主峰</w:t>
            </w:r>
            <w:r>
              <w:rPr>
                <w:color w:val="auto"/>
                <w:sz w:val="28"/>
                <w:szCs w:val="18"/>
              </w:rPr>
              <w:t>—</w:t>
            </w:r>
            <w:r>
              <w:rPr>
                <w:rFonts w:hint="eastAsia"/>
                <w:color w:val="auto"/>
                <w:sz w:val="28"/>
                <w:szCs w:val="18"/>
              </w:rPr>
              <w:t>汗腾格里峰的北坡（哈国境内），从昭苏西部入境，由西向东穿过昭苏</w:t>
            </w:r>
            <w:r>
              <w:rPr>
                <w:color w:val="auto"/>
                <w:sz w:val="28"/>
                <w:szCs w:val="18"/>
              </w:rPr>
              <w:t>—</w:t>
            </w:r>
            <w:r>
              <w:rPr>
                <w:rFonts w:hint="eastAsia"/>
                <w:color w:val="auto"/>
                <w:sz w:val="28"/>
                <w:szCs w:val="18"/>
              </w:rPr>
              <w:t>特克斯谷（盆）地，至恰甫其海与大、小吉尔格郎河汇合后，折向北与巩乃斯河汇合。特克斯河水流湍急，流量稳定，且地形条件易于利用。</w:t>
            </w:r>
          </w:p>
          <w:p>
            <w:pPr>
              <w:spacing w:line="520" w:lineRule="exact"/>
              <w:outlineLvl w:val="0"/>
              <w:rPr>
                <w:b/>
                <w:color w:val="auto"/>
                <w:sz w:val="28"/>
                <w:szCs w:val="28"/>
              </w:rPr>
            </w:pPr>
            <w:r>
              <w:rPr>
                <w:rFonts w:hint="eastAsia"/>
                <w:b/>
                <w:color w:val="auto"/>
                <w:sz w:val="28"/>
                <w:szCs w:val="28"/>
              </w:rPr>
              <w:t>5.2地下水</w:t>
            </w:r>
          </w:p>
          <w:p>
            <w:pPr>
              <w:widowControl/>
              <w:spacing w:line="520" w:lineRule="exact"/>
              <w:ind w:firstLine="560" w:firstLineChars="200"/>
              <w:rPr>
                <w:color w:val="auto"/>
                <w:sz w:val="28"/>
                <w:szCs w:val="18"/>
              </w:rPr>
            </w:pPr>
            <w:r>
              <w:rPr>
                <w:rFonts w:hint="eastAsia"/>
                <w:color w:val="auto"/>
                <w:sz w:val="28"/>
                <w:szCs w:val="18"/>
              </w:rPr>
              <w:t>巩留县地下水主要为第四系松散岩类孔隙水，水量丰富，水质尚好，水埋藏深度</w:t>
            </w:r>
            <w:r>
              <w:rPr>
                <w:color w:val="auto"/>
                <w:sz w:val="28"/>
                <w:szCs w:val="18"/>
              </w:rPr>
              <w:t>3</w:t>
            </w:r>
            <w:r>
              <w:rPr>
                <w:rFonts w:hint="eastAsia"/>
                <w:color w:val="auto"/>
                <w:sz w:val="28"/>
                <w:szCs w:val="18"/>
              </w:rPr>
              <w:t>～</w:t>
            </w:r>
            <w:r>
              <w:rPr>
                <w:color w:val="auto"/>
                <w:sz w:val="28"/>
                <w:szCs w:val="18"/>
              </w:rPr>
              <w:t>10m</w:t>
            </w:r>
            <w:r>
              <w:rPr>
                <w:rFonts w:hint="eastAsia"/>
                <w:color w:val="auto"/>
                <w:sz w:val="28"/>
                <w:szCs w:val="18"/>
              </w:rPr>
              <w:t>，往城西北方向水位变浅，为</w:t>
            </w:r>
            <w:r>
              <w:rPr>
                <w:color w:val="auto"/>
                <w:sz w:val="28"/>
                <w:szCs w:val="18"/>
              </w:rPr>
              <w:t>1</w:t>
            </w:r>
            <w:r>
              <w:rPr>
                <w:rFonts w:hint="eastAsia"/>
                <w:color w:val="auto"/>
                <w:sz w:val="28"/>
                <w:szCs w:val="18"/>
              </w:rPr>
              <w:t>～</w:t>
            </w:r>
            <w:r>
              <w:rPr>
                <w:color w:val="auto"/>
                <w:sz w:val="28"/>
                <w:szCs w:val="18"/>
              </w:rPr>
              <w:t>3m</w:t>
            </w:r>
            <w:r>
              <w:rPr>
                <w:rFonts w:hint="eastAsia"/>
                <w:color w:val="auto"/>
                <w:sz w:val="28"/>
                <w:szCs w:val="18"/>
              </w:rPr>
              <w:t>，地下水流向大体自南向北。据地矿局第一水文地质大队物探资料，巩留县城一带地下水可开采量为</w:t>
            </w:r>
            <w:r>
              <w:rPr>
                <w:color w:val="auto"/>
                <w:sz w:val="28"/>
                <w:szCs w:val="18"/>
              </w:rPr>
              <w:t>3.35</w:t>
            </w:r>
            <w:r>
              <w:rPr>
                <w:rFonts w:hint="eastAsia"/>
                <w:color w:val="auto"/>
                <w:sz w:val="28"/>
                <w:szCs w:val="18"/>
              </w:rPr>
              <w:t>亿</w:t>
            </w:r>
            <w:r>
              <w:rPr>
                <w:color w:val="auto"/>
                <w:sz w:val="28"/>
                <w:szCs w:val="18"/>
              </w:rPr>
              <w:t>m</w:t>
            </w:r>
            <w:r>
              <w:rPr>
                <w:color w:val="auto"/>
                <w:sz w:val="28"/>
                <w:szCs w:val="18"/>
                <w:vertAlign w:val="superscript"/>
              </w:rPr>
              <w:t>3</w:t>
            </w:r>
            <w:r>
              <w:rPr>
                <w:color w:val="auto"/>
                <w:sz w:val="28"/>
                <w:szCs w:val="18"/>
              </w:rPr>
              <w:t>/</w:t>
            </w:r>
            <w:r>
              <w:rPr>
                <w:rFonts w:hint="eastAsia"/>
                <w:color w:val="auto"/>
                <w:sz w:val="28"/>
                <w:szCs w:val="18"/>
              </w:rPr>
              <w:t>年，而各类渗入补给量为开采量的</w:t>
            </w:r>
            <w:r>
              <w:rPr>
                <w:color w:val="auto"/>
                <w:sz w:val="28"/>
                <w:szCs w:val="18"/>
              </w:rPr>
              <w:t>2</w:t>
            </w:r>
            <w:r>
              <w:rPr>
                <w:rFonts w:hint="eastAsia"/>
                <w:color w:val="auto"/>
                <w:sz w:val="28"/>
                <w:szCs w:val="18"/>
              </w:rPr>
              <w:t>倍。地下水由河流和灌溉渗漏而成，无工业污染。</w:t>
            </w:r>
            <w:r>
              <w:rPr>
                <w:color w:val="auto"/>
                <w:sz w:val="28"/>
                <w:szCs w:val="18"/>
              </w:rPr>
              <w:t xml:space="preserve"> </w:t>
            </w:r>
          </w:p>
          <w:p>
            <w:pPr>
              <w:widowControl/>
              <w:spacing w:line="520" w:lineRule="exact"/>
              <w:ind w:firstLine="560" w:firstLineChars="200"/>
              <w:rPr>
                <w:rFonts w:hAnsi="宋体"/>
                <w:color w:val="auto"/>
                <w:sz w:val="28"/>
                <w:szCs w:val="22"/>
              </w:rPr>
            </w:pPr>
            <w:r>
              <w:rPr>
                <w:rFonts w:hint="eastAsia"/>
                <w:color w:val="auto"/>
                <w:sz w:val="28"/>
                <w:szCs w:val="18"/>
              </w:rPr>
              <w:t>本项目所在区域地下水类型为山前冲洪积层砂砾卵石潜水含水层，地下水埋深在</w:t>
            </w:r>
            <w:r>
              <w:rPr>
                <w:color w:val="auto"/>
                <w:sz w:val="28"/>
                <w:szCs w:val="18"/>
              </w:rPr>
              <w:t>5</w:t>
            </w:r>
            <w:r>
              <w:rPr>
                <w:rFonts w:hint="eastAsia"/>
                <w:color w:val="auto"/>
                <w:sz w:val="28"/>
                <w:szCs w:val="18"/>
              </w:rPr>
              <w:t>～</w:t>
            </w:r>
            <w:r>
              <w:rPr>
                <w:color w:val="auto"/>
                <w:sz w:val="28"/>
                <w:szCs w:val="18"/>
              </w:rPr>
              <w:t>l</w:t>
            </w:r>
            <w:r>
              <w:rPr>
                <w:rFonts w:hint="eastAsia"/>
                <w:color w:val="auto"/>
                <w:sz w:val="28"/>
                <w:szCs w:val="18"/>
              </w:rPr>
              <w:t>0</w:t>
            </w:r>
            <w:r>
              <w:rPr>
                <w:color w:val="auto"/>
                <w:sz w:val="28"/>
                <w:szCs w:val="18"/>
              </w:rPr>
              <w:t>m</w:t>
            </w:r>
            <w:r>
              <w:rPr>
                <w:rFonts w:hint="eastAsia"/>
                <w:color w:val="auto"/>
                <w:sz w:val="28"/>
                <w:szCs w:val="18"/>
              </w:rPr>
              <w:t>。</w:t>
            </w:r>
          </w:p>
          <w:p>
            <w:pPr>
              <w:spacing w:line="520" w:lineRule="exact"/>
              <w:outlineLvl w:val="0"/>
              <w:rPr>
                <w:rFonts w:hAnsi="宋体"/>
                <w:b/>
                <w:color w:val="auto"/>
                <w:sz w:val="28"/>
              </w:rPr>
            </w:pPr>
            <w:r>
              <w:rPr>
                <w:rFonts w:hint="eastAsia" w:hAnsi="宋体"/>
                <w:b/>
                <w:color w:val="auto"/>
                <w:sz w:val="28"/>
              </w:rPr>
              <w:t>6植被</w:t>
            </w:r>
          </w:p>
          <w:p>
            <w:pPr>
              <w:spacing w:line="520" w:lineRule="exact"/>
              <w:ind w:firstLine="560" w:firstLineChars="200"/>
              <w:rPr>
                <w:rFonts w:hAnsi="宋体"/>
                <w:color w:val="auto"/>
                <w:sz w:val="28"/>
                <w:szCs w:val="28"/>
              </w:rPr>
            </w:pPr>
            <w:r>
              <w:rPr>
                <w:rFonts w:hint="eastAsia" w:hAnsi="宋体"/>
                <w:color w:val="auto"/>
                <w:sz w:val="28"/>
                <w:szCs w:val="28"/>
              </w:rPr>
              <w:t>项目区植被类型属草甸植被，该植被类型</w:t>
            </w:r>
            <w:r>
              <w:rPr>
                <w:rFonts w:hAnsi="宋体"/>
                <w:color w:val="auto"/>
                <w:sz w:val="28"/>
                <w:szCs w:val="28"/>
              </w:rPr>
              <w:t>主要分布在海拔700～840</w:t>
            </w:r>
            <w:r>
              <w:rPr>
                <w:rFonts w:hint="eastAsia" w:hAnsi="宋体"/>
                <w:color w:val="auto"/>
                <w:sz w:val="28"/>
                <w:szCs w:val="28"/>
              </w:rPr>
              <w:t>m</w:t>
            </w:r>
            <w:r>
              <w:rPr>
                <w:rFonts w:hAnsi="宋体"/>
                <w:color w:val="auto"/>
                <w:sz w:val="28"/>
                <w:szCs w:val="28"/>
              </w:rPr>
              <w:t>之间的地区，有</w:t>
            </w:r>
            <w:r>
              <w:rPr>
                <w:rFonts w:hint="eastAsia" w:hAnsi="宋体"/>
                <w:color w:val="auto"/>
                <w:sz w:val="28"/>
                <w:szCs w:val="28"/>
              </w:rPr>
              <w:t>冬</w:t>
            </w:r>
            <w:r>
              <w:rPr>
                <w:rFonts w:hAnsi="宋体"/>
                <w:color w:val="auto"/>
                <w:sz w:val="28"/>
                <w:szCs w:val="28"/>
              </w:rPr>
              <w:t>大麦、杂草等15个植被型。总面积39.3万亩，牧草覆盖率70%～90%，每亩平均产鲜草45</w:t>
            </w:r>
            <w:r>
              <w:rPr>
                <w:rFonts w:hint="eastAsia" w:hAnsi="宋体"/>
                <w:color w:val="auto"/>
                <w:sz w:val="28"/>
                <w:szCs w:val="28"/>
              </w:rPr>
              <w:t>kg</w:t>
            </w:r>
            <w:r>
              <w:rPr>
                <w:rFonts w:hAnsi="宋体"/>
                <w:color w:val="auto"/>
                <w:sz w:val="28"/>
                <w:szCs w:val="28"/>
              </w:rPr>
              <w:t>，利用率60%～65%。其中优等草场占40%，良等草场占33%，中等草场占27%。这些湿地草甸由于沿河流滩地和低地分布，在夏季大部呈现沼泽地和条状、岛状滩地。其中最有名的是萨尔阿尔达河漫滩三角洲，它由数十个仅一水之隔的漫滩组成，最大的岛体长度可达10</w:t>
            </w:r>
            <w:r>
              <w:rPr>
                <w:rFonts w:hint="eastAsia" w:hAnsi="宋体"/>
                <w:color w:val="auto"/>
                <w:sz w:val="28"/>
                <w:szCs w:val="28"/>
              </w:rPr>
              <w:t>km</w:t>
            </w:r>
            <w:r>
              <w:rPr>
                <w:rFonts w:hAnsi="宋体"/>
                <w:color w:val="auto"/>
                <w:sz w:val="28"/>
                <w:szCs w:val="28"/>
              </w:rPr>
              <w:t>，面积18</w:t>
            </w:r>
            <w:r>
              <w:rPr>
                <w:rFonts w:hint="eastAsia" w:hAnsi="宋体"/>
                <w:color w:val="auto"/>
                <w:sz w:val="28"/>
                <w:szCs w:val="28"/>
              </w:rPr>
              <w:t>km</w:t>
            </w:r>
            <w:r>
              <w:rPr>
                <w:rFonts w:hint="eastAsia" w:hAnsi="宋体"/>
                <w:color w:val="auto"/>
                <w:sz w:val="28"/>
                <w:szCs w:val="28"/>
                <w:vertAlign w:val="superscript"/>
              </w:rPr>
              <w:t>2</w:t>
            </w:r>
            <w:r>
              <w:rPr>
                <w:rFonts w:hAnsi="宋体"/>
                <w:color w:val="auto"/>
                <w:sz w:val="28"/>
                <w:szCs w:val="28"/>
              </w:rPr>
              <w:t>，岛上湿生植物有沙棘、枸杞、柽柳、芦苇等，草丛中不时看到许多野兔、雉鸡、野鸡、白鹭等禽鸟。本区原主要沼泽地呈两个系列</w:t>
            </w:r>
            <w:r>
              <w:rPr>
                <w:rFonts w:hint="eastAsia" w:hAnsi="宋体"/>
                <w:color w:val="auto"/>
                <w:sz w:val="28"/>
                <w:szCs w:val="28"/>
              </w:rPr>
              <w:t>：一</w:t>
            </w:r>
            <w:r>
              <w:rPr>
                <w:rFonts w:hAnsi="宋体"/>
                <w:color w:val="auto"/>
                <w:sz w:val="28"/>
                <w:szCs w:val="28"/>
              </w:rPr>
              <w:t>是北部河流冲积地带系列，它东起阿尕尔森，西至雅玛图，整个走势是越靠近伊犁河地</w:t>
            </w:r>
            <w:r>
              <w:rPr>
                <w:rFonts w:hint="eastAsia" w:hAnsi="宋体"/>
                <w:color w:val="auto"/>
                <w:sz w:val="28"/>
                <w:szCs w:val="28"/>
              </w:rPr>
              <w:t>下</w:t>
            </w:r>
            <w:r>
              <w:rPr>
                <w:rFonts w:hAnsi="宋体"/>
                <w:color w:val="auto"/>
                <w:sz w:val="28"/>
                <w:szCs w:val="28"/>
              </w:rPr>
              <w:t>水出露越多，沼泽面积为49万亩，占巩留沼泽地90%以上</w:t>
            </w:r>
            <w:r>
              <w:rPr>
                <w:rFonts w:hint="eastAsia" w:hAnsi="宋体"/>
                <w:color w:val="auto"/>
                <w:sz w:val="28"/>
                <w:szCs w:val="28"/>
              </w:rPr>
              <w:t>；</w:t>
            </w:r>
            <w:r>
              <w:rPr>
                <w:rFonts w:hAnsi="宋体"/>
                <w:color w:val="auto"/>
                <w:sz w:val="28"/>
                <w:szCs w:val="28"/>
              </w:rPr>
              <w:t>二是山前洪积</w:t>
            </w:r>
            <w:r>
              <w:rPr>
                <w:rFonts w:hint="eastAsia" w:hAnsi="宋体"/>
                <w:color w:val="auto"/>
                <w:sz w:val="28"/>
                <w:szCs w:val="28"/>
              </w:rPr>
              <w:t>-</w:t>
            </w:r>
            <w:r>
              <w:rPr>
                <w:rFonts w:hAnsi="宋体"/>
                <w:color w:val="auto"/>
                <w:sz w:val="28"/>
                <w:szCs w:val="28"/>
              </w:rPr>
              <w:t>冲积平原最北沿系列，这一系列仅在东买里乡奥依塔木及塔斯托别北沿一带有少量出现。上述两条湿地在70年代后因垦殖和排水系统开通，面积有所缩小，并逐渐向北推移，目前仅城北还有东、中、西三块湿地区</w:t>
            </w:r>
            <w:r>
              <w:rPr>
                <w:rFonts w:hint="eastAsia" w:hAnsi="宋体"/>
                <w:color w:val="auto"/>
                <w:sz w:val="28"/>
                <w:szCs w:val="28"/>
              </w:rPr>
              <w:t>：</w:t>
            </w:r>
            <w:r>
              <w:rPr>
                <w:rFonts w:hAnsi="宋体"/>
                <w:color w:val="auto"/>
                <w:sz w:val="28"/>
                <w:szCs w:val="28"/>
              </w:rPr>
              <w:t>东部湿地区在二道湾排干渠东风排干以西、城北再开希干排以东地带，即羊场、牛场、县城以东的东北地带，面积约4.8万亩，在巩留湿地中面积最大</w:t>
            </w:r>
            <w:r>
              <w:rPr>
                <w:rFonts w:hint="eastAsia" w:hAnsi="宋体"/>
                <w:color w:val="auto"/>
                <w:sz w:val="28"/>
                <w:szCs w:val="28"/>
              </w:rPr>
              <w:t>；</w:t>
            </w:r>
            <w:r>
              <w:rPr>
                <w:rFonts w:hAnsi="宋体"/>
                <w:color w:val="auto"/>
                <w:sz w:val="28"/>
                <w:szCs w:val="28"/>
              </w:rPr>
              <w:t>中部湿地区在城北再开希排千以西、提克阿热克乡阔那桑村以东地带，面积约3.3万亩</w:t>
            </w:r>
            <w:r>
              <w:rPr>
                <w:rFonts w:hint="eastAsia" w:hAnsi="宋体"/>
                <w:color w:val="auto"/>
                <w:sz w:val="28"/>
                <w:szCs w:val="28"/>
              </w:rPr>
              <w:t>；</w:t>
            </w:r>
            <w:r>
              <w:rPr>
                <w:rFonts w:hAnsi="宋体"/>
                <w:color w:val="auto"/>
                <w:sz w:val="28"/>
                <w:szCs w:val="28"/>
              </w:rPr>
              <w:t>西部湿地区在雅玛图以东的伊犁河南侧，湿地分布零碎，且随着排渠的开通，湿地面积逐渐缩小，沼泽化渐退。</w:t>
            </w:r>
          </w:p>
          <w:p>
            <w:pPr>
              <w:widowControl/>
              <w:spacing w:line="520" w:lineRule="exact"/>
              <w:ind w:firstLine="560" w:firstLineChars="200"/>
              <w:rPr>
                <w:color w:val="auto"/>
                <w:sz w:val="28"/>
                <w:szCs w:val="28"/>
              </w:rPr>
            </w:pPr>
            <w:r>
              <w:rPr>
                <w:rFonts w:hint="eastAsia" w:hAnsi="宋体"/>
                <w:color w:val="auto"/>
                <w:sz w:val="28"/>
                <w:szCs w:val="28"/>
              </w:rPr>
              <w:t>根据项目区现场踏勘结果，项目区为已建厂区，植被覆盖率较低，多为城市绿化种植的乔木、灌木及草皮</w:t>
            </w:r>
            <w:r>
              <w:rPr>
                <w:rFonts w:hint="eastAsia" w:hAnsi="宋体"/>
                <w:color w:val="auto"/>
                <w:sz w:val="28"/>
                <w:szCs w:val="28"/>
                <w:lang w:eastAsia="zh-CN"/>
              </w:rPr>
              <w:t>，区域内无受保护的野生动植物</w:t>
            </w:r>
            <w:r>
              <w:rPr>
                <w:rFonts w:hint="eastAsia" w:hAnsi="宋体"/>
                <w:color w:val="auto"/>
                <w:sz w:val="28"/>
                <w:szCs w:val="28"/>
              </w:rPr>
              <w:t>。</w:t>
            </w:r>
          </w:p>
          <w:p>
            <w:pPr>
              <w:widowControl/>
              <w:spacing w:line="520" w:lineRule="exact"/>
              <w:rPr>
                <w:rFonts w:hint="default" w:eastAsia="宋体"/>
                <w:color w:val="auto"/>
                <w:sz w:val="28"/>
                <w:szCs w:val="28"/>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3289" w:hRule="atLeast"/>
          <w:jc w:val="center"/>
        </w:trPr>
        <w:tc>
          <w:tcPr>
            <w:tcW w:w="9287" w:type="dxa"/>
            <w:tcBorders>
              <w:bottom w:val="single" w:color="auto" w:sz="12" w:space="0"/>
            </w:tcBorders>
          </w:tcPr>
          <w:p>
            <w:pPr>
              <w:spacing w:line="520" w:lineRule="exact"/>
              <w:rPr>
                <w:rFonts w:ascii="宋体" w:hAnsi="宋体"/>
                <w:b/>
                <w:color w:val="auto"/>
                <w:sz w:val="28"/>
                <w:szCs w:val="28"/>
              </w:rPr>
            </w:pPr>
            <w:r>
              <w:rPr>
                <w:rFonts w:ascii="宋体" w:hAnsi="宋体"/>
                <w:b/>
                <w:bCs/>
                <w:color w:val="auto"/>
                <w:sz w:val="28"/>
                <w:szCs w:val="28"/>
              </w:rPr>
              <w:t>社会环境简况(社会经济结构、教育、文化、文物保护等)：</w:t>
            </w:r>
          </w:p>
          <w:p>
            <w:pPr>
              <w:spacing w:line="520" w:lineRule="exact"/>
              <w:ind w:firstLine="560" w:firstLineChars="200"/>
              <w:rPr>
                <w:color w:val="auto"/>
                <w:sz w:val="28"/>
                <w:szCs w:val="28"/>
              </w:rPr>
            </w:pPr>
            <w:bookmarkStart w:id="0" w:name="gk"/>
            <w:r>
              <w:rPr>
                <w:rFonts w:hint="eastAsia"/>
                <w:color w:val="auto"/>
                <w:sz w:val="28"/>
                <w:szCs w:val="28"/>
              </w:rPr>
              <w:t>根据《建设项目环境影响评价技术导则—总纲》（HJ2.1—2016），本环评对本章节省略。</w:t>
            </w:r>
          </w:p>
          <w:bookmarkEnd w:id="0"/>
          <w:p>
            <w:pPr>
              <w:spacing w:line="520" w:lineRule="exact"/>
              <w:ind w:firstLine="560" w:firstLineChars="200"/>
              <w:rPr>
                <w:color w:val="auto"/>
                <w:kern w:val="0"/>
                <w:sz w:val="28"/>
                <w:szCs w:val="28"/>
              </w:rPr>
            </w:pPr>
          </w:p>
          <w:p>
            <w:pPr>
              <w:spacing w:line="520" w:lineRule="exact"/>
              <w:rPr>
                <w:color w:val="auto"/>
                <w:kern w:val="0"/>
                <w:sz w:val="28"/>
                <w:szCs w:val="28"/>
              </w:rPr>
            </w:pPr>
          </w:p>
          <w:p>
            <w:pPr>
              <w:spacing w:line="520" w:lineRule="exact"/>
              <w:ind w:firstLine="560" w:firstLineChars="200"/>
              <w:rPr>
                <w:color w:val="auto"/>
                <w:kern w:val="0"/>
                <w:sz w:val="28"/>
                <w:szCs w:val="28"/>
              </w:rPr>
            </w:pPr>
          </w:p>
          <w:p>
            <w:pPr>
              <w:spacing w:line="520" w:lineRule="exact"/>
              <w:ind w:firstLine="560" w:firstLineChars="200"/>
              <w:rPr>
                <w:color w:val="auto"/>
                <w:kern w:val="0"/>
                <w:sz w:val="28"/>
                <w:szCs w:val="28"/>
              </w:rPr>
            </w:pPr>
          </w:p>
          <w:p>
            <w:pPr>
              <w:spacing w:line="520" w:lineRule="exact"/>
              <w:rPr>
                <w:color w:val="auto"/>
                <w:kern w:val="0"/>
                <w:sz w:val="28"/>
                <w:szCs w:val="28"/>
              </w:rPr>
            </w:pPr>
          </w:p>
          <w:p>
            <w:pPr>
              <w:spacing w:line="520" w:lineRule="exact"/>
              <w:ind w:firstLine="560" w:firstLineChars="200"/>
              <w:rPr>
                <w:color w:val="auto"/>
                <w:kern w:val="0"/>
                <w:sz w:val="28"/>
                <w:szCs w:val="28"/>
              </w:rPr>
            </w:pPr>
          </w:p>
          <w:p>
            <w:pPr>
              <w:spacing w:line="520" w:lineRule="exact"/>
              <w:rPr>
                <w:color w:val="auto"/>
                <w:kern w:val="0"/>
                <w:sz w:val="28"/>
                <w:szCs w:val="28"/>
              </w:rPr>
            </w:pPr>
          </w:p>
        </w:tc>
      </w:tr>
    </w:tbl>
    <w:p>
      <w:pPr>
        <w:pStyle w:val="6"/>
        <w:rPr>
          <w:rFonts w:ascii="黑体" w:hAnsi="黑体" w:eastAsia="黑体"/>
          <w:b w:val="0"/>
          <w:bCs w:val="0"/>
          <w:color w:val="auto"/>
          <w:sz w:val="32"/>
          <w:szCs w:val="32"/>
        </w:rPr>
      </w:pPr>
      <w:r>
        <w:rPr>
          <w:rFonts w:ascii="黑体" w:hAnsi="黑体" w:eastAsia="黑体"/>
          <w:b w:val="0"/>
          <w:bCs w:val="0"/>
          <w:color w:val="auto"/>
          <w:sz w:val="32"/>
          <w:szCs w:val="32"/>
        </w:rPr>
        <w:t>环境质量状况</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7" w:type="dxa"/>
            <w:tcBorders>
              <w:top w:val="single" w:color="auto" w:sz="12" w:space="0"/>
              <w:left w:val="single" w:color="auto" w:sz="12" w:space="0"/>
              <w:bottom w:val="single" w:color="auto" w:sz="12" w:space="0"/>
              <w:right w:val="single" w:color="auto" w:sz="12" w:space="0"/>
            </w:tcBorders>
          </w:tcPr>
          <w:p>
            <w:pPr>
              <w:spacing w:line="520" w:lineRule="exact"/>
              <w:rPr>
                <w:b/>
                <w:color w:val="auto"/>
                <w:sz w:val="28"/>
                <w:szCs w:val="28"/>
              </w:rPr>
            </w:pPr>
            <w:r>
              <w:rPr>
                <w:b/>
                <w:color w:val="auto"/>
                <w:sz w:val="28"/>
                <w:szCs w:val="28"/>
              </w:rPr>
              <w:t>建设项目所在地区域环境质量现状及主要环境问题（环境空气、地面水、声环境、生态环境等）</w:t>
            </w:r>
          </w:p>
          <w:p>
            <w:pPr>
              <w:spacing w:line="520" w:lineRule="exact"/>
              <w:rPr>
                <w:b/>
                <w:color w:val="auto"/>
                <w:sz w:val="28"/>
                <w:szCs w:val="28"/>
              </w:rPr>
            </w:pPr>
            <w:r>
              <w:rPr>
                <w:b/>
                <w:color w:val="auto"/>
                <w:sz w:val="28"/>
                <w:szCs w:val="28"/>
              </w:rPr>
              <w:t>1环境空气现状调查与评价</w:t>
            </w:r>
          </w:p>
          <w:p>
            <w:pPr>
              <w:pStyle w:val="6"/>
              <w:spacing w:before="0" w:after="0" w:line="520" w:lineRule="exact"/>
              <w:jc w:val="both"/>
              <w:rPr>
                <w:color w:val="auto"/>
                <w:kern w:val="2"/>
              </w:rPr>
            </w:pPr>
            <w:r>
              <w:rPr>
                <w:color w:val="auto"/>
                <w:kern w:val="2"/>
              </w:rPr>
              <w:t>1.</w:t>
            </w:r>
            <w:r>
              <w:rPr>
                <w:rFonts w:hint="eastAsia"/>
                <w:color w:val="auto"/>
                <w:kern w:val="2"/>
              </w:rPr>
              <w:t>1</w:t>
            </w:r>
            <w:r>
              <w:rPr>
                <w:color w:val="auto"/>
                <w:kern w:val="2"/>
              </w:rPr>
              <w:t>空气环境质量现状调查</w:t>
            </w:r>
          </w:p>
          <w:p>
            <w:pPr>
              <w:spacing w:line="520" w:lineRule="exact"/>
              <w:ind w:firstLine="560" w:firstLineChars="200"/>
              <w:rPr>
                <w:color w:val="auto"/>
                <w:sz w:val="28"/>
              </w:rPr>
            </w:pPr>
            <w:r>
              <w:rPr>
                <w:color w:val="auto"/>
                <w:sz w:val="28"/>
              </w:rPr>
              <w:t>根据项目的具体位置和当地的气象、地形以及当地的实际情况，按</w:t>
            </w:r>
            <w:r>
              <w:rPr>
                <w:color w:val="auto"/>
                <w:sz w:val="28"/>
                <w:szCs w:val="28"/>
              </w:rPr>
              <w:t>《环境影响评价技术导则—大气环境》（HJ2.2—20</w:t>
            </w:r>
            <w:r>
              <w:rPr>
                <w:rFonts w:hint="eastAsia"/>
                <w:color w:val="auto"/>
                <w:sz w:val="28"/>
                <w:szCs w:val="28"/>
              </w:rPr>
              <w:t>1</w:t>
            </w:r>
            <w:r>
              <w:rPr>
                <w:color w:val="auto"/>
                <w:sz w:val="28"/>
                <w:szCs w:val="28"/>
              </w:rPr>
              <w:t>8）</w:t>
            </w:r>
            <w:r>
              <w:rPr>
                <w:color w:val="auto"/>
                <w:sz w:val="28"/>
              </w:rPr>
              <w:t>的要求，</w:t>
            </w:r>
            <w:r>
              <w:rPr>
                <w:rFonts w:hint="eastAsia"/>
                <w:color w:val="auto"/>
                <w:sz w:val="28"/>
              </w:rPr>
              <w:t>通过对拟建项目周边环境的调查，本环评选用2019年伊宁市环境质量公报说明目前项目区的环境质量情况。非甲烷总烃委托</w:t>
            </w:r>
            <w:r>
              <w:rPr>
                <w:rFonts w:hint="eastAsia"/>
                <w:color w:val="auto"/>
                <w:sz w:val="28"/>
                <w:lang w:eastAsia="zh-CN"/>
              </w:rPr>
              <w:t>新疆科瑞环境技术服务有限公司</w:t>
            </w:r>
            <w:r>
              <w:rPr>
                <w:rFonts w:hint="eastAsia"/>
                <w:color w:val="auto"/>
                <w:sz w:val="28"/>
              </w:rPr>
              <w:t>，对项目区现状监测数据进行说明。</w:t>
            </w:r>
          </w:p>
          <w:p>
            <w:pPr>
              <w:spacing w:line="520" w:lineRule="exact"/>
              <w:rPr>
                <w:b/>
                <w:color w:val="auto"/>
                <w:sz w:val="28"/>
                <w:szCs w:val="28"/>
              </w:rPr>
            </w:pPr>
            <w:r>
              <w:rPr>
                <w:b/>
                <w:color w:val="auto"/>
                <w:sz w:val="28"/>
                <w:szCs w:val="28"/>
              </w:rPr>
              <w:t>1.</w:t>
            </w:r>
            <w:r>
              <w:rPr>
                <w:rFonts w:hint="eastAsia"/>
                <w:b/>
                <w:color w:val="auto"/>
                <w:sz w:val="28"/>
                <w:szCs w:val="28"/>
              </w:rPr>
              <w:t>2</w:t>
            </w:r>
            <w:r>
              <w:rPr>
                <w:b/>
                <w:color w:val="auto"/>
                <w:sz w:val="28"/>
                <w:szCs w:val="28"/>
              </w:rPr>
              <w:t>监测项目及分析方法</w:t>
            </w:r>
          </w:p>
          <w:p>
            <w:pPr>
              <w:spacing w:line="520" w:lineRule="exact"/>
              <w:ind w:firstLine="560" w:firstLineChars="200"/>
              <w:rPr>
                <w:color w:val="auto"/>
                <w:sz w:val="28"/>
              </w:rPr>
            </w:pPr>
            <w:r>
              <w:rPr>
                <w:color w:val="auto"/>
                <w:sz w:val="28"/>
                <w:szCs w:val="28"/>
              </w:rPr>
              <w:t>本次评价环境空气质量现状监测项目为：SO</w:t>
            </w:r>
            <w:r>
              <w:rPr>
                <w:color w:val="auto"/>
                <w:sz w:val="28"/>
                <w:szCs w:val="28"/>
                <w:vertAlign w:val="subscript"/>
              </w:rPr>
              <w:t>2</w:t>
            </w:r>
            <w:r>
              <w:rPr>
                <w:color w:val="auto"/>
                <w:sz w:val="28"/>
                <w:szCs w:val="28"/>
              </w:rPr>
              <w:t>、NO</w:t>
            </w:r>
            <w:r>
              <w:rPr>
                <w:color w:val="auto"/>
                <w:sz w:val="28"/>
                <w:szCs w:val="28"/>
                <w:vertAlign w:val="subscript"/>
              </w:rPr>
              <w:t>2</w:t>
            </w:r>
            <w:r>
              <w:rPr>
                <w:color w:val="auto"/>
                <w:sz w:val="28"/>
                <w:szCs w:val="28"/>
              </w:rPr>
              <w:t>、</w:t>
            </w:r>
            <w:r>
              <w:rPr>
                <w:rFonts w:hint="eastAsia"/>
                <w:color w:val="auto"/>
                <w:sz w:val="28"/>
                <w:szCs w:val="28"/>
              </w:rPr>
              <w:t>PM</w:t>
            </w:r>
            <w:r>
              <w:rPr>
                <w:rFonts w:hint="eastAsia"/>
                <w:color w:val="auto"/>
                <w:sz w:val="28"/>
                <w:szCs w:val="28"/>
                <w:vertAlign w:val="subscript"/>
              </w:rPr>
              <w:t>10</w:t>
            </w:r>
            <w:r>
              <w:rPr>
                <w:rFonts w:hint="eastAsia"/>
                <w:color w:val="auto"/>
                <w:sz w:val="28"/>
                <w:szCs w:val="28"/>
              </w:rPr>
              <w:t>、PM</w:t>
            </w:r>
            <w:r>
              <w:rPr>
                <w:rFonts w:hint="eastAsia"/>
                <w:color w:val="auto"/>
                <w:sz w:val="28"/>
                <w:szCs w:val="28"/>
                <w:vertAlign w:val="subscript"/>
              </w:rPr>
              <w:t>2.5</w:t>
            </w:r>
            <w:r>
              <w:rPr>
                <w:rFonts w:hint="eastAsia"/>
                <w:color w:val="auto"/>
                <w:sz w:val="28"/>
                <w:szCs w:val="28"/>
              </w:rPr>
              <w:t>、CO、O</w:t>
            </w:r>
            <w:r>
              <w:rPr>
                <w:rFonts w:hint="eastAsia"/>
                <w:color w:val="auto"/>
                <w:sz w:val="28"/>
                <w:szCs w:val="28"/>
                <w:vertAlign w:val="subscript"/>
              </w:rPr>
              <w:t>3</w:t>
            </w:r>
            <w:r>
              <w:rPr>
                <w:rFonts w:hint="eastAsia"/>
                <w:color w:val="auto"/>
                <w:sz w:val="28"/>
                <w:szCs w:val="28"/>
              </w:rPr>
              <w:t>、非甲烷总烃</w:t>
            </w:r>
            <w:r>
              <w:rPr>
                <w:color w:val="auto"/>
                <w:sz w:val="28"/>
                <w:szCs w:val="28"/>
              </w:rPr>
              <w:t>。各项目的采样及分析方法均按国家环保局颁布的《空气和废气监测分析方法》、《环境监测技术规范》中的有关规定执行</w:t>
            </w:r>
            <w:r>
              <w:rPr>
                <w:color w:val="auto"/>
                <w:sz w:val="28"/>
              </w:rPr>
              <w:t>。</w:t>
            </w:r>
          </w:p>
          <w:p>
            <w:pPr>
              <w:spacing w:line="520" w:lineRule="exact"/>
              <w:rPr>
                <w:b/>
                <w:color w:val="auto"/>
                <w:sz w:val="28"/>
                <w:szCs w:val="28"/>
              </w:rPr>
            </w:pPr>
            <w:r>
              <w:rPr>
                <w:b/>
                <w:color w:val="auto"/>
                <w:sz w:val="28"/>
                <w:szCs w:val="28"/>
              </w:rPr>
              <w:t>1.</w:t>
            </w:r>
            <w:r>
              <w:rPr>
                <w:rFonts w:hint="eastAsia"/>
                <w:b/>
                <w:color w:val="auto"/>
                <w:sz w:val="28"/>
                <w:szCs w:val="28"/>
              </w:rPr>
              <w:t>2</w:t>
            </w:r>
            <w:r>
              <w:rPr>
                <w:b/>
                <w:color w:val="auto"/>
                <w:sz w:val="28"/>
                <w:szCs w:val="28"/>
              </w:rPr>
              <w:t>.1采样时段、次数及频率</w:t>
            </w:r>
          </w:p>
          <w:p>
            <w:pPr>
              <w:spacing w:line="520" w:lineRule="exact"/>
              <w:ind w:firstLine="560" w:firstLineChars="200"/>
              <w:rPr>
                <w:color w:val="auto"/>
                <w:sz w:val="28"/>
                <w:szCs w:val="28"/>
              </w:rPr>
            </w:pPr>
            <w:r>
              <w:rPr>
                <w:rFonts w:hint="eastAsia"/>
                <w:color w:val="auto"/>
                <w:sz w:val="28"/>
                <w:szCs w:val="28"/>
              </w:rPr>
              <w:t>监测时间为2019年1月1日—2019年12月31日对项目区环境空气进行现状监测。</w:t>
            </w:r>
          </w:p>
          <w:p>
            <w:pPr>
              <w:spacing w:line="520" w:lineRule="exact"/>
              <w:rPr>
                <w:b/>
                <w:color w:val="auto"/>
                <w:sz w:val="28"/>
                <w:szCs w:val="28"/>
              </w:rPr>
            </w:pPr>
            <w:r>
              <w:rPr>
                <w:b/>
                <w:color w:val="auto"/>
                <w:sz w:val="28"/>
                <w:szCs w:val="28"/>
              </w:rPr>
              <w:t>1.</w:t>
            </w:r>
            <w:r>
              <w:rPr>
                <w:rFonts w:hint="eastAsia"/>
                <w:b/>
                <w:color w:val="auto"/>
                <w:sz w:val="28"/>
                <w:szCs w:val="28"/>
              </w:rPr>
              <w:t>2</w:t>
            </w:r>
            <w:r>
              <w:rPr>
                <w:b/>
                <w:color w:val="auto"/>
                <w:sz w:val="28"/>
                <w:szCs w:val="28"/>
              </w:rPr>
              <w:t>.2监测结果统计</w:t>
            </w:r>
          </w:p>
          <w:p>
            <w:pPr>
              <w:spacing w:line="520" w:lineRule="exact"/>
              <w:ind w:firstLine="560" w:firstLineChars="200"/>
              <w:rPr>
                <w:color w:val="auto"/>
                <w:sz w:val="28"/>
              </w:rPr>
            </w:pPr>
            <w:r>
              <w:rPr>
                <w:rFonts w:hint="eastAsia"/>
                <w:color w:val="auto"/>
                <w:sz w:val="28"/>
              </w:rPr>
              <w:t>根据2019年伊宁市环境质量公报和项目区现状环境空气质量监测数据，</w:t>
            </w:r>
            <w:r>
              <w:rPr>
                <w:color w:val="auto"/>
                <w:sz w:val="28"/>
                <w:szCs w:val="28"/>
              </w:rPr>
              <w:t>SO</w:t>
            </w:r>
            <w:r>
              <w:rPr>
                <w:color w:val="auto"/>
                <w:sz w:val="28"/>
                <w:szCs w:val="28"/>
                <w:vertAlign w:val="subscript"/>
              </w:rPr>
              <w:t>2</w:t>
            </w:r>
            <w:r>
              <w:rPr>
                <w:color w:val="auto"/>
                <w:sz w:val="28"/>
                <w:szCs w:val="28"/>
              </w:rPr>
              <w:t>、NO</w:t>
            </w:r>
            <w:r>
              <w:rPr>
                <w:color w:val="auto"/>
                <w:sz w:val="28"/>
                <w:szCs w:val="28"/>
                <w:vertAlign w:val="subscript"/>
              </w:rPr>
              <w:t>2</w:t>
            </w:r>
            <w:r>
              <w:rPr>
                <w:color w:val="auto"/>
                <w:sz w:val="28"/>
                <w:szCs w:val="28"/>
              </w:rPr>
              <w:t>、</w:t>
            </w:r>
            <w:r>
              <w:rPr>
                <w:rFonts w:hint="eastAsia"/>
                <w:color w:val="auto"/>
                <w:sz w:val="28"/>
                <w:szCs w:val="28"/>
              </w:rPr>
              <w:t>PM</w:t>
            </w:r>
            <w:r>
              <w:rPr>
                <w:rFonts w:hint="eastAsia"/>
                <w:color w:val="auto"/>
                <w:sz w:val="28"/>
                <w:szCs w:val="28"/>
                <w:vertAlign w:val="subscript"/>
              </w:rPr>
              <w:t>10</w:t>
            </w:r>
            <w:r>
              <w:rPr>
                <w:rFonts w:hint="eastAsia"/>
                <w:color w:val="auto"/>
                <w:sz w:val="28"/>
                <w:szCs w:val="28"/>
              </w:rPr>
              <w:t>、PM</w:t>
            </w:r>
            <w:r>
              <w:rPr>
                <w:rFonts w:hint="eastAsia"/>
                <w:color w:val="auto"/>
                <w:sz w:val="28"/>
                <w:szCs w:val="28"/>
                <w:vertAlign w:val="subscript"/>
              </w:rPr>
              <w:t>2.5</w:t>
            </w:r>
            <w:r>
              <w:rPr>
                <w:rFonts w:hint="eastAsia"/>
                <w:color w:val="auto"/>
                <w:sz w:val="28"/>
                <w:szCs w:val="28"/>
              </w:rPr>
              <w:t>、CO、O</w:t>
            </w:r>
            <w:r>
              <w:rPr>
                <w:rFonts w:hint="eastAsia"/>
                <w:color w:val="auto"/>
                <w:sz w:val="28"/>
                <w:szCs w:val="28"/>
                <w:vertAlign w:val="subscript"/>
              </w:rPr>
              <w:t>3</w:t>
            </w:r>
            <w:r>
              <w:rPr>
                <w:rFonts w:hint="eastAsia"/>
                <w:color w:val="auto"/>
                <w:sz w:val="28"/>
              </w:rPr>
              <w:t>年均值</w:t>
            </w:r>
            <w:r>
              <w:rPr>
                <w:color w:val="auto"/>
                <w:sz w:val="28"/>
              </w:rPr>
              <w:t>浓度</w:t>
            </w:r>
            <w:r>
              <w:rPr>
                <w:rFonts w:hint="eastAsia"/>
                <w:color w:val="auto"/>
                <w:sz w:val="28"/>
              </w:rPr>
              <w:t>，非甲烷总烃监测数据，</w:t>
            </w:r>
            <w:r>
              <w:rPr>
                <w:color w:val="auto"/>
                <w:sz w:val="28"/>
              </w:rPr>
              <w:t>见表</w:t>
            </w:r>
            <w:r>
              <w:rPr>
                <w:rFonts w:hint="eastAsia"/>
                <w:color w:val="auto"/>
                <w:sz w:val="28"/>
              </w:rPr>
              <w:t>5</w:t>
            </w:r>
            <w:r>
              <w:rPr>
                <w:color w:val="auto"/>
                <w:sz w:val="28"/>
              </w:rPr>
              <w:t>。</w:t>
            </w:r>
          </w:p>
          <w:p>
            <w:pPr>
              <w:ind w:firstLine="480" w:firstLineChars="200"/>
              <w:rPr>
                <w:rFonts w:eastAsia="黑体"/>
                <w:bCs/>
                <w:color w:val="auto"/>
                <w:sz w:val="24"/>
              </w:rPr>
            </w:pPr>
          </w:p>
          <w:p>
            <w:pPr>
              <w:ind w:firstLine="480" w:firstLineChars="200"/>
              <w:rPr>
                <w:rFonts w:eastAsia="黑体"/>
                <w:bCs/>
                <w:color w:val="auto"/>
                <w:sz w:val="24"/>
              </w:rPr>
            </w:pPr>
          </w:p>
          <w:p>
            <w:pPr>
              <w:ind w:firstLine="480" w:firstLineChars="200"/>
              <w:rPr>
                <w:rFonts w:eastAsia="黑体"/>
                <w:bCs/>
                <w:color w:val="auto"/>
                <w:sz w:val="24"/>
              </w:rPr>
            </w:pPr>
          </w:p>
          <w:p>
            <w:pPr>
              <w:ind w:firstLine="480" w:firstLineChars="200"/>
              <w:rPr>
                <w:rFonts w:eastAsia="黑体"/>
                <w:bCs/>
                <w:color w:val="auto"/>
                <w:sz w:val="24"/>
              </w:rPr>
            </w:pPr>
          </w:p>
          <w:p>
            <w:pPr>
              <w:ind w:firstLine="480" w:firstLineChars="200"/>
              <w:rPr>
                <w:rFonts w:eastAsia="黑体"/>
                <w:bCs/>
                <w:color w:val="auto"/>
                <w:sz w:val="24"/>
              </w:rPr>
            </w:pPr>
          </w:p>
          <w:p>
            <w:pPr>
              <w:ind w:firstLine="480" w:firstLineChars="200"/>
              <w:rPr>
                <w:rFonts w:eastAsia="黑体"/>
                <w:bCs/>
                <w:color w:val="auto"/>
                <w:sz w:val="24"/>
              </w:rPr>
            </w:pPr>
          </w:p>
          <w:p>
            <w:pPr>
              <w:ind w:firstLine="480" w:firstLineChars="200"/>
              <w:rPr>
                <w:rFonts w:eastAsia="黑体"/>
                <w:bCs/>
                <w:color w:val="auto"/>
                <w:sz w:val="24"/>
              </w:rPr>
            </w:pPr>
          </w:p>
          <w:p>
            <w:pPr>
              <w:ind w:firstLine="480" w:firstLineChars="200"/>
              <w:rPr>
                <w:rFonts w:eastAsia="黑体"/>
                <w:bCs/>
                <w:color w:val="auto"/>
                <w:sz w:val="24"/>
              </w:rPr>
            </w:pPr>
          </w:p>
          <w:p>
            <w:pPr>
              <w:ind w:firstLine="480" w:firstLineChars="200"/>
              <w:rPr>
                <w:rFonts w:eastAsia="黑体"/>
                <w:bCs/>
                <w:color w:val="auto"/>
                <w:sz w:val="24"/>
                <w:vertAlign w:val="superscript"/>
              </w:rPr>
            </w:pPr>
            <w:r>
              <w:rPr>
                <w:rFonts w:eastAsia="黑体"/>
                <w:bCs/>
                <w:color w:val="auto"/>
                <w:sz w:val="24"/>
              </w:rPr>
              <w:t>表</w:t>
            </w:r>
            <w:r>
              <w:rPr>
                <w:rFonts w:hint="eastAsia" w:eastAsia="黑体"/>
                <w:bCs/>
                <w:color w:val="auto"/>
                <w:sz w:val="24"/>
              </w:rPr>
              <w:t xml:space="preserve">5 </w:t>
            </w:r>
            <w:r>
              <w:rPr>
                <w:rFonts w:eastAsia="黑体"/>
                <w:bCs/>
                <w:color w:val="auto"/>
                <w:sz w:val="24"/>
              </w:rPr>
              <w:t xml:space="preserve">               环境空气质量监测结果汇总表</w:t>
            </w:r>
            <w:r>
              <w:rPr>
                <w:rFonts w:hint="eastAsia" w:eastAsia="黑体"/>
                <w:bCs/>
                <w:color w:val="auto"/>
                <w:sz w:val="24"/>
              </w:rPr>
              <w:t xml:space="preserve">           </w:t>
            </w:r>
            <w:r>
              <w:rPr>
                <w:rFonts w:eastAsia="黑体"/>
                <w:bCs/>
                <w:color w:val="auto"/>
                <w:sz w:val="24"/>
              </w:rPr>
              <w:t>单位：</w:t>
            </w:r>
            <w:r>
              <w:rPr>
                <w:rFonts w:hint="eastAsia" w:eastAsia="黑体"/>
                <w:bCs/>
                <w:color w:val="auto"/>
                <w:sz w:val="24"/>
              </w:rPr>
              <w:t>m</w:t>
            </w:r>
            <w:r>
              <w:rPr>
                <w:rFonts w:eastAsia="黑体"/>
                <w:bCs/>
                <w:color w:val="auto"/>
                <w:sz w:val="24"/>
              </w:rPr>
              <w:t>g/m</w:t>
            </w:r>
            <w:r>
              <w:rPr>
                <w:rFonts w:eastAsia="黑体"/>
                <w:bCs/>
                <w:color w:val="auto"/>
                <w:sz w:val="24"/>
                <w:vertAlign w:val="superscript"/>
              </w:rPr>
              <w:t>3</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853"/>
              <w:gridCol w:w="1853"/>
              <w:gridCol w:w="1852"/>
              <w:gridCol w:w="351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Align w:val="center"/>
                </w:tcPr>
                <w:p>
                  <w:pPr>
                    <w:jc w:val="center"/>
                    <w:rPr>
                      <w:color w:val="auto"/>
                    </w:rPr>
                  </w:pPr>
                  <w:r>
                    <w:rPr>
                      <w:rFonts w:hint="eastAsia"/>
                      <w:color w:val="auto"/>
                    </w:rPr>
                    <w:t>监测点位</w:t>
                  </w:r>
                </w:p>
              </w:tc>
              <w:tc>
                <w:tcPr>
                  <w:tcW w:w="1021" w:type="pct"/>
                  <w:vAlign w:val="center"/>
                </w:tcPr>
                <w:p>
                  <w:pPr>
                    <w:jc w:val="center"/>
                    <w:rPr>
                      <w:color w:val="auto"/>
                    </w:rPr>
                  </w:pPr>
                  <w:r>
                    <w:rPr>
                      <w:rFonts w:hint="eastAsia"/>
                      <w:color w:val="auto"/>
                    </w:rPr>
                    <w:t>监测时间</w:t>
                  </w:r>
                </w:p>
              </w:tc>
              <w:tc>
                <w:tcPr>
                  <w:tcW w:w="1020" w:type="pct"/>
                  <w:vAlign w:val="center"/>
                </w:tcPr>
                <w:p>
                  <w:pPr>
                    <w:jc w:val="center"/>
                    <w:rPr>
                      <w:color w:val="auto"/>
                    </w:rPr>
                  </w:pPr>
                  <w:r>
                    <w:rPr>
                      <w:color w:val="auto"/>
                    </w:rPr>
                    <w:t>监测项目</w:t>
                  </w:r>
                </w:p>
              </w:tc>
              <w:tc>
                <w:tcPr>
                  <w:tcW w:w="1935" w:type="pct"/>
                  <w:vAlign w:val="center"/>
                </w:tcPr>
                <w:p>
                  <w:pPr>
                    <w:jc w:val="center"/>
                    <w:rPr>
                      <w:color w:val="auto"/>
                    </w:rPr>
                  </w:pPr>
                  <w:r>
                    <w:rPr>
                      <w:rFonts w:hint="eastAsia"/>
                      <w:color w:val="auto"/>
                    </w:rPr>
                    <w:t>年</w:t>
                  </w:r>
                  <w:r>
                    <w:rPr>
                      <w:color w:val="auto"/>
                    </w:rPr>
                    <w:t>平均浓度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restart"/>
                  <w:vAlign w:val="center"/>
                </w:tcPr>
                <w:p>
                  <w:pPr>
                    <w:jc w:val="center"/>
                    <w:rPr>
                      <w:color w:val="auto"/>
                    </w:rPr>
                  </w:pPr>
                  <w:r>
                    <w:rPr>
                      <w:rFonts w:hint="eastAsia"/>
                      <w:color w:val="auto"/>
                    </w:rPr>
                    <w:t>伊宁市环保局站、西公园子站、</w:t>
                  </w:r>
                </w:p>
                <w:p>
                  <w:pPr>
                    <w:jc w:val="center"/>
                    <w:rPr>
                      <w:color w:val="auto"/>
                    </w:rPr>
                  </w:pPr>
                  <w:r>
                    <w:rPr>
                      <w:rFonts w:hint="eastAsia"/>
                      <w:color w:val="auto"/>
                    </w:rPr>
                    <w:t>三水厂子站</w:t>
                  </w:r>
                </w:p>
              </w:tc>
              <w:tc>
                <w:tcPr>
                  <w:tcW w:w="1021" w:type="pct"/>
                  <w:vMerge w:val="restart"/>
                  <w:vAlign w:val="center"/>
                </w:tcPr>
                <w:p>
                  <w:pPr>
                    <w:jc w:val="center"/>
                    <w:rPr>
                      <w:color w:val="auto"/>
                    </w:rPr>
                  </w:pPr>
                  <w:r>
                    <w:rPr>
                      <w:rFonts w:hint="eastAsia"/>
                      <w:color w:val="auto"/>
                    </w:rPr>
                    <w:t>2019年1月1日—2019年12月31日</w:t>
                  </w:r>
                </w:p>
              </w:tc>
              <w:tc>
                <w:tcPr>
                  <w:tcW w:w="1020" w:type="pct"/>
                  <w:vAlign w:val="center"/>
                </w:tcPr>
                <w:p>
                  <w:pPr>
                    <w:jc w:val="center"/>
                    <w:rPr>
                      <w:color w:val="auto"/>
                    </w:rPr>
                  </w:pPr>
                  <w:r>
                    <w:rPr>
                      <w:color w:val="auto"/>
                    </w:rPr>
                    <w:t>SO</w:t>
                  </w:r>
                  <w:r>
                    <w:rPr>
                      <w:color w:val="auto"/>
                      <w:vertAlign w:val="subscript"/>
                    </w:rPr>
                    <w:t>2</w:t>
                  </w:r>
                </w:p>
              </w:tc>
              <w:tc>
                <w:tcPr>
                  <w:tcW w:w="1935" w:type="pct"/>
                  <w:vAlign w:val="center"/>
                </w:tcPr>
                <w:p>
                  <w:pPr>
                    <w:pStyle w:val="103"/>
                    <w:rPr>
                      <w:rFonts w:ascii="Times New Roman" w:hAnsi="Times New Roman"/>
                      <w:color w:val="auto"/>
                      <w:kern w:val="0"/>
                    </w:rPr>
                  </w:pPr>
                  <w:r>
                    <w:rPr>
                      <w:rFonts w:hint="eastAsia" w:ascii="Times New Roman" w:hAnsi="Times New Roman"/>
                      <w:color w:val="auto"/>
                      <w:kern w:val="0"/>
                    </w:rPr>
                    <w:t>0.017</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021" w:type="pct"/>
                  <w:vMerge w:val="continue"/>
                  <w:vAlign w:val="center"/>
                </w:tcPr>
                <w:p>
                  <w:pPr>
                    <w:jc w:val="center"/>
                    <w:rPr>
                      <w:color w:val="auto"/>
                    </w:rPr>
                  </w:pPr>
                </w:p>
              </w:tc>
              <w:tc>
                <w:tcPr>
                  <w:tcW w:w="1020" w:type="pct"/>
                  <w:vAlign w:val="center"/>
                </w:tcPr>
                <w:p>
                  <w:pPr>
                    <w:jc w:val="center"/>
                    <w:rPr>
                      <w:color w:val="auto"/>
                    </w:rPr>
                  </w:pPr>
                  <w:r>
                    <w:rPr>
                      <w:color w:val="auto"/>
                    </w:rPr>
                    <w:t>NO</w:t>
                  </w:r>
                  <w:r>
                    <w:rPr>
                      <w:color w:val="auto"/>
                      <w:vertAlign w:val="subscript"/>
                    </w:rPr>
                    <w:t>2</w:t>
                  </w:r>
                </w:p>
              </w:tc>
              <w:tc>
                <w:tcPr>
                  <w:tcW w:w="1935" w:type="pct"/>
                  <w:vAlign w:val="center"/>
                </w:tcPr>
                <w:p>
                  <w:pPr>
                    <w:pStyle w:val="103"/>
                    <w:rPr>
                      <w:rFonts w:ascii="Times New Roman" w:hAnsi="Times New Roman"/>
                      <w:color w:val="auto"/>
                      <w:kern w:val="0"/>
                    </w:rPr>
                  </w:pPr>
                  <w:r>
                    <w:rPr>
                      <w:rFonts w:hint="eastAsia" w:ascii="Times New Roman" w:hAnsi="Times New Roman"/>
                      <w:color w:val="auto"/>
                      <w:kern w:val="0"/>
                    </w:rPr>
                    <w:t>0.033</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021" w:type="pct"/>
                  <w:vMerge w:val="continue"/>
                  <w:vAlign w:val="center"/>
                </w:tcPr>
                <w:p>
                  <w:pPr>
                    <w:jc w:val="center"/>
                    <w:rPr>
                      <w:color w:val="auto"/>
                    </w:rPr>
                  </w:pPr>
                </w:p>
              </w:tc>
              <w:tc>
                <w:tcPr>
                  <w:tcW w:w="1020" w:type="pct"/>
                  <w:vAlign w:val="center"/>
                </w:tcPr>
                <w:p>
                  <w:pPr>
                    <w:jc w:val="center"/>
                    <w:rPr>
                      <w:color w:val="auto"/>
                    </w:rPr>
                  </w:pPr>
                  <w:r>
                    <w:rPr>
                      <w:color w:val="auto"/>
                    </w:rPr>
                    <w:t>PM</w:t>
                  </w:r>
                  <w:r>
                    <w:rPr>
                      <w:color w:val="auto"/>
                      <w:vertAlign w:val="subscript"/>
                    </w:rPr>
                    <w:t>10</w:t>
                  </w:r>
                </w:p>
              </w:tc>
              <w:tc>
                <w:tcPr>
                  <w:tcW w:w="1935" w:type="pct"/>
                  <w:vAlign w:val="center"/>
                </w:tcPr>
                <w:p>
                  <w:pPr>
                    <w:pStyle w:val="103"/>
                    <w:rPr>
                      <w:rFonts w:ascii="Times New Roman" w:hAnsi="Times New Roman"/>
                      <w:color w:val="auto"/>
                      <w:kern w:val="0"/>
                    </w:rPr>
                  </w:pPr>
                  <w:r>
                    <w:rPr>
                      <w:rFonts w:hint="eastAsia" w:ascii="Times New Roman" w:hAnsi="Times New Roman"/>
                      <w:color w:val="auto"/>
                      <w:kern w:val="0"/>
                    </w:rPr>
                    <w:t>0.07</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021" w:type="pct"/>
                  <w:vMerge w:val="continue"/>
                  <w:vAlign w:val="center"/>
                </w:tcPr>
                <w:p>
                  <w:pPr>
                    <w:jc w:val="center"/>
                    <w:rPr>
                      <w:color w:val="auto"/>
                    </w:rPr>
                  </w:pPr>
                </w:p>
              </w:tc>
              <w:tc>
                <w:tcPr>
                  <w:tcW w:w="1020" w:type="pct"/>
                  <w:vAlign w:val="center"/>
                </w:tcPr>
                <w:p>
                  <w:pPr>
                    <w:jc w:val="center"/>
                    <w:rPr>
                      <w:color w:val="auto"/>
                    </w:rPr>
                  </w:pPr>
                  <w:r>
                    <w:rPr>
                      <w:color w:val="auto"/>
                    </w:rPr>
                    <w:t>PM</w:t>
                  </w:r>
                  <w:r>
                    <w:rPr>
                      <w:color w:val="auto"/>
                      <w:vertAlign w:val="subscript"/>
                    </w:rPr>
                    <w:t>2.5</w:t>
                  </w:r>
                </w:p>
              </w:tc>
              <w:tc>
                <w:tcPr>
                  <w:tcW w:w="1935" w:type="pct"/>
                  <w:vAlign w:val="center"/>
                </w:tcPr>
                <w:p>
                  <w:pPr>
                    <w:pStyle w:val="103"/>
                    <w:rPr>
                      <w:rFonts w:ascii="Times New Roman" w:hAnsi="Times New Roman"/>
                      <w:color w:val="auto"/>
                      <w:kern w:val="0"/>
                    </w:rPr>
                  </w:pPr>
                  <w:r>
                    <w:rPr>
                      <w:rFonts w:hint="eastAsia" w:ascii="Times New Roman" w:hAnsi="Times New Roman"/>
                      <w:color w:val="auto"/>
                      <w:kern w:val="0"/>
                    </w:rPr>
                    <w:t>0.042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021" w:type="pct"/>
                  <w:vMerge w:val="continue"/>
                  <w:vAlign w:val="center"/>
                </w:tcPr>
                <w:p>
                  <w:pPr>
                    <w:jc w:val="center"/>
                    <w:rPr>
                      <w:color w:val="auto"/>
                    </w:rPr>
                  </w:pPr>
                </w:p>
              </w:tc>
              <w:tc>
                <w:tcPr>
                  <w:tcW w:w="1020" w:type="pct"/>
                  <w:vAlign w:val="center"/>
                </w:tcPr>
                <w:p>
                  <w:pPr>
                    <w:jc w:val="center"/>
                    <w:rPr>
                      <w:color w:val="auto"/>
                    </w:rPr>
                  </w:pPr>
                  <w:r>
                    <w:rPr>
                      <w:color w:val="auto"/>
                    </w:rPr>
                    <w:t>监测项目</w:t>
                  </w:r>
                </w:p>
              </w:tc>
              <w:tc>
                <w:tcPr>
                  <w:tcW w:w="1935" w:type="pct"/>
                  <w:vAlign w:val="center"/>
                </w:tcPr>
                <w:p>
                  <w:pPr>
                    <w:jc w:val="center"/>
                    <w:rPr>
                      <w:color w:val="auto"/>
                    </w:rPr>
                  </w:pPr>
                  <w:r>
                    <w:rPr>
                      <w:color w:val="auto"/>
                    </w:rPr>
                    <w:t>24h平均浓度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021" w:type="pct"/>
                  <w:vMerge w:val="continue"/>
                  <w:vAlign w:val="center"/>
                </w:tcPr>
                <w:p>
                  <w:pPr>
                    <w:jc w:val="center"/>
                    <w:rPr>
                      <w:color w:val="auto"/>
                    </w:rPr>
                  </w:pPr>
                </w:p>
              </w:tc>
              <w:tc>
                <w:tcPr>
                  <w:tcW w:w="1020" w:type="pct"/>
                  <w:vAlign w:val="center"/>
                </w:tcPr>
                <w:p>
                  <w:pPr>
                    <w:jc w:val="center"/>
                    <w:rPr>
                      <w:color w:val="auto"/>
                    </w:rPr>
                  </w:pPr>
                  <w:r>
                    <w:rPr>
                      <w:color w:val="auto"/>
                    </w:rPr>
                    <w:t>CO</w:t>
                  </w:r>
                </w:p>
              </w:tc>
              <w:tc>
                <w:tcPr>
                  <w:tcW w:w="1935" w:type="pct"/>
                  <w:vAlign w:val="center"/>
                </w:tcPr>
                <w:p>
                  <w:pPr>
                    <w:jc w:val="center"/>
                    <w:rPr>
                      <w:color w:val="auto"/>
                    </w:rPr>
                  </w:pPr>
                  <w:r>
                    <w:rPr>
                      <w:rFonts w:hint="eastAsia"/>
                      <w:color w:val="auto"/>
                    </w:rPr>
                    <w:t>1.36</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021" w:type="pct"/>
                  <w:vMerge w:val="continue"/>
                  <w:vAlign w:val="center"/>
                </w:tcPr>
                <w:p>
                  <w:pPr>
                    <w:jc w:val="center"/>
                    <w:rPr>
                      <w:color w:val="auto"/>
                    </w:rPr>
                  </w:pPr>
                </w:p>
              </w:tc>
              <w:tc>
                <w:tcPr>
                  <w:tcW w:w="1020" w:type="pct"/>
                  <w:vAlign w:val="center"/>
                </w:tcPr>
                <w:p>
                  <w:pPr>
                    <w:jc w:val="center"/>
                    <w:rPr>
                      <w:color w:val="auto"/>
                    </w:rPr>
                  </w:pPr>
                  <w:r>
                    <w:rPr>
                      <w:color w:val="auto"/>
                    </w:rPr>
                    <w:t>监测项目</w:t>
                  </w:r>
                </w:p>
              </w:tc>
              <w:tc>
                <w:tcPr>
                  <w:tcW w:w="1935" w:type="pct"/>
                  <w:vAlign w:val="center"/>
                </w:tcPr>
                <w:p>
                  <w:pPr>
                    <w:jc w:val="center"/>
                    <w:rPr>
                      <w:color w:val="auto"/>
                    </w:rPr>
                  </w:pPr>
                  <w:r>
                    <w:rPr>
                      <w:color w:val="auto"/>
                    </w:rPr>
                    <w:t>日最大8h平均浓度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021" w:type="pct"/>
                  <w:vMerge w:val="continue"/>
                  <w:vAlign w:val="center"/>
                </w:tcPr>
                <w:p>
                  <w:pPr>
                    <w:jc w:val="center"/>
                    <w:rPr>
                      <w:color w:val="auto"/>
                    </w:rPr>
                  </w:pPr>
                </w:p>
              </w:tc>
              <w:tc>
                <w:tcPr>
                  <w:tcW w:w="1020" w:type="pct"/>
                  <w:vAlign w:val="center"/>
                </w:tcPr>
                <w:p>
                  <w:pPr>
                    <w:jc w:val="center"/>
                    <w:rPr>
                      <w:color w:val="auto"/>
                    </w:rPr>
                  </w:pPr>
                  <w:r>
                    <w:rPr>
                      <w:color w:val="auto"/>
                    </w:rPr>
                    <w:t>O</w:t>
                  </w:r>
                  <w:r>
                    <w:rPr>
                      <w:color w:val="auto"/>
                      <w:vertAlign w:val="subscript"/>
                    </w:rPr>
                    <w:t>3</w:t>
                  </w:r>
                </w:p>
              </w:tc>
              <w:tc>
                <w:tcPr>
                  <w:tcW w:w="1935" w:type="pct"/>
                  <w:vAlign w:val="center"/>
                </w:tcPr>
                <w:p>
                  <w:pPr>
                    <w:jc w:val="center"/>
                    <w:rPr>
                      <w:color w:val="auto"/>
                    </w:rPr>
                  </w:pPr>
                  <w:r>
                    <w:rPr>
                      <w:color w:val="auto"/>
                    </w:rPr>
                    <w:t>0.08</w:t>
                  </w:r>
                  <w:r>
                    <w:rPr>
                      <w:rFonts w:hint="eastAsia"/>
                      <w:color w:val="auto"/>
                    </w:rPr>
                    <w:t>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restart"/>
                  <w:vAlign w:val="center"/>
                </w:tcPr>
                <w:p>
                  <w:pPr>
                    <w:jc w:val="center"/>
                    <w:rPr>
                      <w:color w:val="auto"/>
                    </w:rPr>
                  </w:pPr>
                  <w:r>
                    <w:rPr>
                      <w:rFonts w:hint="eastAsia"/>
                      <w:color w:val="auto"/>
                    </w:rPr>
                    <w:t>项目区内</w:t>
                  </w:r>
                </w:p>
              </w:tc>
              <w:tc>
                <w:tcPr>
                  <w:tcW w:w="1854" w:type="dxa"/>
                  <w:vAlign w:val="center"/>
                </w:tcPr>
                <w:p>
                  <w:pPr>
                    <w:jc w:val="center"/>
                    <w:rPr>
                      <w:color w:val="auto"/>
                      <w:highlight w:val="yellow"/>
                    </w:rPr>
                  </w:pPr>
                  <w:r>
                    <w:rPr>
                      <w:rFonts w:hint="eastAsia"/>
                      <w:color w:val="auto"/>
                      <w:highlight w:val="none"/>
                    </w:rPr>
                    <w:t>20</w:t>
                  </w:r>
                  <w:r>
                    <w:rPr>
                      <w:rFonts w:hint="eastAsia"/>
                      <w:color w:val="auto"/>
                      <w:highlight w:val="none"/>
                      <w:lang w:val="en-US" w:eastAsia="zh-CN"/>
                    </w:rPr>
                    <w:t>21</w:t>
                  </w:r>
                  <w:r>
                    <w:rPr>
                      <w:rFonts w:hint="eastAsia"/>
                      <w:color w:val="auto"/>
                      <w:highlight w:val="none"/>
                    </w:rPr>
                    <w:t>年</w:t>
                  </w:r>
                  <w:r>
                    <w:rPr>
                      <w:rFonts w:hint="eastAsia"/>
                      <w:color w:val="auto"/>
                      <w:highlight w:val="none"/>
                      <w:lang w:val="en-US" w:eastAsia="zh-CN"/>
                    </w:rPr>
                    <w:t>2</w:t>
                  </w:r>
                  <w:r>
                    <w:rPr>
                      <w:rFonts w:hint="eastAsia"/>
                      <w:color w:val="auto"/>
                      <w:highlight w:val="none"/>
                    </w:rPr>
                    <w:t>月</w:t>
                  </w:r>
                  <w:r>
                    <w:rPr>
                      <w:rFonts w:hint="eastAsia"/>
                      <w:color w:val="auto"/>
                      <w:highlight w:val="none"/>
                      <w:lang w:val="en-US" w:eastAsia="zh-CN"/>
                    </w:rPr>
                    <w:t>7</w:t>
                  </w:r>
                  <w:r>
                    <w:rPr>
                      <w:rFonts w:hint="eastAsia"/>
                      <w:color w:val="auto"/>
                      <w:highlight w:val="none"/>
                    </w:rPr>
                    <w:t>日</w:t>
                  </w:r>
                </w:p>
              </w:tc>
              <w:tc>
                <w:tcPr>
                  <w:tcW w:w="1020" w:type="pct"/>
                  <w:vMerge w:val="restart"/>
                  <w:vAlign w:val="center"/>
                </w:tcPr>
                <w:p>
                  <w:pPr>
                    <w:jc w:val="center"/>
                    <w:rPr>
                      <w:color w:val="auto"/>
                    </w:rPr>
                  </w:pPr>
                  <w:r>
                    <w:rPr>
                      <w:rFonts w:hint="eastAsia"/>
                      <w:color w:val="auto"/>
                    </w:rPr>
                    <w:t>非甲烷总烃</w:t>
                  </w:r>
                </w:p>
              </w:tc>
              <w:tc>
                <w:tcPr>
                  <w:tcW w:w="3512" w:type="dxa"/>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0.6725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854" w:type="dxa"/>
                  <w:vAlign w:val="center"/>
                </w:tcPr>
                <w:p>
                  <w:pPr>
                    <w:jc w:val="center"/>
                    <w:rPr>
                      <w:color w:val="auto"/>
                      <w:highlight w:val="yellow"/>
                    </w:rPr>
                  </w:pPr>
                  <w:r>
                    <w:rPr>
                      <w:rFonts w:hint="eastAsia"/>
                      <w:color w:val="auto"/>
                      <w:highlight w:val="none"/>
                    </w:rPr>
                    <w:t>20</w:t>
                  </w:r>
                  <w:r>
                    <w:rPr>
                      <w:rFonts w:hint="eastAsia"/>
                      <w:color w:val="auto"/>
                      <w:highlight w:val="none"/>
                      <w:lang w:val="en-US" w:eastAsia="zh-CN"/>
                    </w:rPr>
                    <w:t>21</w:t>
                  </w:r>
                  <w:r>
                    <w:rPr>
                      <w:rFonts w:hint="eastAsia"/>
                      <w:color w:val="auto"/>
                      <w:highlight w:val="none"/>
                    </w:rPr>
                    <w:t>年</w:t>
                  </w:r>
                  <w:r>
                    <w:rPr>
                      <w:rFonts w:hint="eastAsia"/>
                      <w:color w:val="auto"/>
                      <w:highlight w:val="none"/>
                      <w:lang w:val="en-US" w:eastAsia="zh-CN"/>
                    </w:rPr>
                    <w:t>2</w:t>
                  </w:r>
                  <w:r>
                    <w:rPr>
                      <w:rFonts w:hint="eastAsia"/>
                      <w:color w:val="auto"/>
                      <w:highlight w:val="none"/>
                    </w:rPr>
                    <w:t>月</w:t>
                  </w:r>
                  <w:r>
                    <w:rPr>
                      <w:rFonts w:hint="eastAsia"/>
                      <w:color w:val="auto"/>
                      <w:highlight w:val="none"/>
                      <w:lang w:val="en-US" w:eastAsia="zh-CN"/>
                    </w:rPr>
                    <w:t>8</w:t>
                  </w:r>
                  <w:r>
                    <w:rPr>
                      <w:rFonts w:hint="eastAsia"/>
                      <w:color w:val="auto"/>
                      <w:highlight w:val="none"/>
                    </w:rPr>
                    <w:t>日</w:t>
                  </w:r>
                </w:p>
              </w:tc>
              <w:tc>
                <w:tcPr>
                  <w:tcW w:w="1020" w:type="pct"/>
                  <w:vMerge w:val="continue"/>
                  <w:vAlign w:val="center"/>
                </w:tcPr>
                <w:p>
                  <w:pPr>
                    <w:jc w:val="center"/>
                    <w:rPr>
                      <w:color w:val="auto"/>
                    </w:rPr>
                  </w:pPr>
                </w:p>
              </w:tc>
              <w:tc>
                <w:tcPr>
                  <w:tcW w:w="3512" w:type="dxa"/>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0.7325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854" w:type="dxa"/>
                  <w:vAlign w:val="center"/>
                </w:tcPr>
                <w:p>
                  <w:pPr>
                    <w:jc w:val="center"/>
                    <w:rPr>
                      <w:color w:val="auto"/>
                      <w:highlight w:val="yellow"/>
                    </w:rPr>
                  </w:pPr>
                  <w:r>
                    <w:rPr>
                      <w:rFonts w:hint="eastAsia"/>
                      <w:color w:val="auto"/>
                      <w:highlight w:val="none"/>
                    </w:rPr>
                    <w:t>20</w:t>
                  </w:r>
                  <w:r>
                    <w:rPr>
                      <w:rFonts w:hint="eastAsia"/>
                      <w:color w:val="auto"/>
                      <w:highlight w:val="none"/>
                      <w:lang w:val="en-US" w:eastAsia="zh-CN"/>
                    </w:rPr>
                    <w:t>21</w:t>
                  </w:r>
                  <w:r>
                    <w:rPr>
                      <w:rFonts w:hint="eastAsia"/>
                      <w:color w:val="auto"/>
                      <w:highlight w:val="none"/>
                    </w:rPr>
                    <w:t>年</w:t>
                  </w:r>
                  <w:r>
                    <w:rPr>
                      <w:rFonts w:hint="eastAsia"/>
                      <w:color w:val="auto"/>
                      <w:highlight w:val="none"/>
                      <w:lang w:val="en-US" w:eastAsia="zh-CN"/>
                    </w:rPr>
                    <w:t>2</w:t>
                  </w:r>
                  <w:r>
                    <w:rPr>
                      <w:rFonts w:hint="eastAsia"/>
                      <w:color w:val="auto"/>
                      <w:highlight w:val="none"/>
                    </w:rPr>
                    <w:t>月</w:t>
                  </w:r>
                  <w:r>
                    <w:rPr>
                      <w:rFonts w:hint="eastAsia"/>
                      <w:color w:val="auto"/>
                      <w:highlight w:val="none"/>
                      <w:lang w:val="en-US" w:eastAsia="zh-CN"/>
                    </w:rPr>
                    <w:t>9</w:t>
                  </w:r>
                  <w:r>
                    <w:rPr>
                      <w:rFonts w:hint="eastAsia"/>
                      <w:color w:val="auto"/>
                      <w:highlight w:val="none"/>
                    </w:rPr>
                    <w:t>日</w:t>
                  </w:r>
                </w:p>
              </w:tc>
              <w:tc>
                <w:tcPr>
                  <w:tcW w:w="1020" w:type="pct"/>
                  <w:vMerge w:val="continue"/>
                  <w:vAlign w:val="center"/>
                </w:tcPr>
                <w:p>
                  <w:pPr>
                    <w:jc w:val="center"/>
                    <w:rPr>
                      <w:color w:val="auto"/>
                    </w:rPr>
                  </w:pPr>
                </w:p>
              </w:tc>
              <w:tc>
                <w:tcPr>
                  <w:tcW w:w="3512" w:type="dxa"/>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854" w:type="dxa"/>
                  <w:vAlign w:val="center"/>
                </w:tcPr>
                <w:p>
                  <w:pPr>
                    <w:jc w:val="center"/>
                    <w:rPr>
                      <w:color w:val="auto"/>
                      <w:highlight w:val="yellow"/>
                    </w:rPr>
                  </w:pPr>
                  <w:r>
                    <w:rPr>
                      <w:rFonts w:hint="eastAsia"/>
                      <w:color w:val="auto"/>
                      <w:highlight w:val="none"/>
                    </w:rPr>
                    <w:t>20</w:t>
                  </w:r>
                  <w:r>
                    <w:rPr>
                      <w:rFonts w:hint="eastAsia"/>
                      <w:color w:val="auto"/>
                      <w:highlight w:val="none"/>
                      <w:lang w:val="en-US" w:eastAsia="zh-CN"/>
                    </w:rPr>
                    <w:t>21</w:t>
                  </w:r>
                  <w:r>
                    <w:rPr>
                      <w:rFonts w:hint="eastAsia"/>
                      <w:color w:val="auto"/>
                      <w:highlight w:val="none"/>
                    </w:rPr>
                    <w:t>年</w:t>
                  </w:r>
                  <w:r>
                    <w:rPr>
                      <w:rFonts w:hint="eastAsia"/>
                      <w:color w:val="auto"/>
                      <w:highlight w:val="none"/>
                      <w:lang w:val="en-US" w:eastAsia="zh-CN"/>
                    </w:rPr>
                    <w:t>2</w:t>
                  </w:r>
                  <w:r>
                    <w:rPr>
                      <w:rFonts w:hint="eastAsia"/>
                      <w:color w:val="auto"/>
                      <w:highlight w:val="none"/>
                    </w:rPr>
                    <w:t>月</w:t>
                  </w:r>
                  <w:r>
                    <w:rPr>
                      <w:rFonts w:hint="eastAsia"/>
                      <w:color w:val="auto"/>
                      <w:highlight w:val="none"/>
                      <w:lang w:val="en-US" w:eastAsia="zh-CN"/>
                    </w:rPr>
                    <w:t>10</w:t>
                  </w:r>
                  <w:r>
                    <w:rPr>
                      <w:rFonts w:hint="eastAsia"/>
                      <w:color w:val="auto"/>
                      <w:highlight w:val="none"/>
                    </w:rPr>
                    <w:t>日</w:t>
                  </w:r>
                </w:p>
              </w:tc>
              <w:tc>
                <w:tcPr>
                  <w:tcW w:w="1020" w:type="pct"/>
                  <w:vMerge w:val="continue"/>
                  <w:vAlign w:val="center"/>
                </w:tcPr>
                <w:p>
                  <w:pPr>
                    <w:jc w:val="center"/>
                    <w:rPr>
                      <w:color w:val="auto"/>
                    </w:rPr>
                  </w:pPr>
                </w:p>
              </w:tc>
              <w:tc>
                <w:tcPr>
                  <w:tcW w:w="3512" w:type="dxa"/>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0.7075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854" w:type="dxa"/>
                  <w:vAlign w:val="center"/>
                </w:tcPr>
                <w:p>
                  <w:pPr>
                    <w:jc w:val="center"/>
                    <w:rPr>
                      <w:color w:val="auto"/>
                      <w:highlight w:val="yellow"/>
                    </w:rPr>
                  </w:pPr>
                  <w:r>
                    <w:rPr>
                      <w:rFonts w:hint="eastAsia"/>
                      <w:color w:val="auto"/>
                      <w:highlight w:val="none"/>
                    </w:rPr>
                    <w:t>20</w:t>
                  </w:r>
                  <w:r>
                    <w:rPr>
                      <w:rFonts w:hint="eastAsia"/>
                      <w:color w:val="auto"/>
                      <w:highlight w:val="none"/>
                      <w:lang w:val="en-US" w:eastAsia="zh-CN"/>
                    </w:rPr>
                    <w:t>21</w:t>
                  </w:r>
                  <w:r>
                    <w:rPr>
                      <w:rFonts w:hint="eastAsia"/>
                      <w:color w:val="auto"/>
                      <w:highlight w:val="none"/>
                    </w:rPr>
                    <w:t>年</w:t>
                  </w:r>
                  <w:r>
                    <w:rPr>
                      <w:rFonts w:hint="eastAsia"/>
                      <w:color w:val="auto"/>
                      <w:highlight w:val="none"/>
                      <w:lang w:val="en-US" w:eastAsia="zh-CN"/>
                    </w:rPr>
                    <w:t>2</w:t>
                  </w:r>
                  <w:r>
                    <w:rPr>
                      <w:rFonts w:hint="eastAsia"/>
                      <w:color w:val="auto"/>
                      <w:highlight w:val="none"/>
                    </w:rPr>
                    <w:t>月</w:t>
                  </w:r>
                  <w:r>
                    <w:rPr>
                      <w:rFonts w:hint="eastAsia"/>
                      <w:color w:val="auto"/>
                      <w:highlight w:val="none"/>
                      <w:lang w:val="en-US" w:eastAsia="zh-CN"/>
                    </w:rPr>
                    <w:t>11</w:t>
                  </w:r>
                  <w:r>
                    <w:rPr>
                      <w:rFonts w:hint="eastAsia"/>
                      <w:color w:val="auto"/>
                      <w:highlight w:val="none"/>
                    </w:rPr>
                    <w:t>日</w:t>
                  </w:r>
                </w:p>
              </w:tc>
              <w:tc>
                <w:tcPr>
                  <w:tcW w:w="1020" w:type="pct"/>
                  <w:vMerge w:val="continue"/>
                  <w:vAlign w:val="center"/>
                </w:tcPr>
                <w:p>
                  <w:pPr>
                    <w:jc w:val="center"/>
                    <w:rPr>
                      <w:color w:val="auto"/>
                    </w:rPr>
                  </w:pPr>
                </w:p>
              </w:tc>
              <w:tc>
                <w:tcPr>
                  <w:tcW w:w="3512" w:type="dxa"/>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0.7275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854" w:type="dxa"/>
                  <w:vAlign w:val="center"/>
                </w:tcPr>
                <w:p>
                  <w:pPr>
                    <w:jc w:val="center"/>
                    <w:rPr>
                      <w:color w:val="auto"/>
                      <w:highlight w:val="yellow"/>
                    </w:rPr>
                  </w:pPr>
                  <w:r>
                    <w:rPr>
                      <w:rFonts w:hint="eastAsia"/>
                      <w:color w:val="auto"/>
                      <w:highlight w:val="none"/>
                    </w:rPr>
                    <w:t>20</w:t>
                  </w:r>
                  <w:r>
                    <w:rPr>
                      <w:rFonts w:hint="eastAsia"/>
                      <w:color w:val="auto"/>
                      <w:highlight w:val="none"/>
                      <w:lang w:val="en-US" w:eastAsia="zh-CN"/>
                    </w:rPr>
                    <w:t>21</w:t>
                  </w:r>
                  <w:r>
                    <w:rPr>
                      <w:rFonts w:hint="eastAsia"/>
                      <w:color w:val="auto"/>
                      <w:highlight w:val="none"/>
                    </w:rPr>
                    <w:t>年</w:t>
                  </w:r>
                  <w:r>
                    <w:rPr>
                      <w:rFonts w:hint="eastAsia"/>
                      <w:color w:val="auto"/>
                      <w:highlight w:val="none"/>
                      <w:lang w:val="en-US" w:eastAsia="zh-CN"/>
                    </w:rPr>
                    <w:t>2</w:t>
                  </w:r>
                  <w:r>
                    <w:rPr>
                      <w:rFonts w:hint="eastAsia"/>
                      <w:color w:val="auto"/>
                      <w:highlight w:val="none"/>
                    </w:rPr>
                    <w:t>月</w:t>
                  </w:r>
                  <w:r>
                    <w:rPr>
                      <w:rFonts w:hint="eastAsia"/>
                      <w:color w:val="auto"/>
                      <w:highlight w:val="none"/>
                      <w:lang w:val="en-US" w:eastAsia="zh-CN"/>
                    </w:rPr>
                    <w:t>12</w:t>
                  </w:r>
                  <w:r>
                    <w:rPr>
                      <w:rFonts w:hint="eastAsia"/>
                      <w:color w:val="auto"/>
                      <w:highlight w:val="none"/>
                    </w:rPr>
                    <w:t>日</w:t>
                  </w:r>
                </w:p>
              </w:tc>
              <w:tc>
                <w:tcPr>
                  <w:tcW w:w="1020" w:type="pct"/>
                  <w:vMerge w:val="continue"/>
                  <w:vAlign w:val="center"/>
                </w:tcPr>
                <w:p>
                  <w:pPr>
                    <w:jc w:val="center"/>
                    <w:rPr>
                      <w:color w:val="auto"/>
                    </w:rPr>
                  </w:pPr>
                </w:p>
              </w:tc>
              <w:tc>
                <w:tcPr>
                  <w:tcW w:w="3512" w:type="dxa"/>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0.6975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21" w:type="pct"/>
                  <w:vMerge w:val="continue"/>
                  <w:vAlign w:val="center"/>
                </w:tcPr>
                <w:p>
                  <w:pPr>
                    <w:jc w:val="center"/>
                    <w:rPr>
                      <w:color w:val="auto"/>
                    </w:rPr>
                  </w:pPr>
                </w:p>
              </w:tc>
              <w:tc>
                <w:tcPr>
                  <w:tcW w:w="1854" w:type="dxa"/>
                  <w:vAlign w:val="center"/>
                </w:tcPr>
                <w:p>
                  <w:pPr>
                    <w:jc w:val="center"/>
                    <w:rPr>
                      <w:color w:val="auto"/>
                      <w:highlight w:val="yellow"/>
                    </w:rPr>
                  </w:pPr>
                  <w:r>
                    <w:rPr>
                      <w:rFonts w:hint="eastAsia"/>
                      <w:color w:val="auto"/>
                      <w:highlight w:val="none"/>
                    </w:rPr>
                    <w:t>20</w:t>
                  </w:r>
                  <w:r>
                    <w:rPr>
                      <w:rFonts w:hint="eastAsia"/>
                      <w:color w:val="auto"/>
                      <w:highlight w:val="none"/>
                      <w:lang w:val="en-US" w:eastAsia="zh-CN"/>
                    </w:rPr>
                    <w:t>21</w:t>
                  </w:r>
                  <w:r>
                    <w:rPr>
                      <w:rFonts w:hint="eastAsia"/>
                      <w:color w:val="auto"/>
                      <w:highlight w:val="none"/>
                    </w:rPr>
                    <w:t>年</w:t>
                  </w:r>
                  <w:r>
                    <w:rPr>
                      <w:rFonts w:hint="eastAsia"/>
                      <w:color w:val="auto"/>
                      <w:highlight w:val="none"/>
                      <w:lang w:val="en-US" w:eastAsia="zh-CN"/>
                    </w:rPr>
                    <w:t>2</w:t>
                  </w:r>
                  <w:r>
                    <w:rPr>
                      <w:rFonts w:hint="eastAsia"/>
                      <w:color w:val="auto"/>
                      <w:highlight w:val="none"/>
                    </w:rPr>
                    <w:t>月</w:t>
                  </w:r>
                  <w:r>
                    <w:rPr>
                      <w:rFonts w:hint="eastAsia"/>
                      <w:color w:val="auto"/>
                      <w:highlight w:val="none"/>
                      <w:lang w:val="en-US" w:eastAsia="zh-CN"/>
                    </w:rPr>
                    <w:t>13</w:t>
                  </w:r>
                  <w:r>
                    <w:rPr>
                      <w:rFonts w:hint="eastAsia"/>
                      <w:color w:val="auto"/>
                      <w:highlight w:val="none"/>
                    </w:rPr>
                    <w:t>日</w:t>
                  </w:r>
                </w:p>
              </w:tc>
              <w:tc>
                <w:tcPr>
                  <w:tcW w:w="1020" w:type="pct"/>
                  <w:vMerge w:val="continue"/>
                  <w:vAlign w:val="center"/>
                </w:tcPr>
                <w:p>
                  <w:pPr>
                    <w:jc w:val="center"/>
                    <w:rPr>
                      <w:color w:val="auto"/>
                    </w:rPr>
                  </w:pPr>
                </w:p>
              </w:tc>
              <w:tc>
                <w:tcPr>
                  <w:tcW w:w="3512" w:type="dxa"/>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w:t>
                  </w:r>
                </w:p>
              </w:tc>
            </w:tr>
          </w:tbl>
          <w:p>
            <w:pPr>
              <w:spacing w:line="520" w:lineRule="exact"/>
              <w:rPr>
                <w:b/>
                <w:color w:val="auto"/>
                <w:sz w:val="28"/>
                <w:szCs w:val="28"/>
              </w:rPr>
            </w:pPr>
            <w:r>
              <w:rPr>
                <w:b/>
                <w:color w:val="auto"/>
                <w:sz w:val="28"/>
                <w:szCs w:val="28"/>
              </w:rPr>
              <w:t>1.</w:t>
            </w:r>
            <w:r>
              <w:rPr>
                <w:rFonts w:hint="eastAsia"/>
                <w:b/>
                <w:color w:val="auto"/>
                <w:sz w:val="28"/>
                <w:szCs w:val="28"/>
              </w:rPr>
              <w:t>3</w:t>
            </w:r>
            <w:r>
              <w:rPr>
                <w:b/>
                <w:color w:val="auto"/>
                <w:sz w:val="28"/>
                <w:szCs w:val="28"/>
              </w:rPr>
              <w:t>环境空气质量现状评价</w:t>
            </w:r>
          </w:p>
          <w:p>
            <w:pPr>
              <w:spacing w:line="520" w:lineRule="exact"/>
              <w:rPr>
                <w:b/>
                <w:color w:val="auto"/>
                <w:sz w:val="28"/>
                <w:szCs w:val="28"/>
              </w:rPr>
            </w:pPr>
            <w:r>
              <w:rPr>
                <w:b/>
                <w:color w:val="auto"/>
                <w:sz w:val="28"/>
                <w:szCs w:val="28"/>
              </w:rPr>
              <w:t>1.</w:t>
            </w:r>
            <w:r>
              <w:rPr>
                <w:rFonts w:hint="eastAsia"/>
                <w:b/>
                <w:color w:val="auto"/>
                <w:sz w:val="28"/>
                <w:szCs w:val="28"/>
              </w:rPr>
              <w:t>3</w:t>
            </w:r>
            <w:r>
              <w:rPr>
                <w:b/>
                <w:color w:val="auto"/>
                <w:sz w:val="28"/>
                <w:szCs w:val="28"/>
              </w:rPr>
              <w:t>.1环境空气质量评价标准</w:t>
            </w:r>
          </w:p>
          <w:p>
            <w:pPr>
              <w:spacing w:line="520" w:lineRule="exact"/>
              <w:ind w:firstLine="560" w:firstLineChars="200"/>
              <w:rPr>
                <w:color w:val="auto"/>
                <w:sz w:val="28"/>
              </w:rPr>
            </w:pPr>
            <w:r>
              <w:rPr>
                <w:color w:val="auto"/>
                <w:sz w:val="28"/>
              </w:rPr>
              <w:t>环境空气中的</w:t>
            </w:r>
            <w:r>
              <w:rPr>
                <w:color w:val="auto"/>
                <w:sz w:val="28"/>
                <w:szCs w:val="28"/>
              </w:rPr>
              <w:t>SO</w:t>
            </w:r>
            <w:r>
              <w:rPr>
                <w:color w:val="auto"/>
                <w:sz w:val="28"/>
                <w:szCs w:val="28"/>
                <w:vertAlign w:val="subscript"/>
              </w:rPr>
              <w:t>2</w:t>
            </w:r>
            <w:r>
              <w:rPr>
                <w:color w:val="auto"/>
                <w:sz w:val="28"/>
                <w:szCs w:val="28"/>
              </w:rPr>
              <w:t>、NO</w:t>
            </w:r>
            <w:r>
              <w:rPr>
                <w:color w:val="auto"/>
                <w:sz w:val="28"/>
                <w:szCs w:val="28"/>
                <w:vertAlign w:val="subscript"/>
              </w:rPr>
              <w:t>2</w:t>
            </w:r>
            <w:r>
              <w:rPr>
                <w:color w:val="auto"/>
                <w:sz w:val="28"/>
                <w:szCs w:val="28"/>
              </w:rPr>
              <w:t>、</w:t>
            </w:r>
            <w:r>
              <w:rPr>
                <w:rFonts w:hint="eastAsia"/>
                <w:color w:val="auto"/>
                <w:sz w:val="28"/>
                <w:szCs w:val="28"/>
              </w:rPr>
              <w:t>PM</w:t>
            </w:r>
            <w:r>
              <w:rPr>
                <w:rFonts w:hint="eastAsia"/>
                <w:color w:val="auto"/>
                <w:sz w:val="28"/>
                <w:szCs w:val="28"/>
                <w:vertAlign w:val="subscript"/>
              </w:rPr>
              <w:t>10</w:t>
            </w:r>
            <w:r>
              <w:rPr>
                <w:rFonts w:hint="eastAsia"/>
                <w:color w:val="auto"/>
                <w:sz w:val="28"/>
                <w:szCs w:val="28"/>
              </w:rPr>
              <w:t>、PM</w:t>
            </w:r>
            <w:r>
              <w:rPr>
                <w:rFonts w:hint="eastAsia"/>
                <w:color w:val="auto"/>
                <w:sz w:val="28"/>
                <w:szCs w:val="28"/>
                <w:vertAlign w:val="subscript"/>
              </w:rPr>
              <w:t>2.5</w:t>
            </w:r>
            <w:r>
              <w:rPr>
                <w:rFonts w:hint="eastAsia"/>
                <w:color w:val="auto"/>
                <w:sz w:val="28"/>
                <w:szCs w:val="28"/>
              </w:rPr>
              <w:t>、CO、O</w:t>
            </w:r>
            <w:r>
              <w:rPr>
                <w:rFonts w:hint="eastAsia"/>
                <w:color w:val="auto"/>
                <w:sz w:val="28"/>
                <w:szCs w:val="28"/>
                <w:vertAlign w:val="subscript"/>
              </w:rPr>
              <w:t>3</w:t>
            </w:r>
            <w:r>
              <w:rPr>
                <w:color w:val="auto"/>
                <w:sz w:val="28"/>
              </w:rPr>
              <w:t>执行《环境空气质量标准》（GB3095</w:t>
            </w:r>
            <w:r>
              <w:rPr>
                <w:rFonts w:hint="eastAsia"/>
                <w:color w:val="auto"/>
                <w:sz w:val="28"/>
              </w:rPr>
              <w:t>—</w:t>
            </w:r>
            <w:r>
              <w:rPr>
                <w:color w:val="auto"/>
                <w:sz w:val="28"/>
              </w:rPr>
              <w:t>2012）</w:t>
            </w:r>
            <w:r>
              <w:rPr>
                <w:rFonts w:hint="eastAsia"/>
                <w:color w:val="auto"/>
                <w:sz w:val="28"/>
              </w:rPr>
              <w:t>中二级标准</w:t>
            </w:r>
            <w:r>
              <w:rPr>
                <w:color w:val="auto"/>
                <w:sz w:val="28"/>
              </w:rPr>
              <w:t>，标准</w:t>
            </w:r>
            <w:r>
              <w:rPr>
                <w:rFonts w:hint="eastAsia"/>
                <w:color w:val="auto"/>
                <w:sz w:val="28"/>
              </w:rPr>
              <w:t>限</w:t>
            </w:r>
            <w:r>
              <w:rPr>
                <w:color w:val="auto"/>
                <w:sz w:val="28"/>
              </w:rPr>
              <w:t>值见表</w:t>
            </w:r>
            <w:r>
              <w:rPr>
                <w:rFonts w:hint="eastAsia"/>
                <w:color w:val="auto"/>
                <w:sz w:val="28"/>
              </w:rPr>
              <w:t>6</w:t>
            </w:r>
            <w:r>
              <w:rPr>
                <w:color w:val="auto"/>
                <w:sz w:val="28"/>
              </w:rPr>
              <w:t>。</w:t>
            </w:r>
          </w:p>
          <w:p>
            <w:pPr>
              <w:ind w:firstLine="480" w:firstLineChars="200"/>
              <w:rPr>
                <w:rFonts w:eastAsia="黑体"/>
                <w:bCs/>
                <w:color w:val="auto"/>
                <w:sz w:val="24"/>
              </w:rPr>
            </w:pPr>
            <w:r>
              <w:rPr>
                <w:rFonts w:eastAsia="黑体"/>
                <w:color w:val="auto"/>
                <w:sz w:val="24"/>
              </w:rPr>
              <w:t>表</w:t>
            </w:r>
            <w:r>
              <w:rPr>
                <w:rFonts w:hint="eastAsia" w:eastAsia="黑体"/>
                <w:color w:val="auto"/>
                <w:sz w:val="24"/>
              </w:rPr>
              <w:t xml:space="preserve">6                </w:t>
            </w:r>
            <w:r>
              <w:rPr>
                <w:rFonts w:hint="eastAsia" w:eastAsia="黑体"/>
                <w:bCs/>
                <w:color w:val="auto"/>
                <w:sz w:val="24"/>
              </w:rPr>
              <w:t>大气环境质量评价标准值               单位：mg/m</w:t>
            </w:r>
            <w:r>
              <w:rPr>
                <w:rFonts w:hint="eastAsia" w:eastAsia="黑体"/>
                <w:bCs/>
                <w:color w:val="auto"/>
                <w:sz w:val="24"/>
                <w:vertAlign w:val="superscript"/>
              </w:rPr>
              <w:t>3</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568"/>
              <w:gridCol w:w="1274"/>
              <w:gridCol w:w="991"/>
              <w:gridCol w:w="1635"/>
              <w:gridCol w:w="1062"/>
              <w:gridCol w:w="354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Merge w:val="restart"/>
                  <w:vAlign w:val="center"/>
                </w:tcPr>
                <w:p>
                  <w:pPr>
                    <w:pStyle w:val="103"/>
                    <w:rPr>
                      <w:rFonts w:ascii="Times New Roman" w:hAnsi="Times New Roman"/>
                      <w:color w:val="auto"/>
                    </w:rPr>
                  </w:pPr>
                  <w:r>
                    <w:rPr>
                      <w:rFonts w:hint="eastAsia" w:ascii="Times New Roman" w:hAnsi="Times New Roman"/>
                      <w:color w:val="auto"/>
                    </w:rPr>
                    <w:t>序号</w:t>
                  </w:r>
                </w:p>
              </w:tc>
              <w:tc>
                <w:tcPr>
                  <w:tcW w:w="702" w:type="pct"/>
                  <w:vMerge w:val="restart"/>
                  <w:vAlign w:val="center"/>
                </w:tcPr>
                <w:p>
                  <w:pPr>
                    <w:pStyle w:val="103"/>
                    <w:rPr>
                      <w:rFonts w:ascii="Times New Roman" w:hAnsi="Times New Roman"/>
                      <w:color w:val="auto"/>
                    </w:rPr>
                  </w:pPr>
                  <w:r>
                    <w:rPr>
                      <w:rFonts w:hint="eastAsia" w:ascii="Times New Roman" w:hAnsi="Times New Roman"/>
                      <w:color w:val="auto"/>
                    </w:rPr>
                    <w:t>污染物</w:t>
                  </w:r>
                </w:p>
              </w:tc>
              <w:tc>
                <w:tcPr>
                  <w:tcW w:w="2032" w:type="pct"/>
                  <w:gridSpan w:val="3"/>
                  <w:vAlign w:val="center"/>
                </w:tcPr>
                <w:p>
                  <w:pPr>
                    <w:pStyle w:val="103"/>
                    <w:rPr>
                      <w:rFonts w:ascii="Times New Roman" w:hAnsi="Times New Roman"/>
                      <w:color w:val="auto"/>
                    </w:rPr>
                  </w:pPr>
                  <w:r>
                    <w:rPr>
                      <w:rFonts w:hint="eastAsia" w:ascii="Times New Roman" w:hAnsi="Times New Roman"/>
                      <w:color w:val="auto"/>
                    </w:rPr>
                    <w:t>浓度限值</w:t>
                  </w:r>
                </w:p>
              </w:tc>
              <w:tc>
                <w:tcPr>
                  <w:tcW w:w="1951" w:type="pct"/>
                  <w:vMerge w:val="restart"/>
                  <w:vAlign w:val="center"/>
                </w:tcPr>
                <w:p>
                  <w:pPr>
                    <w:pStyle w:val="103"/>
                    <w:rPr>
                      <w:rFonts w:ascii="Times New Roman" w:hAnsi="Times New Roman"/>
                      <w:color w:val="auto"/>
                    </w:rPr>
                  </w:pPr>
                  <w:r>
                    <w:rPr>
                      <w:rFonts w:hint="eastAsia" w:ascii="Times New Roman" w:hAnsi="Times New Roman"/>
                      <w:color w:val="auto"/>
                    </w:rPr>
                    <w:t>标准来源</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Merge w:val="continue"/>
                  <w:vAlign w:val="center"/>
                </w:tcPr>
                <w:p>
                  <w:pPr>
                    <w:pStyle w:val="103"/>
                    <w:rPr>
                      <w:rFonts w:ascii="Times New Roman" w:hAnsi="Times New Roman"/>
                      <w:color w:val="auto"/>
                    </w:rPr>
                  </w:pPr>
                </w:p>
              </w:tc>
              <w:tc>
                <w:tcPr>
                  <w:tcW w:w="702" w:type="pct"/>
                  <w:vMerge w:val="continue"/>
                  <w:vAlign w:val="center"/>
                </w:tcPr>
                <w:p>
                  <w:pPr>
                    <w:pStyle w:val="103"/>
                    <w:rPr>
                      <w:rFonts w:ascii="Times New Roman" w:hAnsi="Times New Roman"/>
                      <w:color w:val="auto"/>
                    </w:rPr>
                  </w:pPr>
                </w:p>
              </w:tc>
              <w:tc>
                <w:tcPr>
                  <w:tcW w:w="546" w:type="pct"/>
                  <w:vAlign w:val="center"/>
                </w:tcPr>
                <w:p>
                  <w:pPr>
                    <w:pStyle w:val="103"/>
                    <w:rPr>
                      <w:rFonts w:ascii="Times New Roman" w:hAnsi="Times New Roman"/>
                      <w:color w:val="auto"/>
                    </w:rPr>
                  </w:pPr>
                  <w:r>
                    <w:rPr>
                      <w:rFonts w:hint="eastAsia" w:ascii="Times New Roman" w:hAnsi="Times New Roman"/>
                      <w:color w:val="auto"/>
                    </w:rPr>
                    <w:t>1小时平均</w:t>
                  </w:r>
                </w:p>
              </w:tc>
              <w:tc>
                <w:tcPr>
                  <w:tcW w:w="901" w:type="pct"/>
                  <w:vAlign w:val="center"/>
                </w:tcPr>
                <w:p>
                  <w:pPr>
                    <w:pStyle w:val="103"/>
                    <w:rPr>
                      <w:rFonts w:ascii="Times New Roman" w:hAnsi="Times New Roman"/>
                      <w:color w:val="auto"/>
                    </w:rPr>
                  </w:pPr>
                  <w:r>
                    <w:rPr>
                      <w:rFonts w:hint="eastAsia" w:ascii="Times New Roman" w:hAnsi="Times New Roman"/>
                      <w:color w:val="auto"/>
                    </w:rPr>
                    <w:t>日平均</w:t>
                  </w:r>
                </w:p>
              </w:tc>
              <w:tc>
                <w:tcPr>
                  <w:tcW w:w="585" w:type="pct"/>
                  <w:vAlign w:val="center"/>
                </w:tcPr>
                <w:p>
                  <w:pPr>
                    <w:pStyle w:val="103"/>
                    <w:rPr>
                      <w:rFonts w:ascii="Times New Roman" w:hAnsi="Times New Roman"/>
                      <w:color w:val="auto"/>
                    </w:rPr>
                  </w:pPr>
                  <w:r>
                    <w:rPr>
                      <w:rFonts w:hint="eastAsia" w:ascii="Times New Roman" w:hAnsi="Times New Roman"/>
                      <w:color w:val="auto"/>
                    </w:rPr>
                    <w:t>年平均</w:t>
                  </w:r>
                </w:p>
              </w:tc>
              <w:tc>
                <w:tcPr>
                  <w:tcW w:w="1951" w:type="pct"/>
                  <w:vMerge w:val="continue"/>
                  <w:vAlign w:val="center"/>
                </w:tcPr>
                <w:p>
                  <w:pPr>
                    <w:pStyle w:val="103"/>
                    <w:rPr>
                      <w:rFonts w:ascii="Times New Roman" w:hAnsi="Times New Roman"/>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Align w:val="center"/>
                </w:tcPr>
                <w:p>
                  <w:pPr>
                    <w:pStyle w:val="103"/>
                    <w:rPr>
                      <w:rFonts w:ascii="Times New Roman" w:hAnsi="Times New Roman"/>
                      <w:color w:val="auto"/>
                    </w:rPr>
                  </w:pPr>
                  <w:r>
                    <w:rPr>
                      <w:rFonts w:hint="eastAsia" w:ascii="Times New Roman" w:hAnsi="Times New Roman"/>
                      <w:color w:val="auto"/>
                    </w:rPr>
                    <w:t>1</w:t>
                  </w:r>
                </w:p>
              </w:tc>
              <w:tc>
                <w:tcPr>
                  <w:tcW w:w="702" w:type="pct"/>
                  <w:vAlign w:val="center"/>
                </w:tcPr>
                <w:p>
                  <w:pPr>
                    <w:pStyle w:val="103"/>
                    <w:rPr>
                      <w:rFonts w:ascii="Times New Roman" w:hAnsi="Times New Roman"/>
                      <w:color w:val="auto"/>
                    </w:rPr>
                  </w:pPr>
                  <w:r>
                    <w:rPr>
                      <w:rFonts w:hint="eastAsia" w:ascii="Times New Roman" w:hAnsi="Times New Roman"/>
                      <w:color w:val="auto"/>
                    </w:rPr>
                    <w:t>SO</w:t>
                  </w:r>
                  <w:r>
                    <w:rPr>
                      <w:rFonts w:hint="eastAsia" w:ascii="Times New Roman" w:hAnsi="Times New Roman"/>
                      <w:color w:val="auto"/>
                      <w:vertAlign w:val="subscript"/>
                    </w:rPr>
                    <w:t>2</w:t>
                  </w:r>
                </w:p>
              </w:tc>
              <w:tc>
                <w:tcPr>
                  <w:tcW w:w="546" w:type="pct"/>
                  <w:vAlign w:val="center"/>
                </w:tcPr>
                <w:p>
                  <w:pPr>
                    <w:pStyle w:val="103"/>
                    <w:rPr>
                      <w:rFonts w:ascii="Times New Roman" w:hAnsi="Times New Roman"/>
                      <w:color w:val="auto"/>
                    </w:rPr>
                  </w:pPr>
                  <w:r>
                    <w:rPr>
                      <w:rFonts w:hint="eastAsia" w:ascii="Times New Roman" w:hAnsi="Times New Roman"/>
                      <w:color w:val="auto"/>
                    </w:rPr>
                    <w:t>0.5</w:t>
                  </w:r>
                </w:p>
              </w:tc>
              <w:tc>
                <w:tcPr>
                  <w:tcW w:w="901" w:type="pct"/>
                  <w:vAlign w:val="center"/>
                </w:tcPr>
                <w:p>
                  <w:pPr>
                    <w:pStyle w:val="103"/>
                    <w:rPr>
                      <w:rFonts w:ascii="Times New Roman" w:hAnsi="Times New Roman"/>
                      <w:color w:val="auto"/>
                    </w:rPr>
                  </w:pPr>
                  <w:r>
                    <w:rPr>
                      <w:rFonts w:hint="eastAsia" w:ascii="Times New Roman" w:hAnsi="Times New Roman"/>
                      <w:color w:val="auto"/>
                    </w:rPr>
                    <w:t>0.15</w:t>
                  </w:r>
                </w:p>
              </w:tc>
              <w:tc>
                <w:tcPr>
                  <w:tcW w:w="585" w:type="pct"/>
                  <w:vAlign w:val="center"/>
                </w:tcPr>
                <w:p>
                  <w:pPr>
                    <w:pStyle w:val="103"/>
                    <w:rPr>
                      <w:rFonts w:ascii="Times New Roman" w:hAnsi="Times New Roman"/>
                      <w:color w:val="auto"/>
                    </w:rPr>
                  </w:pPr>
                  <w:r>
                    <w:rPr>
                      <w:rFonts w:hint="eastAsia" w:ascii="Times New Roman" w:hAnsi="Times New Roman"/>
                      <w:color w:val="auto"/>
                    </w:rPr>
                    <w:t>0.06</w:t>
                  </w:r>
                </w:p>
              </w:tc>
              <w:tc>
                <w:tcPr>
                  <w:tcW w:w="1951" w:type="pct"/>
                  <w:vMerge w:val="restart"/>
                  <w:vAlign w:val="center"/>
                </w:tcPr>
                <w:p>
                  <w:pPr>
                    <w:pStyle w:val="103"/>
                    <w:rPr>
                      <w:rFonts w:ascii="Times New Roman" w:hAnsi="Times New Roman"/>
                      <w:color w:val="auto"/>
                    </w:rPr>
                  </w:pPr>
                  <w:r>
                    <w:rPr>
                      <w:rFonts w:hint="eastAsia" w:ascii="Times New Roman" w:hAnsi="Times New Roman"/>
                      <w:color w:val="auto"/>
                    </w:rPr>
                    <w:t>《环境空气质量标准》（GB3095—2012）的二级标准</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Align w:val="center"/>
                </w:tcPr>
                <w:p>
                  <w:pPr>
                    <w:pStyle w:val="103"/>
                    <w:rPr>
                      <w:rFonts w:ascii="Times New Roman" w:hAnsi="Times New Roman"/>
                      <w:color w:val="auto"/>
                    </w:rPr>
                  </w:pPr>
                  <w:r>
                    <w:rPr>
                      <w:rFonts w:hint="eastAsia" w:ascii="Times New Roman" w:hAnsi="Times New Roman"/>
                      <w:color w:val="auto"/>
                    </w:rPr>
                    <w:t>2</w:t>
                  </w:r>
                </w:p>
              </w:tc>
              <w:tc>
                <w:tcPr>
                  <w:tcW w:w="702" w:type="pct"/>
                  <w:vAlign w:val="center"/>
                </w:tcPr>
                <w:p>
                  <w:pPr>
                    <w:pStyle w:val="103"/>
                    <w:rPr>
                      <w:rFonts w:ascii="Times New Roman" w:hAnsi="Times New Roman"/>
                      <w:color w:val="auto"/>
                    </w:rPr>
                  </w:pPr>
                  <w:r>
                    <w:rPr>
                      <w:rFonts w:hint="eastAsia" w:ascii="Times New Roman" w:hAnsi="Times New Roman"/>
                      <w:color w:val="auto"/>
                    </w:rPr>
                    <w:t>NO</w:t>
                  </w:r>
                  <w:r>
                    <w:rPr>
                      <w:rFonts w:hint="eastAsia" w:ascii="Times New Roman" w:hAnsi="Times New Roman"/>
                      <w:color w:val="auto"/>
                      <w:vertAlign w:val="subscript"/>
                    </w:rPr>
                    <w:t>2</w:t>
                  </w:r>
                </w:p>
              </w:tc>
              <w:tc>
                <w:tcPr>
                  <w:tcW w:w="546" w:type="pct"/>
                  <w:vAlign w:val="center"/>
                </w:tcPr>
                <w:p>
                  <w:pPr>
                    <w:pStyle w:val="103"/>
                    <w:rPr>
                      <w:rFonts w:ascii="Times New Roman" w:hAnsi="Times New Roman"/>
                      <w:color w:val="auto"/>
                    </w:rPr>
                  </w:pPr>
                  <w:r>
                    <w:rPr>
                      <w:rFonts w:hint="eastAsia" w:ascii="Times New Roman" w:hAnsi="Times New Roman"/>
                      <w:color w:val="auto"/>
                    </w:rPr>
                    <w:t>0.20</w:t>
                  </w:r>
                </w:p>
              </w:tc>
              <w:tc>
                <w:tcPr>
                  <w:tcW w:w="901" w:type="pct"/>
                  <w:vAlign w:val="center"/>
                </w:tcPr>
                <w:p>
                  <w:pPr>
                    <w:pStyle w:val="103"/>
                    <w:rPr>
                      <w:rFonts w:ascii="Times New Roman" w:hAnsi="Times New Roman"/>
                      <w:color w:val="auto"/>
                    </w:rPr>
                  </w:pPr>
                  <w:r>
                    <w:rPr>
                      <w:rFonts w:hint="eastAsia" w:ascii="Times New Roman" w:hAnsi="Times New Roman"/>
                      <w:color w:val="auto"/>
                    </w:rPr>
                    <w:t>0.08</w:t>
                  </w:r>
                </w:p>
              </w:tc>
              <w:tc>
                <w:tcPr>
                  <w:tcW w:w="585" w:type="pct"/>
                  <w:vAlign w:val="center"/>
                </w:tcPr>
                <w:p>
                  <w:pPr>
                    <w:pStyle w:val="103"/>
                    <w:rPr>
                      <w:rFonts w:ascii="Times New Roman" w:hAnsi="Times New Roman"/>
                      <w:color w:val="auto"/>
                    </w:rPr>
                  </w:pPr>
                  <w:r>
                    <w:rPr>
                      <w:rFonts w:hint="eastAsia" w:ascii="Times New Roman" w:hAnsi="Times New Roman"/>
                      <w:color w:val="auto"/>
                    </w:rPr>
                    <w:t>0.04</w:t>
                  </w:r>
                </w:p>
              </w:tc>
              <w:tc>
                <w:tcPr>
                  <w:tcW w:w="1951" w:type="pct"/>
                  <w:vMerge w:val="continue"/>
                  <w:vAlign w:val="center"/>
                </w:tcPr>
                <w:p>
                  <w:pPr>
                    <w:pStyle w:val="103"/>
                    <w:rPr>
                      <w:rFonts w:ascii="Times New Roman" w:hAnsi="Times New Roman"/>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Align w:val="center"/>
                </w:tcPr>
                <w:p>
                  <w:pPr>
                    <w:pStyle w:val="103"/>
                    <w:rPr>
                      <w:rFonts w:ascii="Times New Roman" w:hAnsi="Times New Roman"/>
                      <w:color w:val="auto"/>
                    </w:rPr>
                  </w:pPr>
                  <w:r>
                    <w:rPr>
                      <w:rFonts w:hint="eastAsia" w:ascii="Times New Roman" w:hAnsi="Times New Roman"/>
                      <w:color w:val="auto"/>
                    </w:rPr>
                    <w:t>3</w:t>
                  </w:r>
                </w:p>
              </w:tc>
              <w:tc>
                <w:tcPr>
                  <w:tcW w:w="702" w:type="pct"/>
                  <w:vAlign w:val="center"/>
                </w:tcPr>
                <w:p>
                  <w:pPr>
                    <w:pStyle w:val="103"/>
                    <w:rPr>
                      <w:rFonts w:ascii="Times New Roman" w:hAnsi="Times New Roman"/>
                      <w:color w:val="auto"/>
                    </w:rPr>
                  </w:pPr>
                  <w:r>
                    <w:rPr>
                      <w:rFonts w:hint="eastAsia" w:ascii="Times New Roman" w:hAnsi="Times New Roman"/>
                      <w:color w:val="auto"/>
                    </w:rPr>
                    <w:t>PM</w:t>
                  </w:r>
                  <w:r>
                    <w:rPr>
                      <w:rFonts w:hint="eastAsia" w:ascii="Times New Roman" w:hAnsi="Times New Roman"/>
                      <w:color w:val="auto"/>
                      <w:vertAlign w:val="subscript"/>
                    </w:rPr>
                    <w:t>10</w:t>
                  </w:r>
                </w:p>
              </w:tc>
              <w:tc>
                <w:tcPr>
                  <w:tcW w:w="546" w:type="pct"/>
                  <w:vAlign w:val="center"/>
                </w:tcPr>
                <w:p>
                  <w:pPr>
                    <w:pStyle w:val="103"/>
                    <w:rPr>
                      <w:rFonts w:ascii="Times New Roman" w:hAnsi="Times New Roman"/>
                      <w:color w:val="auto"/>
                    </w:rPr>
                  </w:pPr>
                  <w:r>
                    <w:rPr>
                      <w:rFonts w:hint="eastAsia" w:ascii="Times New Roman" w:hAnsi="Times New Roman"/>
                      <w:color w:val="auto"/>
                    </w:rPr>
                    <w:t>/</w:t>
                  </w:r>
                </w:p>
              </w:tc>
              <w:tc>
                <w:tcPr>
                  <w:tcW w:w="901" w:type="pct"/>
                  <w:vAlign w:val="center"/>
                </w:tcPr>
                <w:p>
                  <w:pPr>
                    <w:pStyle w:val="103"/>
                    <w:rPr>
                      <w:rFonts w:ascii="Times New Roman" w:hAnsi="Times New Roman"/>
                      <w:color w:val="auto"/>
                    </w:rPr>
                  </w:pPr>
                  <w:r>
                    <w:rPr>
                      <w:rFonts w:hint="eastAsia" w:ascii="Times New Roman" w:hAnsi="Times New Roman"/>
                      <w:color w:val="auto"/>
                    </w:rPr>
                    <w:t>0.15</w:t>
                  </w:r>
                </w:p>
              </w:tc>
              <w:tc>
                <w:tcPr>
                  <w:tcW w:w="585" w:type="pct"/>
                  <w:vAlign w:val="center"/>
                </w:tcPr>
                <w:p>
                  <w:pPr>
                    <w:pStyle w:val="103"/>
                    <w:rPr>
                      <w:rFonts w:ascii="Times New Roman" w:hAnsi="Times New Roman"/>
                      <w:color w:val="auto"/>
                    </w:rPr>
                  </w:pPr>
                  <w:r>
                    <w:rPr>
                      <w:rFonts w:hint="eastAsia" w:ascii="Times New Roman" w:hAnsi="Times New Roman"/>
                      <w:color w:val="auto"/>
                    </w:rPr>
                    <w:t>0.07</w:t>
                  </w:r>
                </w:p>
              </w:tc>
              <w:tc>
                <w:tcPr>
                  <w:tcW w:w="1951" w:type="pct"/>
                  <w:vMerge w:val="continue"/>
                  <w:vAlign w:val="center"/>
                </w:tcPr>
                <w:p>
                  <w:pPr>
                    <w:pStyle w:val="103"/>
                    <w:rPr>
                      <w:rFonts w:ascii="Times New Roman" w:hAnsi="Times New Roman"/>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Align w:val="center"/>
                </w:tcPr>
                <w:p>
                  <w:pPr>
                    <w:pStyle w:val="103"/>
                    <w:rPr>
                      <w:rFonts w:ascii="Times New Roman" w:hAnsi="Times New Roman"/>
                      <w:color w:val="auto"/>
                    </w:rPr>
                  </w:pPr>
                  <w:r>
                    <w:rPr>
                      <w:rFonts w:hint="eastAsia" w:ascii="Times New Roman" w:hAnsi="Times New Roman"/>
                      <w:color w:val="auto"/>
                    </w:rPr>
                    <w:t>4</w:t>
                  </w:r>
                </w:p>
              </w:tc>
              <w:tc>
                <w:tcPr>
                  <w:tcW w:w="702" w:type="pct"/>
                  <w:vAlign w:val="center"/>
                </w:tcPr>
                <w:p>
                  <w:pPr>
                    <w:pStyle w:val="103"/>
                    <w:rPr>
                      <w:rFonts w:ascii="Times New Roman" w:hAnsi="Times New Roman"/>
                      <w:color w:val="auto"/>
                    </w:rPr>
                  </w:pPr>
                  <w:r>
                    <w:rPr>
                      <w:rFonts w:ascii="Times New Roman" w:hAnsi="Times New Roman"/>
                      <w:color w:val="auto"/>
                    </w:rPr>
                    <w:t>PM</w:t>
                  </w:r>
                  <w:r>
                    <w:rPr>
                      <w:rFonts w:ascii="Times New Roman" w:hAnsi="Times New Roman"/>
                      <w:color w:val="auto"/>
                      <w:vertAlign w:val="subscript"/>
                    </w:rPr>
                    <w:t>2.5</w:t>
                  </w:r>
                </w:p>
              </w:tc>
              <w:tc>
                <w:tcPr>
                  <w:tcW w:w="546" w:type="pct"/>
                  <w:vAlign w:val="center"/>
                </w:tcPr>
                <w:p>
                  <w:pPr>
                    <w:pStyle w:val="103"/>
                    <w:rPr>
                      <w:rFonts w:ascii="Times New Roman" w:hAnsi="Times New Roman"/>
                      <w:color w:val="auto"/>
                    </w:rPr>
                  </w:pPr>
                  <w:r>
                    <w:rPr>
                      <w:rFonts w:hint="eastAsia" w:ascii="Times New Roman" w:hAnsi="Times New Roman"/>
                      <w:color w:val="auto"/>
                    </w:rPr>
                    <w:t>/</w:t>
                  </w:r>
                </w:p>
              </w:tc>
              <w:tc>
                <w:tcPr>
                  <w:tcW w:w="901" w:type="pct"/>
                  <w:vAlign w:val="center"/>
                </w:tcPr>
                <w:p>
                  <w:pPr>
                    <w:pStyle w:val="103"/>
                    <w:rPr>
                      <w:rFonts w:ascii="Times New Roman" w:hAnsi="Times New Roman"/>
                      <w:color w:val="auto"/>
                    </w:rPr>
                  </w:pPr>
                  <w:r>
                    <w:rPr>
                      <w:rFonts w:hint="eastAsia" w:ascii="Times New Roman" w:hAnsi="Times New Roman"/>
                      <w:color w:val="auto"/>
                    </w:rPr>
                    <w:t>0.075</w:t>
                  </w:r>
                </w:p>
              </w:tc>
              <w:tc>
                <w:tcPr>
                  <w:tcW w:w="585" w:type="pct"/>
                  <w:vAlign w:val="center"/>
                </w:tcPr>
                <w:p>
                  <w:pPr>
                    <w:pStyle w:val="103"/>
                    <w:rPr>
                      <w:rFonts w:ascii="Times New Roman" w:hAnsi="Times New Roman"/>
                      <w:color w:val="auto"/>
                    </w:rPr>
                  </w:pPr>
                  <w:r>
                    <w:rPr>
                      <w:rFonts w:hint="eastAsia" w:ascii="Times New Roman" w:hAnsi="Times New Roman"/>
                      <w:color w:val="auto"/>
                    </w:rPr>
                    <w:t>0.035</w:t>
                  </w:r>
                </w:p>
              </w:tc>
              <w:tc>
                <w:tcPr>
                  <w:tcW w:w="1951" w:type="pct"/>
                  <w:vMerge w:val="continue"/>
                  <w:vAlign w:val="center"/>
                </w:tcPr>
                <w:p>
                  <w:pPr>
                    <w:pStyle w:val="103"/>
                    <w:rPr>
                      <w:rFonts w:ascii="Times New Roman" w:hAnsi="Times New Roman"/>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Align w:val="center"/>
                </w:tcPr>
                <w:p>
                  <w:pPr>
                    <w:pStyle w:val="103"/>
                    <w:rPr>
                      <w:rFonts w:ascii="Times New Roman" w:hAnsi="Times New Roman"/>
                      <w:color w:val="auto"/>
                    </w:rPr>
                  </w:pPr>
                  <w:r>
                    <w:rPr>
                      <w:rFonts w:hint="eastAsia" w:ascii="Times New Roman" w:hAnsi="Times New Roman"/>
                      <w:color w:val="auto"/>
                    </w:rPr>
                    <w:t>5</w:t>
                  </w:r>
                </w:p>
              </w:tc>
              <w:tc>
                <w:tcPr>
                  <w:tcW w:w="702" w:type="pct"/>
                  <w:vAlign w:val="center"/>
                </w:tcPr>
                <w:p>
                  <w:pPr>
                    <w:pStyle w:val="103"/>
                    <w:rPr>
                      <w:rFonts w:ascii="Times New Roman" w:hAnsi="Times New Roman"/>
                      <w:color w:val="auto"/>
                    </w:rPr>
                  </w:pPr>
                  <w:r>
                    <w:rPr>
                      <w:rFonts w:ascii="Times New Roman" w:hAnsi="Times New Roman"/>
                      <w:color w:val="auto"/>
                    </w:rPr>
                    <w:t>CO</w:t>
                  </w:r>
                </w:p>
              </w:tc>
              <w:tc>
                <w:tcPr>
                  <w:tcW w:w="546" w:type="pct"/>
                  <w:vAlign w:val="center"/>
                </w:tcPr>
                <w:p>
                  <w:pPr>
                    <w:pStyle w:val="103"/>
                    <w:rPr>
                      <w:rFonts w:ascii="Times New Roman" w:hAnsi="Times New Roman"/>
                      <w:color w:val="auto"/>
                    </w:rPr>
                  </w:pPr>
                  <w:r>
                    <w:rPr>
                      <w:rFonts w:hint="eastAsia" w:ascii="Times New Roman" w:hAnsi="Times New Roman"/>
                      <w:color w:val="auto"/>
                    </w:rPr>
                    <w:t>10</w:t>
                  </w:r>
                </w:p>
              </w:tc>
              <w:tc>
                <w:tcPr>
                  <w:tcW w:w="901" w:type="pct"/>
                  <w:vAlign w:val="center"/>
                </w:tcPr>
                <w:p>
                  <w:pPr>
                    <w:pStyle w:val="103"/>
                    <w:rPr>
                      <w:rFonts w:ascii="Times New Roman" w:hAnsi="Times New Roman"/>
                      <w:color w:val="auto"/>
                    </w:rPr>
                  </w:pPr>
                  <w:r>
                    <w:rPr>
                      <w:rFonts w:hint="eastAsia" w:ascii="Times New Roman" w:hAnsi="Times New Roman"/>
                      <w:color w:val="auto"/>
                    </w:rPr>
                    <w:t>4</w:t>
                  </w:r>
                </w:p>
              </w:tc>
              <w:tc>
                <w:tcPr>
                  <w:tcW w:w="585" w:type="pct"/>
                  <w:vAlign w:val="center"/>
                </w:tcPr>
                <w:p>
                  <w:pPr>
                    <w:pStyle w:val="103"/>
                    <w:rPr>
                      <w:rFonts w:ascii="Times New Roman" w:hAnsi="Times New Roman"/>
                      <w:color w:val="auto"/>
                    </w:rPr>
                  </w:pPr>
                  <w:r>
                    <w:rPr>
                      <w:rFonts w:hint="eastAsia" w:ascii="Times New Roman" w:hAnsi="Times New Roman"/>
                      <w:color w:val="auto"/>
                    </w:rPr>
                    <w:t>/</w:t>
                  </w:r>
                </w:p>
              </w:tc>
              <w:tc>
                <w:tcPr>
                  <w:tcW w:w="1951" w:type="pct"/>
                  <w:vMerge w:val="continue"/>
                  <w:vAlign w:val="center"/>
                </w:tcPr>
                <w:p>
                  <w:pPr>
                    <w:pStyle w:val="103"/>
                    <w:rPr>
                      <w:rFonts w:ascii="Times New Roman" w:hAnsi="Times New Roman"/>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Align w:val="center"/>
                </w:tcPr>
                <w:p>
                  <w:pPr>
                    <w:pStyle w:val="103"/>
                    <w:rPr>
                      <w:rFonts w:ascii="Times New Roman" w:hAnsi="Times New Roman"/>
                      <w:color w:val="auto"/>
                    </w:rPr>
                  </w:pPr>
                  <w:r>
                    <w:rPr>
                      <w:rFonts w:hint="eastAsia" w:ascii="Times New Roman" w:hAnsi="Times New Roman"/>
                      <w:color w:val="auto"/>
                    </w:rPr>
                    <w:t>6</w:t>
                  </w:r>
                </w:p>
              </w:tc>
              <w:tc>
                <w:tcPr>
                  <w:tcW w:w="702" w:type="pct"/>
                  <w:vAlign w:val="center"/>
                </w:tcPr>
                <w:p>
                  <w:pPr>
                    <w:pStyle w:val="103"/>
                    <w:rPr>
                      <w:rFonts w:ascii="Times New Roman" w:hAnsi="Times New Roman"/>
                      <w:color w:val="auto"/>
                    </w:rPr>
                  </w:pPr>
                  <w:r>
                    <w:rPr>
                      <w:rFonts w:hint="eastAsia" w:ascii="Times New Roman" w:hAnsi="Times New Roman"/>
                      <w:color w:val="auto"/>
                    </w:rPr>
                    <w:t>O</w:t>
                  </w:r>
                  <w:r>
                    <w:rPr>
                      <w:rFonts w:hint="eastAsia" w:ascii="Times New Roman" w:hAnsi="Times New Roman"/>
                      <w:color w:val="auto"/>
                      <w:vertAlign w:val="subscript"/>
                    </w:rPr>
                    <w:t>3</w:t>
                  </w:r>
                </w:p>
              </w:tc>
              <w:tc>
                <w:tcPr>
                  <w:tcW w:w="546" w:type="pct"/>
                  <w:vAlign w:val="center"/>
                </w:tcPr>
                <w:p>
                  <w:pPr>
                    <w:pStyle w:val="103"/>
                    <w:rPr>
                      <w:rFonts w:ascii="Times New Roman" w:hAnsi="Times New Roman"/>
                      <w:color w:val="auto"/>
                    </w:rPr>
                  </w:pPr>
                  <w:r>
                    <w:rPr>
                      <w:rFonts w:hint="eastAsia" w:ascii="Times New Roman" w:hAnsi="Times New Roman"/>
                      <w:color w:val="auto"/>
                    </w:rPr>
                    <w:t>0.2</w:t>
                  </w:r>
                </w:p>
              </w:tc>
              <w:tc>
                <w:tcPr>
                  <w:tcW w:w="901" w:type="pct"/>
                  <w:vAlign w:val="center"/>
                </w:tcPr>
                <w:p>
                  <w:pPr>
                    <w:pStyle w:val="103"/>
                    <w:rPr>
                      <w:rFonts w:ascii="Times New Roman" w:hAnsi="Times New Roman"/>
                      <w:color w:val="auto"/>
                    </w:rPr>
                  </w:pPr>
                  <w:r>
                    <w:rPr>
                      <w:rFonts w:hint="eastAsia" w:ascii="Times New Roman" w:hAnsi="Times New Roman"/>
                      <w:color w:val="auto"/>
                    </w:rPr>
                    <w:t>0.16（日最大8h平均）</w:t>
                  </w:r>
                </w:p>
              </w:tc>
              <w:tc>
                <w:tcPr>
                  <w:tcW w:w="585" w:type="pct"/>
                  <w:vAlign w:val="center"/>
                </w:tcPr>
                <w:p>
                  <w:pPr>
                    <w:pStyle w:val="103"/>
                    <w:rPr>
                      <w:rFonts w:ascii="Times New Roman" w:hAnsi="Times New Roman"/>
                      <w:color w:val="auto"/>
                    </w:rPr>
                  </w:pPr>
                  <w:r>
                    <w:rPr>
                      <w:rFonts w:hint="eastAsia" w:ascii="Times New Roman" w:hAnsi="Times New Roman"/>
                      <w:color w:val="auto"/>
                    </w:rPr>
                    <w:t>/</w:t>
                  </w:r>
                </w:p>
              </w:tc>
              <w:tc>
                <w:tcPr>
                  <w:tcW w:w="1951" w:type="pct"/>
                  <w:vMerge w:val="continue"/>
                  <w:vAlign w:val="center"/>
                </w:tcPr>
                <w:p>
                  <w:pPr>
                    <w:pStyle w:val="103"/>
                    <w:rPr>
                      <w:rFonts w:ascii="Times New Roman" w:hAnsi="Times New Roman"/>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13" w:type="pct"/>
                  <w:vAlign w:val="center"/>
                </w:tcPr>
                <w:p>
                  <w:pPr>
                    <w:pStyle w:val="103"/>
                    <w:rPr>
                      <w:rFonts w:ascii="Times New Roman" w:hAnsi="Times New Roman"/>
                      <w:color w:val="auto"/>
                    </w:rPr>
                  </w:pPr>
                  <w:r>
                    <w:rPr>
                      <w:rFonts w:hint="eastAsia" w:ascii="Times New Roman" w:hAnsi="Times New Roman"/>
                      <w:color w:val="auto"/>
                    </w:rPr>
                    <w:t>7</w:t>
                  </w:r>
                </w:p>
              </w:tc>
              <w:tc>
                <w:tcPr>
                  <w:tcW w:w="702" w:type="pct"/>
                  <w:vAlign w:val="center"/>
                </w:tcPr>
                <w:p>
                  <w:pPr>
                    <w:pStyle w:val="103"/>
                    <w:rPr>
                      <w:rFonts w:ascii="Times New Roman" w:hAnsi="Times New Roman"/>
                      <w:color w:val="auto"/>
                    </w:rPr>
                  </w:pPr>
                  <w:r>
                    <w:rPr>
                      <w:rFonts w:hint="eastAsia" w:ascii="Times New Roman" w:hAnsi="Times New Roman"/>
                      <w:color w:val="auto"/>
                    </w:rPr>
                    <w:t>非甲烷总烃</w:t>
                  </w:r>
                </w:p>
              </w:tc>
              <w:tc>
                <w:tcPr>
                  <w:tcW w:w="2032" w:type="pct"/>
                  <w:gridSpan w:val="3"/>
                  <w:vAlign w:val="center"/>
                </w:tcPr>
                <w:p>
                  <w:pPr>
                    <w:pStyle w:val="103"/>
                    <w:rPr>
                      <w:rFonts w:ascii="Times New Roman" w:hAnsi="Times New Roman"/>
                      <w:color w:val="auto"/>
                    </w:rPr>
                  </w:pPr>
                  <w:r>
                    <w:rPr>
                      <w:rFonts w:hint="eastAsia" w:ascii="Times New Roman" w:hAnsi="Times New Roman"/>
                      <w:color w:val="auto"/>
                    </w:rPr>
                    <w:t>2.0</w:t>
                  </w:r>
                </w:p>
              </w:tc>
              <w:tc>
                <w:tcPr>
                  <w:tcW w:w="1951" w:type="pct"/>
                  <w:vAlign w:val="center"/>
                </w:tcPr>
                <w:p>
                  <w:pPr>
                    <w:pStyle w:val="103"/>
                    <w:rPr>
                      <w:rFonts w:ascii="Times New Roman" w:hAnsi="Times New Roman"/>
                      <w:color w:val="auto"/>
                    </w:rPr>
                  </w:pPr>
                  <w:r>
                    <w:rPr>
                      <w:rFonts w:hint="eastAsia" w:ascii="Times New Roman" w:hAnsi="Times New Roman"/>
                      <w:color w:val="auto"/>
                    </w:rPr>
                    <w:t>《大气污染物综合排放标准详解》</w:t>
                  </w:r>
                </w:p>
              </w:tc>
            </w:tr>
          </w:tbl>
          <w:p>
            <w:pPr>
              <w:spacing w:line="520" w:lineRule="exact"/>
              <w:rPr>
                <w:b/>
                <w:color w:val="auto"/>
                <w:sz w:val="28"/>
                <w:szCs w:val="28"/>
              </w:rPr>
            </w:pPr>
            <w:r>
              <w:rPr>
                <w:b/>
                <w:color w:val="auto"/>
                <w:sz w:val="28"/>
                <w:szCs w:val="28"/>
              </w:rPr>
              <w:t>1.</w:t>
            </w:r>
            <w:r>
              <w:rPr>
                <w:rFonts w:hint="eastAsia"/>
                <w:b/>
                <w:color w:val="auto"/>
                <w:sz w:val="28"/>
                <w:szCs w:val="28"/>
              </w:rPr>
              <w:t>3</w:t>
            </w:r>
            <w:r>
              <w:rPr>
                <w:b/>
                <w:color w:val="auto"/>
                <w:sz w:val="28"/>
                <w:szCs w:val="28"/>
              </w:rPr>
              <w:t>.2评价方法</w:t>
            </w:r>
          </w:p>
          <w:p>
            <w:pPr>
              <w:spacing w:line="520" w:lineRule="exact"/>
              <w:ind w:firstLine="560" w:firstLineChars="200"/>
              <w:rPr>
                <w:color w:val="auto"/>
                <w:sz w:val="28"/>
              </w:rPr>
            </w:pPr>
            <w:r>
              <w:rPr>
                <w:color w:val="auto"/>
                <w:sz w:val="28"/>
              </w:rPr>
              <w:t>选用</w:t>
            </w:r>
            <w:r>
              <w:rPr>
                <w:rFonts w:hint="eastAsia"/>
                <w:color w:val="auto"/>
                <w:sz w:val="28"/>
              </w:rPr>
              <w:t>占标率</w:t>
            </w:r>
            <w:r>
              <w:rPr>
                <w:color w:val="auto"/>
                <w:sz w:val="28"/>
              </w:rPr>
              <w:t>进行评价，公式为：</w:t>
            </w:r>
          </w:p>
          <w:p>
            <w:pPr>
              <w:spacing w:line="520" w:lineRule="exact"/>
              <w:jc w:val="center"/>
              <w:rPr>
                <w:color w:val="auto"/>
                <w:sz w:val="28"/>
                <w:vertAlign w:val="subscript"/>
              </w:rPr>
            </w:pPr>
            <w:r>
              <w:rPr>
                <w:rFonts w:hint="eastAsia"/>
                <w:color w:val="auto"/>
                <w:sz w:val="28"/>
              </w:rPr>
              <w:t>P</w:t>
            </w:r>
            <w:r>
              <w:rPr>
                <w:color w:val="auto"/>
                <w:sz w:val="28"/>
                <w:vertAlign w:val="subscript"/>
              </w:rPr>
              <w:t>i</w:t>
            </w:r>
            <w:r>
              <w:rPr>
                <w:color w:val="auto"/>
                <w:sz w:val="28"/>
              </w:rPr>
              <w:t>＝C</w:t>
            </w:r>
            <w:r>
              <w:rPr>
                <w:color w:val="auto"/>
                <w:sz w:val="28"/>
                <w:vertAlign w:val="subscript"/>
              </w:rPr>
              <w:t>i</w:t>
            </w:r>
            <w:r>
              <w:rPr>
                <w:color w:val="auto"/>
                <w:sz w:val="28"/>
              </w:rPr>
              <w:t>/C</w:t>
            </w:r>
            <w:r>
              <w:rPr>
                <w:color w:val="auto"/>
                <w:sz w:val="28"/>
                <w:vertAlign w:val="subscript"/>
              </w:rPr>
              <w:t>oi</w:t>
            </w:r>
          </w:p>
          <w:p>
            <w:pPr>
              <w:spacing w:line="520" w:lineRule="exact"/>
              <w:rPr>
                <w:color w:val="auto"/>
                <w:sz w:val="28"/>
              </w:rPr>
            </w:pPr>
            <w:r>
              <w:rPr>
                <w:color w:val="auto"/>
                <w:sz w:val="28"/>
              </w:rPr>
              <w:t>式中，</w:t>
            </w:r>
            <w:r>
              <w:rPr>
                <w:rFonts w:hint="eastAsia"/>
                <w:color w:val="auto"/>
                <w:sz w:val="28"/>
              </w:rPr>
              <w:t>P</w:t>
            </w:r>
            <w:r>
              <w:rPr>
                <w:color w:val="auto"/>
                <w:sz w:val="28"/>
                <w:vertAlign w:val="subscript"/>
              </w:rPr>
              <w:t>i</w:t>
            </w:r>
            <w:r>
              <w:rPr>
                <w:color w:val="auto"/>
                <w:sz w:val="28"/>
              </w:rPr>
              <w:t>－i</w:t>
            </w:r>
            <w:r>
              <w:rPr>
                <w:rFonts w:hint="eastAsia"/>
                <w:color w:val="auto"/>
                <w:sz w:val="28"/>
              </w:rPr>
              <w:t>第i个污染物的质量浓度占标率，%</w:t>
            </w:r>
            <w:r>
              <w:rPr>
                <w:color w:val="auto"/>
                <w:sz w:val="28"/>
              </w:rPr>
              <w:t>；</w:t>
            </w:r>
          </w:p>
          <w:p>
            <w:pPr>
              <w:spacing w:line="520" w:lineRule="exact"/>
              <w:ind w:firstLine="840" w:firstLineChars="300"/>
              <w:rPr>
                <w:color w:val="auto"/>
                <w:sz w:val="28"/>
              </w:rPr>
            </w:pPr>
            <w:r>
              <w:rPr>
                <w:color w:val="auto"/>
                <w:sz w:val="28"/>
              </w:rPr>
              <w:t>C</w:t>
            </w:r>
            <w:r>
              <w:rPr>
                <w:color w:val="auto"/>
                <w:sz w:val="28"/>
                <w:vertAlign w:val="subscript"/>
              </w:rPr>
              <w:t>i</w:t>
            </w:r>
            <w:r>
              <w:rPr>
                <w:color w:val="auto"/>
                <w:sz w:val="28"/>
              </w:rPr>
              <w:t>－i污染物的浓度，mg/m</w:t>
            </w:r>
            <w:r>
              <w:rPr>
                <w:color w:val="auto"/>
                <w:sz w:val="28"/>
                <w:vertAlign w:val="superscript"/>
              </w:rPr>
              <w:t>3</w:t>
            </w:r>
            <w:r>
              <w:rPr>
                <w:color w:val="auto"/>
                <w:sz w:val="28"/>
              </w:rPr>
              <w:t>（标准状态）</w:t>
            </w:r>
            <w:r>
              <w:rPr>
                <w:rFonts w:hint="eastAsia"/>
                <w:color w:val="auto"/>
                <w:sz w:val="28"/>
              </w:rPr>
              <w:t>，</w:t>
            </w:r>
            <w:r>
              <w:rPr>
                <w:color w:val="auto"/>
                <w:sz w:val="28"/>
                <w:szCs w:val="28"/>
              </w:rPr>
              <w:t>mg/m</w:t>
            </w:r>
            <w:r>
              <w:rPr>
                <w:color w:val="auto"/>
                <w:sz w:val="28"/>
                <w:szCs w:val="28"/>
                <w:vertAlign w:val="superscript"/>
              </w:rPr>
              <w:t>3</w:t>
            </w:r>
            <w:r>
              <w:rPr>
                <w:color w:val="auto"/>
                <w:sz w:val="28"/>
              </w:rPr>
              <w:t>；</w:t>
            </w:r>
          </w:p>
          <w:p>
            <w:pPr>
              <w:spacing w:line="520" w:lineRule="exact"/>
              <w:ind w:firstLine="840" w:firstLineChars="300"/>
              <w:rPr>
                <w:color w:val="auto"/>
                <w:sz w:val="28"/>
              </w:rPr>
            </w:pPr>
            <w:r>
              <w:rPr>
                <w:color w:val="auto"/>
                <w:sz w:val="28"/>
              </w:rPr>
              <w:t>C</w:t>
            </w:r>
            <w:r>
              <w:rPr>
                <w:color w:val="auto"/>
                <w:sz w:val="28"/>
                <w:vertAlign w:val="subscript"/>
              </w:rPr>
              <w:t>oi</w:t>
            </w:r>
            <w:r>
              <w:rPr>
                <w:color w:val="auto"/>
                <w:sz w:val="28"/>
              </w:rPr>
              <w:t>－i污染物的质量标准，mg/m</w:t>
            </w:r>
            <w:r>
              <w:rPr>
                <w:color w:val="auto"/>
                <w:sz w:val="28"/>
                <w:vertAlign w:val="superscript"/>
              </w:rPr>
              <w:t>3</w:t>
            </w:r>
            <w:r>
              <w:rPr>
                <w:color w:val="auto"/>
                <w:sz w:val="28"/>
              </w:rPr>
              <w:t>（标准状态）</w:t>
            </w:r>
            <w:r>
              <w:rPr>
                <w:rFonts w:hint="eastAsia"/>
                <w:color w:val="auto"/>
                <w:sz w:val="28"/>
              </w:rPr>
              <w:t>，</w:t>
            </w:r>
            <w:r>
              <w:rPr>
                <w:color w:val="auto"/>
                <w:sz w:val="28"/>
                <w:szCs w:val="28"/>
              </w:rPr>
              <w:t>mg/m</w:t>
            </w:r>
            <w:r>
              <w:rPr>
                <w:color w:val="auto"/>
                <w:sz w:val="28"/>
                <w:szCs w:val="28"/>
                <w:vertAlign w:val="superscript"/>
              </w:rPr>
              <w:t>3</w:t>
            </w:r>
            <w:r>
              <w:rPr>
                <w:color w:val="auto"/>
                <w:sz w:val="28"/>
              </w:rPr>
              <w:t>。</w:t>
            </w:r>
          </w:p>
          <w:p>
            <w:pPr>
              <w:spacing w:line="520" w:lineRule="exact"/>
              <w:rPr>
                <w:b/>
                <w:color w:val="auto"/>
                <w:sz w:val="28"/>
                <w:szCs w:val="28"/>
              </w:rPr>
            </w:pPr>
            <w:r>
              <w:rPr>
                <w:b/>
                <w:color w:val="auto"/>
                <w:sz w:val="28"/>
                <w:szCs w:val="28"/>
              </w:rPr>
              <w:t>1.</w:t>
            </w:r>
            <w:r>
              <w:rPr>
                <w:rFonts w:hint="eastAsia"/>
                <w:b/>
                <w:color w:val="auto"/>
                <w:sz w:val="28"/>
                <w:szCs w:val="28"/>
              </w:rPr>
              <w:t>3</w:t>
            </w:r>
            <w:r>
              <w:rPr>
                <w:b/>
                <w:color w:val="auto"/>
                <w:sz w:val="28"/>
                <w:szCs w:val="28"/>
              </w:rPr>
              <w:t>.3评价结果</w:t>
            </w:r>
          </w:p>
          <w:p>
            <w:pPr>
              <w:spacing w:line="520" w:lineRule="exact"/>
              <w:ind w:firstLine="560" w:firstLineChars="200"/>
              <w:rPr>
                <w:color w:val="auto"/>
                <w:kern w:val="24"/>
                <w:sz w:val="28"/>
                <w:szCs w:val="28"/>
              </w:rPr>
            </w:pPr>
            <w:r>
              <w:rPr>
                <w:rFonts w:hint="eastAsia"/>
                <w:color w:val="auto"/>
                <w:kern w:val="24"/>
                <w:sz w:val="28"/>
                <w:szCs w:val="28"/>
              </w:rPr>
              <w:t>评价结果见表7。</w:t>
            </w:r>
          </w:p>
          <w:p>
            <w:pPr>
              <w:ind w:firstLine="480" w:firstLineChars="200"/>
              <w:rPr>
                <w:rFonts w:eastAsia="黑体"/>
                <w:bCs/>
                <w:color w:val="auto"/>
                <w:sz w:val="24"/>
              </w:rPr>
            </w:pPr>
            <w:r>
              <w:rPr>
                <w:rFonts w:eastAsia="黑体"/>
                <w:bCs/>
                <w:color w:val="auto"/>
                <w:sz w:val="24"/>
              </w:rPr>
              <w:t>表</w:t>
            </w:r>
            <w:r>
              <w:rPr>
                <w:rFonts w:hint="eastAsia" w:eastAsia="黑体"/>
                <w:bCs/>
                <w:color w:val="auto"/>
                <w:sz w:val="24"/>
              </w:rPr>
              <w:t>7</w:t>
            </w:r>
            <w:r>
              <w:rPr>
                <w:rFonts w:eastAsia="黑体"/>
                <w:bCs/>
                <w:color w:val="auto"/>
                <w:sz w:val="24"/>
              </w:rPr>
              <w:t xml:space="preserve">        </w:t>
            </w:r>
            <w:r>
              <w:rPr>
                <w:rFonts w:hint="eastAsia" w:eastAsia="黑体"/>
                <w:bCs/>
                <w:color w:val="auto"/>
                <w:sz w:val="24"/>
              </w:rPr>
              <w:t xml:space="preserve">   </w:t>
            </w:r>
            <w:r>
              <w:rPr>
                <w:rFonts w:eastAsia="黑体"/>
                <w:bCs/>
                <w:color w:val="auto"/>
                <w:sz w:val="24"/>
              </w:rPr>
              <w:t xml:space="preserve"> </w:t>
            </w:r>
            <w:r>
              <w:rPr>
                <w:rFonts w:hint="eastAsia" w:eastAsia="黑体"/>
                <w:bCs/>
                <w:color w:val="auto"/>
                <w:sz w:val="24"/>
              </w:rPr>
              <w:t xml:space="preserve">    </w:t>
            </w:r>
            <w:r>
              <w:rPr>
                <w:rFonts w:eastAsia="黑体"/>
                <w:bCs/>
                <w:color w:val="auto"/>
                <w:sz w:val="24"/>
              </w:rPr>
              <w:t xml:space="preserve">   </w:t>
            </w:r>
            <w:r>
              <w:rPr>
                <w:rFonts w:hint="eastAsia" w:eastAsia="黑体"/>
                <w:bCs/>
                <w:color w:val="auto"/>
                <w:sz w:val="24"/>
              </w:rPr>
              <w:t xml:space="preserve">    </w:t>
            </w:r>
            <w:r>
              <w:rPr>
                <w:rFonts w:eastAsia="黑体"/>
                <w:bCs/>
                <w:color w:val="auto"/>
                <w:sz w:val="24"/>
              </w:rPr>
              <w:t xml:space="preserve"> </w:t>
            </w:r>
            <w:r>
              <w:rPr>
                <w:rFonts w:hint="eastAsia" w:eastAsia="黑体"/>
                <w:bCs/>
                <w:color w:val="auto"/>
                <w:sz w:val="24"/>
              </w:rPr>
              <w:t>现状监测</w:t>
            </w:r>
            <w:r>
              <w:rPr>
                <w:rFonts w:eastAsia="黑体"/>
                <w:bCs/>
                <w:color w:val="auto"/>
                <w:sz w:val="24"/>
              </w:rPr>
              <w:t>结果分析</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296"/>
              <w:gridCol w:w="2458"/>
              <w:gridCol w:w="1470"/>
              <w:gridCol w:w="1254"/>
              <w:gridCol w:w="1296"/>
              <w:gridCol w:w="1297"/>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Align w:val="center"/>
                </w:tcPr>
                <w:p>
                  <w:pPr>
                    <w:pStyle w:val="103"/>
                    <w:rPr>
                      <w:rFonts w:ascii="Times New Roman" w:hAnsi="Times New Roman"/>
                      <w:color w:val="auto"/>
                      <w:kern w:val="0"/>
                    </w:rPr>
                  </w:pPr>
                  <w:r>
                    <w:rPr>
                      <w:rFonts w:ascii="Times New Roman" w:hAnsi="Times New Roman"/>
                      <w:color w:val="auto"/>
                      <w:kern w:val="0"/>
                    </w:rPr>
                    <w:t>监测项目</w:t>
                  </w:r>
                </w:p>
              </w:tc>
              <w:tc>
                <w:tcPr>
                  <w:tcW w:w="1354" w:type="pct"/>
                  <w:vAlign w:val="center"/>
                </w:tcPr>
                <w:p>
                  <w:pPr>
                    <w:pStyle w:val="103"/>
                    <w:rPr>
                      <w:rFonts w:ascii="Times New Roman" w:hAnsi="Times New Roman"/>
                      <w:color w:val="auto"/>
                      <w:kern w:val="0"/>
                    </w:rPr>
                  </w:pPr>
                  <w:r>
                    <w:rPr>
                      <w:rFonts w:hint="eastAsia" w:ascii="Times New Roman" w:hAnsi="Times New Roman"/>
                      <w:color w:val="auto"/>
                      <w:kern w:val="0"/>
                    </w:rPr>
                    <w:t>监测结果</w:t>
                  </w:r>
                  <w:r>
                    <w:rPr>
                      <w:rFonts w:ascii="Times New Roman" w:hAnsi="Times New Roman"/>
                      <w:color w:val="auto"/>
                      <w:kern w:val="0"/>
                    </w:rPr>
                    <w:t>（mg/m</w:t>
                  </w:r>
                  <w:r>
                    <w:rPr>
                      <w:rFonts w:ascii="Times New Roman" w:hAnsi="Times New Roman"/>
                      <w:color w:val="auto"/>
                      <w:kern w:val="0"/>
                      <w:vertAlign w:val="superscript"/>
                    </w:rPr>
                    <w:t>3</w:t>
                  </w:r>
                  <w:r>
                    <w:rPr>
                      <w:rFonts w:ascii="Times New Roman" w:hAnsi="Times New Roman"/>
                      <w:color w:val="auto"/>
                      <w:kern w:val="0"/>
                    </w:rPr>
                    <w:t>）</w:t>
                  </w:r>
                </w:p>
              </w:tc>
              <w:tc>
                <w:tcPr>
                  <w:tcW w:w="810" w:type="pct"/>
                  <w:vAlign w:val="center"/>
                </w:tcPr>
                <w:p>
                  <w:pPr>
                    <w:pStyle w:val="103"/>
                    <w:rPr>
                      <w:rFonts w:ascii="Times New Roman" w:hAnsi="Times New Roman"/>
                      <w:color w:val="auto"/>
                      <w:kern w:val="0"/>
                    </w:rPr>
                  </w:pPr>
                  <w:r>
                    <w:rPr>
                      <w:rFonts w:ascii="Times New Roman" w:hAnsi="Times New Roman"/>
                      <w:color w:val="auto"/>
                      <w:kern w:val="0"/>
                    </w:rPr>
                    <w:t>标准值</w:t>
                  </w:r>
                </w:p>
                <w:p>
                  <w:pPr>
                    <w:pStyle w:val="103"/>
                    <w:rPr>
                      <w:rFonts w:ascii="Times New Roman" w:hAnsi="Times New Roman"/>
                      <w:color w:val="auto"/>
                      <w:kern w:val="0"/>
                    </w:rPr>
                  </w:pPr>
                  <w:r>
                    <w:rPr>
                      <w:rFonts w:ascii="Times New Roman" w:hAnsi="Times New Roman"/>
                      <w:color w:val="auto"/>
                      <w:kern w:val="0"/>
                    </w:rPr>
                    <w:t>（mg/m</w:t>
                  </w:r>
                  <w:r>
                    <w:rPr>
                      <w:rFonts w:ascii="Times New Roman" w:hAnsi="Times New Roman"/>
                      <w:color w:val="auto"/>
                      <w:kern w:val="0"/>
                      <w:vertAlign w:val="superscript"/>
                    </w:rPr>
                    <w:t>3</w:t>
                  </w:r>
                  <w:r>
                    <w:rPr>
                      <w:rFonts w:ascii="Times New Roman" w:hAnsi="Times New Roman"/>
                      <w:color w:val="auto"/>
                      <w:kern w:val="0"/>
                    </w:rPr>
                    <w:t>）</w:t>
                  </w:r>
                </w:p>
              </w:tc>
              <w:tc>
                <w:tcPr>
                  <w:tcW w:w="691" w:type="pct"/>
                  <w:vAlign w:val="center"/>
                </w:tcPr>
                <w:p>
                  <w:pPr>
                    <w:pStyle w:val="103"/>
                    <w:rPr>
                      <w:rFonts w:ascii="Times New Roman" w:hAnsi="Times New Roman"/>
                      <w:color w:val="auto"/>
                      <w:kern w:val="0"/>
                    </w:rPr>
                  </w:pPr>
                  <w:r>
                    <w:rPr>
                      <w:rFonts w:ascii="Times New Roman" w:hAnsi="Times New Roman"/>
                      <w:color w:val="auto"/>
                      <w:kern w:val="0"/>
                    </w:rPr>
                    <w:t>占标率%</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超标倍数</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达标情况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Align w:val="center"/>
                </w:tcPr>
                <w:p>
                  <w:pPr>
                    <w:pStyle w:val="103"/>
                    <w:rPr>
                      <w:rFonts w:ascii="Times New Roman" w:hAnsi="Times New Roman"/>
                      <w:color w:val="auto"/>
                      <w:kern w:val="0"/>
                    </w:rPr>
                  </w:pPr>
                  <w:r>
                    <w:rPr>
                      <w:rFonts w:ascii="Times New Roman" w:hAnsi="Times New Roman"/>
                      <w:color w:val="auto"/>
                      <w:kern w:val="0"/>
                    </w:rPr>
                    <w:t>SO</w:t>
                  </w:r>
                  <w:r>
                    <w:rPr>
                      <w:rFonts w:ascii="Times New Roman" w:hAnsi="Times New Roman"/>
                      <w:color w:val="auto"/>
                      <w:kern w:val="0"/>
                      <w:vertAlign w:val="subscript"/>
                    </w:rPr>
                    <w:t>2</w:t>
                  </w:r>
                </w:p>
              </w:tc>
              <w:tc>
                <w:tcPr>
                  <w:tcW w:w="1354" w:type="pct"/>
                  <w:vAlign w:val="center"/>
                </w:tcPr>
                <w:p>
                  <w:pPr>
                    <w:jc w:val="center"/>
                    <w:rPr>
                      <w:color w:val="auto"/>
                      <w:kern w:val="0"/>
                    </w:rPr>
                  </w:pPr>
                  <w:r>
                    <w:rPr>
                      <w:color w:val="auto"/>
                      <w:szCs w:val="21"/>
                    </w:rPr>
                    <w:t>0.017</w:t>
                  </w:r>
                </w:p>
              </w:tc>
              <w:tc>
                <w:tcPr>
                  <w:tcW w:w="810" w:type="pct"/>
                  <w:vAlign w:val="center"/>
                </w:tcPr>
                <w:p>
                  <w:pPr>
                    <w:pStyle w:val="103"/>
                    <w:rPr>
                      <w:rFonts w:ascii="Times New Roman" w:hAnsi="Times New Roman"/>
                      <w:color w:val="auto"/>
                      <w:kern w:val="0"/>
                    </w:rPr>
                  </w:pPr>
                  <w:r>
                    <w:rPr>
                      <w:rFonts w:ascii="Times New Roman" w:hAnsi="Times New Roman"/>
                      <w:color w:val="auto"/>
                      <w:kern w:val="0"/>
                    </w:rPr>
                    <w:t>0.06</w:t>
                  </w:r>
                </w:p>
              </w:tc>
              <w:tc>
                <w:tcPr>
                  <w:tcW w:w="691" w:type="pct"/>
                  <w:vAlign w:val="center"/>
                </w:tcPr>
                <w:p>
                  <w:pPr>
                    <w:jc w:val="center"/>
                    <w:rPr>
                      <w:color w:val="auto"/>
                      <w:kern w:val="0"/>
                    </w:rPr>
                  </w:pPr>
                  <w:r>
                    <w:rPr>
                      <w:color w:val="auto"/>
                      <w:szCs w:val="21"/>
                    </w:rPr>
                    <w:t>28.33</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0</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Align w:val="center"/>
                </w:tcPr>
                <w:p>
                  <w:pPr>
                    <w:pStyle w:val="103"/>
                    <w:rPr>
                      <w:rFonts w:ascii="Times New Roman" w:hAnsi="Times New Roman"/>
                      <w:color w:val="auto"/>
                      <w:kern w:val="0"/>
                    </w:rPr>
                  </w:pPr>
                  <w:r>
                    <w:rPr>
                      <w:rFonts w:ascii="Times New Roman" w:hAnsi="Times New Roman"/>
                      <w:color w:val="auto"/>
                      <w:kern w:val="0"/>
                    </w:rPr>
                    <w:t>NO</w:t>
                  </w:r>
                  <w:r>
                    <w:rPr>
                      <w:rFonts w:ascii="Times New Roman" w:hAnsi="Times New Roman"/>
                      <w:color w:val="auto"/>
                      <w:kern w:val="0"/>
                      <w:vertAlign w:val="subscript"/>
                    </w:rPr>
                    <w:t>2</w:t>
                  </w:r>
                </w:p>
              </w:tc>
              <w:tc>
                <w:tcPr>
                  <w:tcW w:w="1354" w:type="pct"/>
                  <w:vAlign w:val="center"/>
                </w:tcPr>
                <w:p>
                  <w:pPr>
                    <w:jc w:val="center"/>
                    <w:rPr>
                      <w:color w:val="auto"/>
                      <w:kern w:val="0"/>
                    </w:rPr>
                  </w:pPr>
                  <w:r>
                    <w:rPr>
                      <w:color w:val="auto"/>
                      <w:szCs w:val="21"/>
                    </w:rPr>
                    <w:t>0.033</w:t>
                  </w:r>
                </w:p>
              </w:tc>
              <w:tc>
                <w:tcPr>
                  <w:tcW w:w="810" w:type="pct"/>
                  <w:vAlign w:val="center"/>
                </w:tcPr>
                <w:p>
                  <w:pPr>
                    <w:pStyle w:val="103"/>
                    <w:rPr>
                      <w:rFonts w:ascii="Times New Roman" w:hAnsi="Times New Roman"/>
                      <w:color w:val="auto"/>
                      <w:kern w:val="0"/>
                    </w:rPr>
                  </w:pPr>
                  <w:r>
                    <w:rPr>
                      <w:rFonts w:ascii="Times New Roman" w:hAnsi="Times New Roman"/>
                      <w:color w:val="auto"/>
                      <w:kern w:val="0"/>
                    </w:rPr>
                    <w:t>0.04</w:t>
                  </w:r>
                </w:p>
              </w:tc>
              <w:tc>
                <w:tcPr>
                  <w:tcW w:w="691" w:type="pct"/>
                  <w:vAlign w:val="center"/>
                </w:tcPr>
                <w:p>
                  <w:pPr>
                    <w:jc w:val="center"/>
                    <w:rPr>
                      <w:color w:val="auto"/>
                      <w:kern w:val="0"/>
                    </w:rPr>
                  </w:pPr>
                  <w:r>
                    <w:rPr>
                      <w:color w:val="auto"/>
                      <w:szCs w:val="21"/>
                    </w:rPr>
                    <w:t>82.50</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0</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Align w:val="center"/>
                </w:tcPr>
                <w:p>
                  <w:pPr>
                    <w:pStyle w:val="103"/>
                    <w:rPr>
                      <w:rFonts w:ascii="Times New Roman" w:hAnsi="Times New Roman"/>
                      <w:color w:val="auto"/>
                      <w:kern w:val="0"/>
                    </w:rPr>
                  </w:pPr>
                  <w:r>
                    <w:rPr>
                      <w:rFonts w:ascii="Times New Roman" w:hAnsi="Times New Roman"/>
                      <w:color w:val="auto"/>
                      <w:kern w:val="0"/>
                    </w:rPr>
                    <w:t>PM</w:t>
                  </w:r>
                  <w:r>
                    <w:rPr>
                      <w:rFonts w:ascii="Times New Roman" w:hAnsi="Times New Roman"/>
                      <w:color w:val="auto"/>
                      <w:kern w:val="0"/>
                      <w:vertAlign w:val="subscript"/>
                    </w:rPr>
                    <w:t>10</w:t>
                  </w:r>
                </w:p>
              </w:tc>
              <w:tc>
                <w:tcPr>
                  <w:tcW w:w="1354" w:type="pct"/>
                  <w:vAlign w:val="center"/>
                </w:tcPr>
                <w:p>
                  <w:pPr>
                    <w:jc w:val="center"/>
                    <w:rPr>
                      <w:color w:val="auto"/>
                      <w:kern w:val="0"/>
                    </w:rPr>
                  </w:pPr>
                  <w:r>
                    <w:rPr>
                      <w:color w:val="auto"/>
                      <w:szCs w:val="21"/>
                    </w:rPr>
                    <w:t>0.07</w:t>
                  </w:r>
                </w:p>
              </w:tc>
              <w:tc>
                <w:tcPr>
                  <w:tcW w:w="810" w:type="pct"/>
                  <w:vAlign w:val="center"/>
                </w:tcPr>
                <w:p>
                  <w:pPr>
                    <w:pStyle w:val="103"/>
                    <w:rPr>
                      <w:rFonts w:ascii="Times New Roman" w:hAnsi="Times New Roman"/>
                      <w:color w:val="auto"/>
                      <w:kern w:val="0"/>
                    </w:rPr>
                  </w:pPr>
                  <w:r>
                    <w:rPr>
                      <w:rFonts w:ascii="Times New Roman" w:hAnsi="Times New Roman"/>
                      <w:color w:val="auto"/>
                      <w:kern w:val="0"/>
                    </w:rPr>
                    <w:t>0.07</w:t>
                  </w:r>
                </w:p>
              </w:tc>
              <w:tc>
                <w:tcPr>
                  <w:tcW w:w="691" w:type="pct"/>
                  <w:vAlign w:val="center"/>
                </w:tcPr>
                <w:p>
                  <w:pPr>
                    <w:jc w:val="center"/>
                    <w:rPr>
                      <w:color w:val="auto"/>
                      <w:kern w:val="0"/>
                    </w:rPr>
                  </w:pPr>
                  <w:r>
                    <w:rPr>
                      <w:rFonts w:hint="eastAsia"/>
                      <w:color w:val="auto"/>
                      <w:szCs w:val="21"/>
                    </w:rPr>
                    <w:t>100</w:t>
                  </w:r>
                </w:p>
              </w:tc>
              <w:tc>
                <w:tcPr>
                  <w:tcW w:w="714" w:type="pct"/>
                  <w:vAlign w:val="center"/>
                </w:tcPr>
                <w:p>
                  <w:pPr>
                    <w:pStyle w:val="103"/>
                    <w:rPr>
                      <w:rFonts w:ascii="Times New Roman" w:hAnsi="Times New Roman"/>
                      <w:color w:val="auto"/>
                      <w:kern w:val="0"/>
                    </w:rPr>
                  </w:pPr>
                  <w:r>
                    <w:rPr>
                      <w:rFonts w:hint="eastAsia" w:ascii="Times New Roman" w:hAnsi="Times New Roman"/>
                      <w:color w:val="auto"/>
                      <w:kern w:val="0"/>
                    </w:rPr>
                    <w:t>0</w:t>
                  </w:r>
                </w:p>
              </w:tc>
              <w:tc>
                <w:tcPr>
                  <w:tcW w:w="714" w:type="pct"/>
                  <w:vAlign w:val="center"/>
                </w:tcPr>
                <w:p>
                  <w:pPr>
                    <w:pStyle w:val="103"/>
                    <w:rPr>
                      <w:rFonts w:ascii="Times New Roman" w:hAnsi="Times New Roman"/>
                      <w:color w:val="auto"/>
                      <w:kern w:val="0"/>
                    </w:rPr>
                  </w:pPr>
                  <w:r>
                    <w:rPr>
                      <w:rFonts w:hint="eastAsia" w:ascii="Times New Roman" w:hAnsi="Times New Roman"/>
                      <w:color w:val="auto"/>
                      <w:kern w:val="0"/>
                    </w:rPr>
                    <w:t>达</w:t>
                  </w:r>
                  <w:r>
                    <w:rPr>
                      <w:rFonts w:ascii="Times New Roman" w:hAnsi="Times New Roman"/>
                      <w:color w:val="auto"/>
                      <w:kern w:val="0"/>
                    </w:rPr>
                    <w:t>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Align w:val="center"/>
                </w:tcPr>
                <w:p>
                  <w:pPr>
                    <w:pStyle w:val="103"/>
                    <w:rPr>
                      <w:rFonts w:ascii="Times New Roman" w:hAnsi="Times New Roman"/>
                      <w:color w:val="auto"/>
                      <w:kern w:val="0"/>
                    </w:rPr>
                  </w:pPr>
                  <w:r>
                    <w:rPr>
                      <w:rFonts w:ascii="Times New Roman" w:hAnsi="Times New Roman"/>
                      <w:color w:val="auto"/>
                    </w:rPr>
                    <w:t>PM</w:t>
                  </w:r>
                  <w:r>
                    <w:rPr>
                      <w:rFonts w:ascii="Times New Roman" w:hAnsi="Times New Roman"/>
                      <w:color w:val="auto"/>
                      <w:vertAlign w:val="subscript"/>
                    </w:rPr>
                    <w:t>2.5</w:t>
                  </w:r>
                </w:p>
              </w:tc>
              <w:tc>
                <w:tcPr>
                  <w:tcW w:w="1354" w:type="pct"/>
                  <w:vAlign w:val="center"/>
                </w:tcPr>
                <w:p>
                  <w:pPr>
                    <w:jc w:val="center"/>
                    <w:rPr>
                      <w:color w:val="auto"/>
                      <w:kern w:val="0"/>
                    </w:rPr>
                  </w:pPr>
                  <w:r>
                    <w:rPr>
                      <w:color w:val="auto"/>
                      <w:szCs w:val="21"/>
                    </w:rPr>
                    <w:t>0.042</w:t>
                  </w:r>
                </w:p>
              </w:tc>
              <w:tc>
                <w:tcPr>
                  <w:tcW w:w="810" w:type="pct"/>
                  <w:vAlign w:val="center"/>
                </w:tcPr>
                <w:p>
                  <w:pPr>
                    <w:pStyle w:val="103"/>
                    <w:rPr>
                      <w:rFonts w:ascii="Times New Roman" w:hAnsi="Times New Roman"/>
                      <w:color w:val="auto"/>
                      <w:kern w:val="0"/>
                    </w:rPr>
                  </w:pPr>
                  <w:r>
                    <w:rPr>
                      <w:rFonts w:ascii="Times New Roman" w:hAnsi="Times New Roman"/>
                      <w:color w:val="auto"/>
                      <w:kern w:val="0"/>
                    </w:rPr>
                    <w:t>0.035</w:t>
                  </w:r>
                </w:p>
              </w:tc>
              <w:tc>
                <w:tcPr>
                  <w:tcW w:w="691" w:type="pct"/>
                  <w:vAlign w:val="center"/>
                </w:tcPr>
                <w:p>
                  <w:pPr>
                    <w:jc w:val="center"/>
                    <w:rPr>
                      <w:color w:val="auto"/>
                      <w:kern w:val="0"/>
                    </w:rPr>
                  </w:pPr>
                  <w:r>
                    <w:rPr>
                      <w:color w:val="auto"/>
                      <w:szCs w:val="21"/>
                    </w:rPr>
                    <w:t>120.00</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0.</w:t>
                  </w:r>
                  <w:r>
                    <w:rPr>
                      <w:rFonts w:hint="eastAsia" w:ascii="Times New Roman" w:hAnsi="Times New Roman"/>
                      <w:color w:val="auto"/>
                      <w:kern w:val="0"/>
                    </w:rPr>
                    <w:t>2</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超标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Align w:val="center"/>
                </w:tcPr>
                <w:p>
                  <w:pPr>
                    <w:pStyle w:val="103"/>
                    <w:rPr>
                      <w:rFonts w:ascii="Times New Roman" w:hAnsi="Times New Roman"/>
                      <w:color w:val="auto"/>
                      <w:kern w:val="0"/>
                    </w:rPr>
                  </w:pPr>
                  <w:r>
                    <w:rPr>
                      <w:rFonts w:ascii="Times New Roman" w:hAnsi="Times New Roman"/>
                      <w:color w:val="auto"/>
                      <w:kern w:val="0"/>
                    </w:rPr>
                    <w:t>CO</w:t>
                  </w:r>
                </w:p>
              </w:tc>
              <w:tc>
                <w:tcPr>
                  <w:tcW w:w="1354" w:type="pct"/>
                  <w:vAlign w:val="center"/>
                </w:tcPr>
                <w:p>
                  <w:pPr>
                    <w:jc w:val="center"/>
                    <w:rPr>
                      <w:color w:val="auto"/>
                      <w:kern w:val="0"/>
                    </w:rPr>
                  </w:pPr>
                  <w:r>
                    <w:rPr>
                      <w:color w:val="auto"/>
                      <w:szCs w:val="21"/>
                    </w:rPr>
                    <w:t>1.36</w:t>
                  </w:r>
                  <w:r>
                    <w:rPr>
                      <w:rFonts w:hint="eastAsia"/>
                      <w:color w:val="auto"/>
                      <w:szCs w:val="21"/>
                    </w:rPr>
                    <w:t>（</w:t>
                  </w:r>
                  <w:r>
                    <w:rPr>
                      <w:color w:val="auto"/>
                      <w:szCs w:val="21"/>
                    </w:rPr>
                    <w:t>24</w:t>
                  </w:r>
                  <w:r>
                    <w:rPr>
                      <w:rFonts w:hint="eastAsia"/>
                      <w:color w:val="auto"/>
                      <w:szCs w:val="21"/>
                    </w:rPr>
                    <w:t>小时平均）</w:t>
                  </w:r>
                </w:p>
              </w:tc>
              <w:tc>
                <w:tcPr>
                  <w:tcW w:w="810" w:type="pct"/>
                  <w:vAlign w:val="center"/>
                </w:tcPr>
                <w:p>
                  <w:pPr>
                    <w:pStyle w:val="103"/>
                    <w:rPr>
                      <w:rFonts w:ascii="Times New Roman" w:hAnsi="Times New Roman"/>
                      <w:color w:val="auto"/>
                      <w:kern w:val="0"/>
                    </w:rPr>
                  </w:pPr>
                  <w:r>
                    <w:rPr>
                      <w:rFonts w:ascii="Times New Roman" w:hAnsi="Times New Roman"/>
                      <w:color w:val="auto"/>
                      <w:kern w:val="0"/>
                    </w:rPr>
                    <w:t>4</w:t>
                  </w:r>
                </w:p>
              </w:tc>
              <w:tc>
                <w:tcPr>
                  <w:tcW w:w="691" w:type="pct"/>
                  <w:vAlign w:val="center"/>
                </w:tcPr>
                <w:p>
                  <w:pPr>
                    <w:jc w:val="center"/>
                    <w:rPr>
                      <w:color w:val="auto"/>
                      <w:kern w:val="0"/>
                    </w:rPr>
                  </w:pPr>
                  <w:r>
                    <w:rPr>
                      <w:color w:val="auto"/>
                      <w:szCs w:val="21"/>
                    </w:rPr>
                    <w:t>34</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0</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Align w:val="center"/>
                </w:tcPr>
                <w:p>
                  <w:pPr>
                    <w:pStyle w:val="103"/>
                    <w:rPr>
                      <w:rFonts w:ascii="Times New Roman" w:hAnsi="Times New Roman"/>
                      <w:color w:val="auto"/>
                      <w:kern w:val="0"/>
                    </w:rPr>
                  </w:pPr>
                  <w:r>
                    <w:rPr>
                      <w:rFonts w:ascii="Times New Roman" w:hAnsi="Times New Roman"/>
                      <w:color w:val="auto"/>
                      <w:kern w:val="0"/>
                    </w:rPr>
                    <w:t>O</w:t>
                  </w:r>
                  <w:r>
                    <w:rPr>
                      <w:rFonts w:ascii="Times New Roman" w:hAnsi="Times New Roman"/>
                      <w:color w:val="auto"/>
                      <w:kern w:val="0"/>
                      <w:vertAlign w:val="subscript"/>
                    </w:rPr>
                    <w:t>3</w:t>
                  </w:r>
                </w:p>
              </w:tc>
              <w:tc>
                <w:tcPr>
                  <w:tcW w:w="1354" w:type="pct"/>
                  <w:vAlign w:val="center"/>
                </w:tcPr>
                <w:p>
                  <w:pPr>
                    <w:jc w:val="center"/>
                    <w:rPr>
                      <w:color w:val="auto"/>
                      <w:kern w:val="0"/>
                    </w:rPr>
                  </w:pPr>
                  <w:r>
                    <w:rPr>
                      <w:color w:val="auto"/>
                      <w:szCs w:val="21"/>
                    </w:rPr>
                    <w:t>0.08</w:t>
                  </w:r>
                  <w:r>
                    <w:rPr>
                      <w:rFonts w:hint="eastAsia"/>
                      <w:color w:val="auto"/>
                      <w:szCs w:val="21"/>
                    </w:rPr>
                    <w:t>（</w:t>
                  </w:r>
                  <w:r>
                    <w:rPr>
                      <w:color w:val="auto"/>
                      <w:szCs w:val="21"/>
                    </w:rPr>
                    <w:t>8h</w:t>
                  </w:r>
                  <w:r>
                    <w:rPr>
                      <w:rFonts w:hint="eastAsia"/>
                      <w:color w:val="auto"/>
                      <w:szCs w:val="21"/>
                    </w:rPr>
                    <w:t>平均）</w:t>
                  </w:r>
                </w:p>
              </w:tc>
              <w:tc>
                <w:tcPr>
                  <w:tcW w:w="810" w:type="pct"/>
                  <w:vAlign w:val="center"/>
                </w:tcPr>
                <w:p>
                  <w:pPr>
                    <w:pStyle w:val="103"/>
                    <w:rPr>
                      <w:rFonts w:ascii="Times New Roman" w:hAnsi="Times New Roman"/>
                      <w:color w:val="auto"/>
                      <w:kern w:val="0"/>
                    </w:rPr>
                  </w:pPr>
                  <w:r>
                    <w:rPr>
                      <w:rFonts w:ascii="Times New Roman" w:hAnsi="Times New Roman"/>
                      <w:color w:val="auto"/>
                      <w:kern w:val="0"/>
                    </w:rPr>
                    <w:t>0.16</w:t>
                  </w:r>
                </w:p>
              </w:tc>
              <w:tc>
                <w:tcPr>
                  <w:tcW w:w="691" w:type="pct"/>
                  <w:vAlign w:val="center"/>
                </w:tcPr>
                <w:p>
                  <w:pPr>
                    <w:jc w:val="center"/>
                    <w:rPr>
                      <w:color w:val="auto"/>
                      <w:kern w:val="0"/>
                    </w:rPr>
                  </w:pPr>
                  <w:r>
                    <w:rPr>
                      <w:color w:val="auto"/>
                      <w:szCs w:val="21"/>
                    </w:rPr>
                    <w:t>50</w:t>
                  </w:r>
                </w:p>
              </w:tc>
              <w:tc>
                <w:tcPr>
                  <w:tcW w:w="714" w:type="pct"/>
                </w:tcPr>
                <w:p>
                  <w:pPr>
                    <w:pStyle w:val="103"/>
                    <w:rPr>
                      <w:rFonts w:ascii="Times New Roman" w:hAnsi="Times New Roman"/>
                      <w:color w:val="auto"/>
                      <w:kern w:val="0"/>
                    </w:rPr>
                  </w:pPr>
                  <w:r>
                    <w:rPr>
                      <w:rFonts w:ascii="Times New Roman" w:hAnsi="Times New Roman"/>
                      <w:color w:val="auto"/>
                      <w:kern w:val="0"/>
                    </w:rPr>
                    <w:t>0</w:t>
                  </w:r>
                </w:p>
              </w:tc>
              <w:tc>
                <w:tcPr>
                  <w:tcW w:w="714" w:type="pct"/>
                  <w:vAlign w:val="center"/>
                </w:tcPr>
                <w:p>
                  <w:pPr>
                    <w:pStyle w:val="103"/>
                    <w:rPr>
                      <w:rFonts w:ascii="Times New Roman" w:hAnsi="Times New Roman"/>
                      <w:color w:val="auto"/>
                      <w:kern w:val="0"/>
                    </w:rPr>
                  </w:pPr>
                  <w:r>
                    <w:rPr>
                      <w:rFonts w:ascii="Times New Roman" w:hAnsi="Times New Roman"/>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Merge w:val="restart"/>
                  <w:vAlign w:val="center"/>
                </w:tcPr>
                <w:p>
                  <w:pPr>
                    <w:pStyle w:val="103"/>
                    <w:rPr>
                      <w:rFonts w:ascii="Times New Roman" w:hAnsi="Times New Roman"/>
                      <w:color w:val="auto"/>
                      <w:kern w:val="0"/>
                    </w:rPr>
                  </w:pPr>
                  <w:r>
                    <w:rPr>
                      <w:rFonts w:hint="eastAsia" w:ascii="Times New Roman" w:hAnsi="Times New Roman"/>
                      <w:color w:val="auto"/>
                      <w:kern w:val="0"/>
                    </w:rPr>
                    <w:t>非甲烷总烃</w:t>
                  </w:r>
                </w:p>
              </w:tc>
              <w:tc>
                <w:tcPr>
                  <w:tcW w:w="1354" w:type="pct"/>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0.6725</w:t>
                  </w:r>
                </w:p>
              </w:tc>
              <w:tc>
                <w:tcPr>
                  <w:tcW w:w="810" w:type="pct"/>
                  <w:vMerge w:val="restart"/>
                  <w:vAlign w:val="center"/>
                </w:tcPr>
                <w:p>
                  <w:pPr>
                    <w:pStyle w:val="103"/>
                    <w:rPr>
                      <w:rFonts w:ascii="Times New Roman" w:hAnsi="Times New Roman"/>
                      <w:color w:val="auto"/>
                      <w:kern w:val="0"/>
                    </w:rPr>
                  </w:pPr>
                  <w:r>
                    <w:rPr>
                      <w:rFonts w:hint="eastAsia" w:ascii="Times New Roman" w:hAnsi="Times New Roman"/>
                      <w:color w:val="auto"/>
                      <w:kern w:val="0"/>
                    </w:rPr>
                    <w:t>2.0</w:t>
                  </w:r>
                </w:p>
              </w:tc>
              <w:tc>
                <w:tcPr>
                  <w:tcW w:w="1254" w:type="dxa"/>
                  <w:vAlign w:val="center"/>
                </w:tcPr>
                <w:p>
                  <w:pPr>
                    <w:jc w:val="center"/>
                    <w:rPr>
                      <w:color w:val="auto"/>
                      <w:highlight w:val="yellow"/>
                    </w:rPr>
                  </w:pPr>
                  <w:r>
                    <w:rPr>
                      <w:rFonts w:hint="eastAsia"/>
                      <w:color w:val="auto"/>
                      <w:highlight w:val="none"/>
                      <w:lang w:val="en-US" w:eastAsia="zh-CN"/>
                    </w:rPr>
                    <w:t>33.63</w:t>
                  </w:r>
                </w:p>
              </w:tc>
              <w:tc>
                <w:tcPr>
                  <w:tcW w:w="714" w:type="pct"/>
                  <w:vAlign w:val="center"/>
                </w:tcPr>
                <w:p>
                  <w:pPr>
                    <w:jc w:val="center"/>
                    <w:rPr>
                      <w:color w:val="auto"/>
                    </w:rPr>
                  </w:pPr>
                  <w:r>
                    <w:rPr>
                      <w:rFonts w:hint="eastAsia"/>
                      <w:color w:val="auto"/>
                    </w:rPr>
                    <w:t>0</w:t>
                  </w:r>
                </w:p>
              </w:tc>
              <w:tc>
                <w:tcPr>
                  <w:tcW w:w="714" w:type="pct"/>
                  <w:vAlign w:val="center"/>
                </w:tcPr>
                <w:p>
                  <w:pPr>
                    <w:jc w:val="center"/>
                    <w:rPr>
                      <w:color w:val="auto"/>
                    </w:rPr>
                  </w:pPr>
                  <w:r>
                    <w:rPr>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Merge w:val="continue"/>
                  <w:vAlign w:val="center"/>
                </w:tcPr>
                <w:p>
                  <w:pPr>
                    <w:pStyle w:val="103"/>
                    <w:rPr>
                      <w:rFonts w:ascii="Times New Roman" w:hAnsi="Times New Roman"/>
                      <w:color w:val="auto"/>
                      <w:kern w:val="0"/>
                    </w:rPr>
                  </w:pPr>
                </w:p>
              </w:tc>
              <w:tc>
                <w:tcPr>
                  <w:tcW w:w="1354" w:type="pct"/>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0.7325</w:t>
                  </w:r>
                </w:p>
              </w:tc>
              <w:tc>
                <w:tcPr>
                  <w:tcW w:w="810" w:type="pct"/>
                  <w:vMerge w:val="continue"/>
                  <w:vAlign w:val="center"/>
                </w:tcPr>
                <w:p>
                  <w:pPr>
                    <w:pStyle w:val="103"/>
                    <w:rPr>
                      <w:rFonts w:ascii="Times New Roman" w:hAnsi="Times New Roman"/>
                      <w:color w:val="auto"/>
                      <w:kern w:val="0"/>
                    </w:rPr>
                  </w:pPr>
                </w:p>
              </w:tc>
              <w:tc>
                <w:tcPr>
                  <w:tcW w:w="1254" w:type="dxa"/>
                  <w:vAlign w:val="center"/>
                </w:tcPr>
                <w:p>
                  <w:pPr>
                    <w:jc w:val="center"/>
                    <w:rPr>
                      <w:color w:val="auto"/>
                      <w:highlight w:val="yellow"/>
                    </w:rPr>
                  </w:pPr>
                  <w:r>
                    <w:rPr>
                      <w:rFonts w:hint="eastAsia"/>
                      <w:color w:val="auto"/>
                      <w:highlight w:val="none"/>
                      <w:lang w:val="en-US" w:eastAsia="zh-CN"/>
                    </w:rPr>
                    <w:t>36.63</w:t>
                  </w:r>
                </w:p>
              </w:tc>
              <w:tc>
                <w:tcPr>
                  <w:tcW w:w="714" w:type="pct"/>
                  <w:vAlign w:val="center"/>
                </w:tcPr>
                <w:p>
                  <w:pPr>
                    <w:jc w:val="center"/>
                    <w:rPr>
                      <w:color w:val="auto"/>
                    </w:rPr>
                  </w:pPr>
                  <w:r>
                    <w:rPr>
                      <w:rFonts w:hint="eastAsia"/>
                      <w:color w:val="auto"/>
                    </w:rPr>
                    <w:t>0</w:t>
                  </w:r>
                </w:p>
              </w:tc>
              <w:tc>
                <w:tcPr>
                  <w:tcW w:w="714" w:type="pct"/>
                  <w:vAlign w:val="center"/>
                </w:tcPr>
                <w:p>
                  <w:pPr>
                    <w:jc w:val="center"/>
                    <w:rPr>
                      <w:color w:val="auto"/>
                    </w:rPr>
                  </w:pPr>
                  <w:r>
                    <w:rPr>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Merge w:val="continue"/>
                  <w:vAlign w:val="center"/>
                </w:tcPr>
                <w:p>
                  <w:pPr>
                    <w:pStyle w:val="103"/>
                    <w:rPr>
                      <w:rFonts w:ascii="Times New Roman" w:hAnsi="Times New Roman"/>
                      <w:color w:val="auto"/>
                      <w:kern w:val="0"/>
                    </w:rPr>
                  </w:pPr>
                </w:p>
              </w:tc>
              <w:tc>
                <w:tcPr>
                  <w:tcW w:w="1354" w:type="pct"/>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0.71</w:t>
                  </w:r>
                </w:p>
              </w:tc>
              <w:tc>
                <w:tcPr>
                  <w:tcW w:w="810" w:type="pct"/>
                  <w:vMerge w:val="continue"/>
                  <w:vAlign w:val="center"/>
                </w:tcPr>
                <w:p>
                  <w:pPr>
                    <w:pStyle w:val="103"/>
                    <w:rPr>
                      <w:rFonts w:ascii="Times New Roman" w:hAnsi="Times New Roman"/>
                      <w:color w:val="auto"/>
                      <w:kern w:val="0"/>
                    </w:rPr>
                  </w:pPr>
                </w:p>
              </w:tc>
              <w:tc>
                <w:tcPr>
                  <w:tcW w:w="1254" w:type="dxa"/>
                  <w:vAlign w:val="center"/>
                </w:tcPr>
                <w:p>
                  <w:pPr>
                    <w:jc w:val="center"/>
                    <w:rPr>
                      <w:color w:val="auto"/>
                      <w:highlight w:val="yellow"/>
                    </w:rPr>
                  </w:pPr>
                  <w:r>
                    <w:rPr>
                      <w:rFonts w:hint="eastAsia"/>
                      <w:color w:val="auto"/>
                      <w:highlight w:val="none"/>
                      <w:lang w:val="en-US" w:eastAsia="zh-CN"/>
                    </w:rPr>
                    <w:t>35.50</w:t>
                  </w:r>
                </w:p>
              </w:tc>
              <w:tc>
                <w:tcPr>
                  <w:tcW w:w="714" w:type="pct"/>
                  <w:vAlign w:val="center"/>
                </w:tcPr>
                <w:p>
                  <w:pPr>
                    <w:jc w:val="center"/>
                    <w:rPr>
                      <w:color w:val="auto"/>
                    </w:rPr>
                  </w:pPr>
                  <w:r>
                    <w:rPr>
                      <w:rFonts w:hint="eastAsia"/>
                      <w:color w:val="auto"/>
                    </w:rPr>
                    <w:t>0</w:t>
                  </w:r>
                </w:p>
              </w:tc>
              <w:tc>
                <w:tcPr>
                  <w:tcW w:w="714" w:type="pct"/>
                  <w:vAlign w:val="center"/>
                </w:tcPr>
                <w:p>
                  <w:pPr>
                    <w:jc w:val="center"/>
                    <w:rPr>
                      <w:color w:val="auto"/>
                    </w:rPr>
                  </w:pPr>
                  <w:r>
                    <w:rPr>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Merge w:val="continue"/>
                  <w:vAlign w:val="center"/>
                </w:tcPr>
                <w:p>
                  <w:pPr>
                    <w:pStyle w:val="103"/>
                    <w:rPr>
                      <w:rFonts w:ascii="Times New Roman" w:hAnsi="Times New Roman"/>
                      <w:color w:val="auto"/>
                      <w:kern w:val="0"/>
                    </w:rPr>
                  </w:pPr>
                </w:p>
              </w:tc>
              <w:tc>
                <w:tcPr>
                  <w:tcW w:w="1354" w:type="pct"/>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0.7075</w:t>
                  </w:r>
                </w:p>
              </w:tc>
              <w:tc>
                <w:tcPr>
                  <w:tcW w:w="810" w:type="pct"/>
                  <w:vMerge w:val="continue"/>
                  <w:vAlign w:val="center"/>
                </w:tcPr>
                <w:p>
                  <w:pPr>
                    <w:pStyle w:val="103"/>
                    <w:rPr>
                      <w:rFonts w:ascii="Times New Roman" w:hAnsi="Times New Roman"/>
                      <w:color w:val="auto"/>
                      <w:kern w:val="0"/>
                    </w:rPr>
                  </w:pPr>
                </w:p>
              </w:tc>
              <w:tc>
                <w:tcPr>
                  <w:tcW w:w="1254" w:type="dxa"/>
                  <w:vAlign w:val="center"/>
                </w:tcPr>
                <w:p>
                  <w:pPr>
                    <w:jc w:val="center"/>
                    <w:rPr>
                      <w:color w:val="auto"/>
                      <w:highlight w:val="yellow"/>
                    </w:rPr>
                  </w:pPr>
                  <w:r>
                    <w:rPr>
                      <w:rFonts w:hint="eastAsia"/>
                      <w:color w:val="auto"/>
                      <w:highlight w:val="none"/>
                      <w:lang w:val="en-US" w:eastAsia="zh-CN"/>
                    </w:rPr>
                    <w:t>35.38</w:t>
                  </w:r>
                </w:p>
              </w:tc>
              <w:tc>
                <w:tcPr>
                  <w:tcW w:w="714" w:type="pct"/>
                  <w:vAlign w:val="center"/>
                </w:tcPr>
                <w:p>
                  <w:pPr>
                    <w:jc w:val="center"/>
                    <w:rPr>
                      <w:color w:val="auto"/>
                    </w:rPr>
                  </w:pPr>
                  <w:r>
                    <w:rPr>
                      <w:rFonts w:hint="eastAsia"/>
                      <w:color w:val="auto"/>
                    </w:rPr>
                    <w:t>0</w:t>
                  </w:r>
                </w:p>
              </w:tc>
              <w:tc>
                <w:tcPr>
                  <w:tcW w:w="714" w:type="pct"/>
                  <w:vAlign w:val="center"/>
                </w:tcPr>
                <w:p>
                  <w:pPr>
                    <w:jc w:val="center"/>
                    <w:rPr>
                      <w:color w:val="auto"/>
                    </w:rPr>
                  </w:pPr>
                  <w:r>
                    <w:rPr>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Merge w:val="continue"/>
                  <w:vAlign w:val="center"/>
                </w:tcPr>
                <w:p>
                  <w:pPr>
                    <w:pStyle w:val="103"/>
                    <w:rPr>
                      <w:rFonts w:ascii="Times New Roman" w:hAnsi="Times New Roman"/>
                      <w:color w:val="auto"/>
                      <w:kern w:val="0"/>
                    </w:rPr>
                  </w:pPr>
                </w:p>
              </w:tc>
              <w:tc>
                <w:tcPr>
                  <w:tcW w:w="1354" w:type="pct"/>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0.7275</w:t>
                  </w:r>
                </w:p>
              </w:tc>
              <w:tc>
                <w:tcPr>
                  <w:tcW w:w="810" w:type="pct"/>
                  <w:vMerge w:val="continue"/>
                  <w:vAlign w:val="center"/>
                </w:tcPr>
                <w:p>
                  <w:pPr>
                    <w:pStyle w:val="103"/>
                    <w:rPr>
                      <w:rFonts w:ascii="Times New Roman" w:hAnsi="Times New Roman"/>
                      <w:color w:val="auto"/>
                      <w:kern w:val="0"/>
                    </w:rPr>
                  </w:pPr>
                </w:p>
              </w:tc>
              <w:tc>
                <w:tcPr>
                  <w:tcW w:w="1254" w:type="dxa"/>
                  <w:vAlign w:val="center"/>
                </w:tcPr>
                <w:p>
                  <w:pPr>
                    <w:jc w:val="center"/>
                    <w:rPr>
                      <w:color w:val="auto"/>
                      <w:highlight w:val="yellow"/>
                    </w:rPr>
                  </w:pPr>
                  <w:r>
                    <w:rPr>
                      <w:rFonts w:hint="eastAsia"/>
                      <w:color w:val="auto"/>
                      <w:highlight w:val="none"/>
                      <w:lang w:val="en-US" w:eastAsia="zh-CN"/>
                    </w:rPr>
                    <w:t>36.38</w:t>
                  </w:r>
                </w:p>
              </w:tc>
              <w:tc>
                <w:tcPr>
                  <w:tcW w:w="714" w:type="pct"/>
                  <w:vAlign w:val="center"/>
                </w:tcPr>
                <w:p>
                  <w:pPr>
                    <w:jc w:val="center"/>
                    <w:rPr>
                      <w:color w:val="auto"/>
                    </w:rPr>
                  </w:pPr>
                  <w:r>
                    <w:rPr>
                      <w:rFonts w:hint="eastAsia"/>
                      <w:color w:val="auto"/>
                    </w:rPr>
                    <w:t>0</w:t>
                  </w:r>
                </w:p>
              </w:tc>
              <w:tc>
                <w:tcPr>
                  <w:tcW w:w="714" w:type="pct"/>
                  <w:vAlign w:val="center"/>
                </w:tcPr>
                <w:p>
                  <w:pPr>
                    <w:jc w:val="center"/>
                    <w:rPr>
                      <w:color w:val="auto"/>
                    </w:rPr>
                  </w:pPr>
                  <w:r>
                    <w:rPr>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Merge w:val="continue"/>
                  <w:vAlign w:val="center"/>
                </w:tcPr>
                <w:p>
                  <w:pPr>
                    <w:pStyle w:val="103"/>
                    <w:rPr>
                      <w:rFonts w:ascii="Times New Roman" w:hAnsi="Times New Roman"/>
                      <w:color w:val="auto"/>
                      <w:kern w:val="0"/>
                    </w:rPr>
                  </w:pPr>
                </w:p>
              </w:tc>
              <w:tc>
                <w:tcPr>
                  <w:tcW w:w="1354" w:type="pct"/>
                  <w:vAlign w:val="center"/>
                </w:tcPr>
                <w:p>
                  <w:pPr>
                    <w:keepNext w:val="0"/>
                    <w:keepLines w:val="0"/>
                    <w:widowControl/>
                    <w:suppressLineNumbers w:val="0"/>
                    <w:jc w:val="center"/>
                    <w:textAlignment w:val="center"/>
                    <w:rPr>
                      <w:color w:val="auto"/>
                      <w:highlight w:val="yellow"/>
                    </w:rPr>
                  </w:pPr>
                  <w:r>
                    <w:rPr>
                      <w:rFonts w:hint="default" w:ascii="Times New Roman" w:hAnsi="Times New Roman" w:eastAsia="宋体" w:cs="Times New Roman"/>
                      <w:i w:val="0"/>
                      <w:color w:val="auto"/>
                      <w:kern w:val="0"/>
                      <w:sz w:val="21"/>
                      <w:szCs w:val="21"/>
                      <w:u w:val="none"/>
                      <w:lang w:val="en-US" w:eastAsia="zh-CN" w:bidi="ar"/>
                    </w:rPr>
                    <w:t>0.6975</w:t>
                  </w:r>
                </w:p>
              </w:tc>
              <w:tc>
                <w:tcPr>
                  <w:tcW w:w="810" w:type="pct"/>
                  <w:vMerge w:val="continue"/>
                  <w:vAlign w:val="center"/>
                </w:tcPr>
                <w:p>
                  <w:pPr>
                    <w:pStyle w:val="103"/>
                    <w:rPr>
                      <w:rFonts w:ascii="Times New Roman" w:hAnsi="Times New Roman"/>
                      <w:color w:val="auto"/>
                      <w:kern w:val="0"/>
                    </w:rPr>
                  </w:pPr>
                </w:p>
              </w:tc>
              <w:tc>
                <w:tcPr>
                  <w:tcW w:w="1254" w:type="dxa"/>
                  <w:vAlign w:val="center"/>
                </w:tcPr>
                <w:p>
                  <w:pPr>
                    <w:jc w:val="center"/>
                    <w:rPr>
                      <w:color w:val="auto"/>
                      <w:highlight w:val="yellow"/>
                    </w:rPr>
                  </w:pPr>
                  <w:r>
                    <w:rPr>
                      <w:rFonts w:hint="eastAsia"/>
                      <w:color w:val="auto"/>
                      <w:highlight w:val="none"/>
                      <w:lang w:val="en-US" w:eastAsia="zh-CN"/>
                    </w:rPr>
                    <w:t>34.88</w:t>
                  </w:r>
                </w:p>
              </w:tc>
              <w:tc>
                <w:tcPr>
                  <w:tcW w:w="714" w:type="pct"/>
                  <w:vAlign w:val="center"/>
                </w:tcPr>
                <w:p>
                  <w:pPr>
                    <w:jc w:val="center"/>
                    <w:rPr>
                      <w:color w:val="auto"/>
                    </w:rPr>
                  </w:pPr>
                  <w:r>
                    <w:rPr>
                      <w:rFonts w:hint="eastAsia"/>
                      <w:color w:val="auto"/>
                    </w:rPr>
                    <w:t>0</w:t>
                  </w:r>
                </w:p>
              </w:tc>
              <w:tc>
                <w:tcPr>
                  <w:tcW w:w="714" w:type="pct"/>
                  <w:vAlign w:val="center"/>
                </w:tcPr>
                <w:p>
                  <w:pPr>
                    <w:jc w:val="center"/>
                    <w:rPr>
                      <w:color w:val="auto"/>
                    </w:rPr>
                  </w:pPr>
                  <w:r>
                    <w:rPr>
                      <w:color w:val="auto"/>
                      <w:kern w:val="0"/>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714" w:type="pct"/>
                  <w:vMerge w:val="continue"/>
                  <w:vAlign w:val="center"/>
                </w:tcPr>
                <w:p>
                  <w:pPr>
                    <w:pStyle w:val="103"/>
                    <w:rPr>
                      <w:rFonts w:ascii="Times New Roman" w:hAnsi="Times New Roman"/>
                      <w:color w:val="auto"/>
                      <w:kern w:val="0"/>
                    </w:rPr>
                  </w:pPr>
                </w:p>
              </w:tc>
              <w:tc>
                <w:tcPr>
                  <w:tcW w:w="1354" w:type="pct"/>
                  <w:vAlign w:val="center"/>
                </w:tcPr>
                <w:p>
                  <w:pPr>
                    <w:keepNext w:val="0"/>
                    <w:keepLines w:val="0"/>
                    <w:widowControl/>
                    <w:suppressLineNumbers w:val="0"/>
                    <w:jc w:val="center"/>
                    <w:textAlignment w:val="center"/>
                    <w:rPr>
                      <w:rFonts w:hint="eastAsia"/>
                      <w:color w:val="auto"/>
                      <w:highlight w:val="yellow"/>
                    </w:rPr>
                  </w:pPr>
                  <w:r>
                    <w:rPr>
                      <w:rFonts w:hint="eastAsia" w:ascii="Times New Roman" w:hAnsi="Times New Roman" w:cs="Times New Roman"/>
                      <w:i w:val="0"/>
                      <w:color w:val="auto"/>
                      <w:kern w:val="0"/>
                      <w:sz w:val="21"/>
                      <w:szCs w:val="21"/>
                      <w:u w:val="none"/>
                      <w:lang w:val="en-US" w:eastAsia="zh-CN" w:bidi="ar"/>
                    </w:rPr>
                    <w:t>0.7</w:t>
                  </w:r>
                </w:p>
              </w:tc>
              <w:tc>
                <w:tcPr>
                  <w:tcW w:w="810" w:type="pct"/>
                  <w:vMerge w:val="continue"/>
                  <w:vAlign w:val="center"/>
                </w:tcPr>
                <w:p>
                  <w:pPr>
                    <w:pStyle w:val="103"/>
                    <w:rPr>
                      <w:rFonts w:ascii="Times New Roman" w:hAnsi="Times New Roman"/>
                      <w:color w:val="auto"/>
                      <w:kern w:val="0"/>
                    </w:rPr>
                  </w:pPr>
                </w:p>
              </w:tc>
              <w:tc>
                <w:tcPr>
                  <w:tcW w:w="1254" w:type="dxa"/>
                  <w:vAlign w:val="center"/>
                </w:tcPr>
                <w:p>
                  <w:pPr>
                    <w:jc w:val="center"/>
                    <w:rPr>
                      <w:rFonts w:hint="eastAsia"/>
                      <w:color w:val="auto"/>
                      <w:highlight w:val="yellow"/>
                    </w:rPr>
                  </w:pPr>
                  <w:r>
                    <w:rPr>
                      <w:rFonts w:hint="eastAsia"/>
                      <w:color w:val="auto"/>
                      <w:highlight w:val="none"/>
                      <w:lang w:val="en-US" w:eastAsia="zh-CN"/>
                    </w:rPr>
                    <w:t>35</w:t>
                  </w:r>
                </w:p>
              </w:tc>
              <w:tc>
                <w:tcPr>
                  <w:tcW w:w="714" w:type="pct"/>
                  <w:vAlign w:val="center"/>
                </w:tcPr>
                <w:p>
                  <w:pPr>
                    <w:jc w:val="center"/>
                    <w:rPr>
                      <w:rFonts w:hint="eastAsia"/>
                      <w:color w:val="auto"/>
                    </w:rPr>
                  </w:pPr>
                </w:p>
              </w:tc>
              <w:tc>
                <w:tcPr>
                  <w:tcW w:w="714" w:type="pct"/>
                  <w:vAlign w:val="center"/>
                </w:tcPr>
                <w:p>
                  <w:pPr>
                    <w:jc w:val="center"/>
                    <w:rPr>
                      <w:color w:val="auto"/>
                      <w:kern w:val="0"/>
                    </w:rPr>
                  </w:pPr>
                </w:p>
              </w:tc>
            </w:tr>
          </w:tbl>
          <w:p>
            <w:pPr>
              <w:spacing w:line="520" w:lineRule="exact"/>
              <w:ind w:firstLine="560" w:firstLineChars="200"/>
              <w:rPr>
                <w:color w:val="auto"/>
                <w:kern w:val="24"/>
                <w:sz w:val="28"/>
                <w:szCs w:val="28"/>
              </w:rPr>
            </w:pPr>
            <w:r>
              <w:rPr>
                <w:color w:val="auto"/>
                <w:sz w:val="28"/>
                <w:szCs w:val="28"/>
              </w:rPr>
              <w:t>由表</w:t>
            </w:r>
            <w:r>
              <w:rPr>
                <w:rFonts w:hint="eastAsia"/>
                <w:color w:val="auto"/>
                <w:sz w:val="28"/>
                <w:szCs w:val="28"/>
              </w:rPr>
              <w:t>7</w:t>
            </w:r>
            <w:r>
              <w:rPr>
                <w:color w:val="auto"/>
                <w:sz w:val="28"/>
                <w:szCs w:val="28"/>
              </w:rPr>
              <w:t>可以看出，</w:t>
            </w:r>
            <w:r>
              <w:rPr>
                <w:rFonts w:hint="eastAsia"/>
                <w:color w:val="auto"/>
                <w:sz w:val="28"/>
                <w:szCs w:val="28"/>
              </w:rPr>
              <w:t>评价区域大气环境中SO</w:t>
            </w:r>
            <w:r>
              <w:rPr>
                <w:rFonts w:hint="eastAsia"/>
                <w:color w:val="auto"/>
                <w:sz w:val="28"/>
                <w:szCs w:val="28"/>
                <w:vertAlign w:val="subscript"/>
              </w:rPr>
              <w:t>2</w:t>
            </w:r>
            <w:r>
              <w:rPr>
                <w:rFonts w:hint="eastAsia"/>
                <w:color w:val="auto"/>
                <w:sz w:val="28"/>
                <w:szCs w:val="28"/>
              </w:rPr>
              <w:t>、NO</w:t>
            </w:r>
            <w:r>
              <w:rPr>
                <w:rFonts w:hint="eastAsia"/>
                <w:color w:val="auto"/>
                <w:sz w:val="28"/>
                <w:szCs w:val="28"/>
                <w:vertAlign w:val="subscript"/>
              </w:rPr>
              <w:t>2</w:t>
            </w:r>
            <w:r>
              <w:rPr>
                <w:rFonts w:hint="eastAsia"/>
                <w:color w:val="auto"/>
                <w:sz w:val="28"/>
                <w:szCs w:val="28"/>
              </w:rPr>
              <w:t>、CO、PM</w:t>
            </w:r>
            <w:r>
              <w:rPr>
                <w:rFonts w:hint="eastAsia"/>
                <w:color w:val="auto"/>
                <w:sz w:val="28"/>
                <w:szCs w:val="28"/>
                <w:vertAlign w:val="subscript"/>
              </w:rPr>
              <w:t>10</w:t>
            </w:r>
            <w:r>
              <w:rPr>
                <w:rFonts w:hint="eastAsia"/>
                <w:color w:val="auto"/>
                <w:sz w:val="28"/>
                <w:szCs w:val="28"/>
              </w:rPr>
              <w:t>、O</w:t>
            </w:r>
            <w:r>
              <w:rPr>
                <w:rFonts w:hint="eastAsia"/>
                <w:color w:val="auto"/>
                <w:sz w:val="28"/>
                <w:szCs w:val="28"/>
                <w:vertAlign w:val="subscript"/>
              </w:rPr>
              <w:t>3</w:t>
            </w:r>
            <w:r>
              <w:rPr>
                <w:rFonts w:hint="eastAsia"/>
                <w:color w:val="auto"/>
                <w:sz w:val="28"/>
                <w:szCs w:val="28"/>
              </w:rPr>
              <w:t>、占标率均小于100%，低于《环境空气质量标准》（GB3095—2012）二级标准浓度限值，非甲烷总烃浓度限值低于《大气污染物综合排放标准详解》（国家环境保护局科技标准司）2.0mg/m</w:t>
            </w:r>
            <w:r>
              <w:rPr>
                <w:rFonts w:hint="eastAsia"/>
                <w:color w:val="auto"/>
                <w:sz w:val="28"/>
                <w:szCs w:val="28"/>
                <w:vertAlign w:val="superscript"/>
              </w:rPr>
              <w:t>3</w:t>
            </w:r>
            <w:r>
              <w:rPr>
                <w:rFonts w:hint="eastAsia"/>
                <w:color w:val="auto"/>
                <w:sz w:val="28"/>
                <w:szCs w:val="28"/>
              </w:rPr>
              <w:t>浓度限值，PM</w:t>
            </w:r>
            <w:r>
              <w:rPr>
                <w:rFonts w:hint="eastAsia"/>
                <w:color w:val="auto"/>
                <w:sz w:val="28"/>
                <w:szCs w:val="28"/>
                <w:vertAlign w:val="subscript"/>
              </w:rPr>
              <w:t>2.5</w:t>
            </w:r>
            <w:r>
              <w:rPr>
                <w:rFonts w:hint="eastAsia"/>
                <w:color w:val="auto"/>
                <w:sz w:val="28"/>
                <w:szCs w:val="28"/>
              </w:rPr>
              <w:t>年平均浓度超标，超标倍数为0.2，因此项目所在区域属于不达标区，由表可知道PM</w:t>
            </w:r>
            <w:r>
              <w:rPr>
                <w:rFonts w:hint="eastAsia"/>
                <w:color w:val="auto"/>
                <w:sz w:val="28"/>
                <w:szCs w:val="28"/>
                <w:vertAlign w:val="subscript"/>
              </w:rPr>
              <w:t>2.5</w:t>
            </w:r>
            <w:r>
              <w:rPr>
                <w:rFonts w:hint="eastAsia"/>
                <w:color w:val="auto"/>
                <w:sz w:val="28"/>
                <w:szCs w:val="28"/>
              </w:rPr>
              <w:t>超标的月份为11月至次年3月，主要为冬季取暖期燃煤产生的废气造成PM</w:t>
            </w:r>
            <w:r>
              <w:rPr>
                <w:rFonts w:hint="eastAsia"/>
                <w:color w:val="auto"/>
                <w:sz w:val="28"/>
                <w:szCs w:val="28"/>
                <w:vertAlign w:val="subscript"/>
              </w:rPr>
              <w:t>2.5</w:t>
            </w:r>
            <w:r>
              <w:rPr>
                <w:rFonts w:hint="eastAsia"/>
                <w:color w:val="auto"/>
                <w:sz w:val="28"/>
                <w:szCs w:val="28"/>
              </w:rPr>
              <w:t>超标。</w:t>
            </w:r>
          </w:p>
          <w:p>
            <w:pPr>
              <w:spacing w:line="500" w:lineRule="exact"/>
              <w:rPr>
                <w:rFonts w:hAnsi="宋体" w:cs="宋体"/>
                <w:b/>
                <w:bCs/>
                <w:color w:val="auto"/>
                <w:sz w:val="28"/>
                <w:szCs w:val="28"/>
              </w:rPr>
            </w:pPr>
            <w:r>
              <w:rPr>
                <w:b/>
                <w:color w:val="auto"/>
                <w:sz w:val="28"/>
                <w:szCs w:val="28"/>
              </w:rPr>
              <w:t>2</w:t>
            </w:r>
            <w:r>
              <w:rPr>
                <w:rFonts w:hint="eastAsia" w:hAnsi="宋体" w:cs="宋体"/>
                <w:b/>
                <w:bCs/>
                <w:color w:val="auto"/>
                <w:sz w:val="28"/>
                <w:szCs w:val="28"/>
              </w:rPr>
              <w:t>水环境现状调查与评价</w:t>
            </w:r>
          </w:p>
          <w:p>
            <w:pPr>
              <w:spacing w:line="500" w:lineRule="exact"/>
              <w:rPr>
                <w:rFonts w:hAnsi="宋体"/>
                <w:color w:val="auto"/>
                <w:sz w:val="28"/>
                <w:szCs w:val="28"/>
              </w:rPr>
            </w:pPr>
            <w:r>
              <w:rPr>
                <w:rFonts w:hAnsi="宋体"/>
                <w:b/>
                <w:bCs/>
                <w:color w:val="auto"/>
                <w:sz w:val="28"/>
                <w:szCs w:val="28"/>
              </w:rPr>
              <w:t>2</w:t>
            </w:r>
            <w:r>
              <w:rPr>
                <w:rFonts w:hint="eastAsia" w:hAnsi="宋体"/>
                <w:b/>
                <w:bCs/>
                <w:color w:val="auto"/>
                <w:sz w:val="28"/>
                <w:szCs w:val="28"/>
              </w:rPr>
              <w:t>.1</w:t>
            </w:r>
            <w:r>
              <w:rPr>
                <w:rFonts w:hint="eastAsia" w:hAnsi="宋体" w:cs="宋体"/>
                <w:b/>
                <w:bCs/>
                <w:color w:val="auto"/>
                <w:sz w:val="28"/>
                <w:szCs w:val="28"/>
              </w:rPr>
              <w:t>地表水环境现状调查与评价</w:t>
            </w:r>
          </w:p>
          <w:p>
            <w:pPr>
              <w:pStyle w:val="107"/>
              <w:ind w:firstLine="560"/>
              <w:rPr>
                <w:color w:val="auto"/>
              </w:rPr>
            </w:pPr>
            <w:r>
              <w:rPr>
                <w:rFonts w:hint="eastAsia"/>
                <w:color w:val="auto"/>
              </w:rPr>
              <w:t>本项目产生的废水主要为生活污水和冷却循环水，本项目冷却循环水循环使用不外排，生活污水依托</w:t>
            </w:r>
            <w:r>
              <w:rPr>
                <w:rFonts w:hint="eastAsia"/>
                <w:color w:val="auto"/>
                <w:lang w:eastAsia="zh-CN"/>
              </w:rPr>
              <w:t>项目区</w:t>
            </w:r>
            <w:r>
              <w:rPr>
                <w:rFonts w:hint="eastAsia"/>
                <w:color w:val="auto"/>
              </w:rPr>
              <w:t>已建管网排入巩留县下水管网，不外排，且项目区周边无地表水体。故本项目不对地表水进行环境影响评价。</w:t>
            </w:r>
          </w:p>
          <w:p>
            <w:pPr>
              <w:spacing w:line="500" w:lineRule="exact"/>
              <w:rPr>
                <w:b/>
                <w:bCs/>
                <w:color w:val="auto"/>
                <w:sz w:val="28"/>
              </w:rPr>
            </w:pPr>
            <w:r>
              <w:rPr>
                <w:b/>
                <w:bCs/>
                <w:color w:val="auto"/>
                <w:sz w:val="28"/>
              </w:rPr>
              <w:t>2.2</w:t>
            </w:r>
            <w:r>
              <w:rPr>
                <w:rFonts w:hint="eastAsia"/>
                <w:b/>
                <w:bCs/>
                <w:color w:val="auto"/>
                <w:sz w:val="28"/>
              </w:rPr>
              <w:t>地下水环境现状评价</w:t>
            </w:r>
          </w:p>
          <w:p>
            <w:pPr>
              <w:spacing w:line="520" w:lineRule="exact"/>
              <w:ind w:firstLine="560" w:firstLineChars="200"/>
              <w:rPr>
                <w:color w:val="auto"/>
                <w:sz w:val="28"/>
                <w:szCs w:val="28"/>
              </w:rPr>
            </w:pPr>
            <w:r>
              <w:rPr>
                <w:color w:val="auto"/>
                <w:sz w:val="28"/>
                <w:szCs w:val="28"/>
              </w:rPr>
              <w:t>根据《环境影响评价技术导则—地下水环境》（HJ610—2016）规定，本项目属</w:t>
            </w:r>
            <w:r>
              <w:rPr>
                <w:rFonts w:hint="eastAsia" w:ascii="宋体" w:hAnsi="宋体" w:cs="宋体"/>
                <w:color w:val="auto"/>
                <w:sz w:val="28"/>
                <w:szCs w:val="28"/>
              </w:rPr>
              <w:t>“</w:t>
            </w:r>
            <w:r>
              <w:rPr>
                <w:color w:val="auto"/>
                <w:sz w:val="28"/>
                <w:szCs w:val="28"/>
              </w:rPr>
              <w:t>附录A地下水环境影响评价行业分类表</w:t>
            </w:r>
            <w:r>
              <w:rPr>
                <w:rFonts w:hint="eastAsia" w:ascii="宋体" w:hAnsi="宋体" w:cs="宋体"/>
                <w:color w:val="auto"/>
                <w:sz w:val="28"/>
                <w:szCs w:val="28"/>
              </w:rPr>
              <w:t>”</w:t>
            </w:r>
            <w:r>
              <w:rPr>
                <w:color w:val="auto"/>
                <w:sz w:val="28"/>
                <w:szCs w:val="28"/>
              </w:rPr>
              <w:t>中</w:t>
            </w:r>
            <w:r>
              <w:rPr>
                <w:rFonts w:hint="eastAsia" w:ascii="宋体" w:hAnsi="宋体" w:cs="宋体"/>
                <w:color w:val="auto"/>
                <w:sz w:val="28"/>
                <w:szCs w:val="28"/>
              </w:rPr>
              <w:t>“</w:t>
            </w:r>
            <w:r>
              <w:rPr>
                <w:rFonts w:hint="eastAsia"/>
                <w:color w:val="auto"/>
                <w:sz w:val="28"/>
                <w:szCs w:val="28"/>
              </w:rPr>
              <w:t>N轻工</w:t>
            </w:r>
            <w:r>
              <w:rPr>
                <w:color w:val="auto"/>
                <w:sz w:val="28"/>
                <w:szCs w:val="28"/>
              </w:rPr>
              <w:t>——1</w:t>
            </w:r>
            <w:r>
              <w:rPr>
                <w:rFonts w:hint="eastAsia"/>
                <w:color w:val="auto"/>
                <w:sz w:val="28"/>
                <w:szCs w:val="28"/>
              </w:rPr>
              <w:t>16</w:t>
            </w:r>
            <w:r>
              <w:rPr>
                <w:color w:val="auto"/>
                <w:sz w:val="28"/>
                <w:szCs w:val="28"/>
              </w:rPr>
              <w:t>、</w:t>
            </w:r>
            <w:r>
              <w:rPr>
                <w:rFonts w:hint="eastAsia"/>
                <w:color w:val="auto"/>
                <w:sz w:val="28"/>
                <w:szCs w:val="28"/>
              </w:rPr>
              <w:t>塑料制品制造</w:t>
            </w:r>
            <w:r>
              <w:rPr>
                <w:color w:val="auto"/>
                <w:sz w:val="28"/>
                <w:szCs w:val="28"/>
              </w:rPr>
              <w:t>的其他</w:t>
            </w:r>
            <w:r>
              <w:rPr>
                <w:rFonts w:hint="eastAsia" w:ascii="宋体" w:hAnsi="宋体" w:cs="宋体"/>
                <w:color w:val="auto"/>
                <w:sz w:val="28"/>
                <w:szCs w:val="28"/>
              </w:rPr>
              <w:t>”</w:t>
            </w:r>
            <w:r>
              <w:rPr>
                <w:color w:val="auto"/>
                <w:sz w:val="28"/>
                <w:szCs w:val="28"/>
              </w:rPr>
              <w:t>属于Ⅳ类项目，可不开展地下水环境影响评价。</w:t>
            </w:r>
          </w:p>
          <w:p>
            <w:pPr>
              <w:spacing w:line="520" w:lineRule="exact"/>
              <w:rPr>
                <w:b/>
                <w:color w:val="auto"/>
                <w:sz w:val="28"/>
                <w:szCs w:val="28"/>
              </w:rPr>
            </w:pPr>
            <w:r>
              <w:rPr>
                <w:b/>
                <w:color w:val="auto"/>
                <w:sz w:val="28"/>
                <w:szCs w:val="28"/>
              </w:rPr>
              <w:t>3声环境质量现状调查与评价</w:t>
            </w:r>
          </w:p>
          <w:p>
            <w:pPr>
              <w:spacing w:line="500" w:lineRule="exact"/>
              <w:ind w:firstLine="560" w:firstLineChars="200"/>
              <w:rPr>
                <w:rFonts w:hAnsi="宋体"/>
                <w:color w:val="auto"/>
                <w:kern w:val="24"/>
                <w:sz w:val="28"/>
              </w:rPr>
            </w:pPr>
            <w:r>
              <w:rPr>
                <w:rFonts w:hint="eastAsia" w:hAnsi="宋体"/>
                <w:color w:val="auto"/>
                <w:kern w:val="24"/>
                <w:sz w:val="28"/>
              </w:rPr>
              <w:t>根据《声环境质量标准》（GB3096－2008）适用区域划分规定，项目所在区域</w:t>
            </w:r>
            <w:r>
              <w:rPr>
                <w:rFonts w:hint="eastAsia" w:hAnsi="宋体"/>
                <w:color w:val="auto"/>
                <w:kern w:val="24"/>
                <w:sz w:val="28"/>
              </w:rPr>
              <w:t>属</w:t>
            </w:r>
            <w:r>
              <w:rPr>
                <w:rFonts w:hint="eastAsia" w:hAnsi="宋体"/>
                <w:color w:val="auto"/>
                <w:kern w:val="24"/>
                <w:sz w:val="28"/>
                <w:lang w:val="en-US" w:eastAsia="zh-CN"/>
              </w:rPr>
              <w:t>3</w:t>
            </w:r>
            <w:r>
              <w:rPr>
                <w:rFonts w:hint="eastAsia" w:hAnsi="宋体"/>
                <w:color w:val="auto"/>
                <w:kern w:val="24"/>
                <w:sz w:val="28"/>
              </w:rPr>
              <w:t>类标准适用区，本评价区域环境噪声质量标准执行《声环境质量标准》（GB3096—2008）</w:t>
            </w:r>
            <w:r>
              <w:rPr>
                <w:rFonts w:hint="eastAsia" w:hAnsi="宋体"/>
                <w:color w:val="auto"/>
                <w:kern w:val="24"/>
                <w:sz w:val="28"/>
                <w:lang w:val="en-US" w:eastAsia="zh-CN"/>
              </w:rPr>
              <w:t>3</w:t>
            </w:r>
            <w:r>
              <w:rPr>
                <w:rFonts w:hint="eastAsia" w:hAnsi="宋体"/>
                <w:color w:val="auto"/>
                <w:kern w:val="24"/>
                <w:sz w:val="28"/>
              </w:rPr>
              <w:t>类</w:t>
            </w:r>
            <w:r>
              <w:rPr>
                <w:rFonts w:hint="eastAsia" w:hAnsi="宋体"/>
                <w:color w:val="auto"/>
                <w:kern w:val="24"/>
                <w:sz w:val="28"/>
              </w:rPr>
              <w:t>标准。</w:t>
            </w:r>
            <w:r>
              <w:rPr>
                <w:rFonts w:hint="eastAsia" w:hAnsi="宋体"/>
                <w:color w:val="auto"/>
                <w:kern w:val="24"/>
                <w:sz w:val="28"/>
              </w:rPr>
              <w:t>本次声环境质量评价委托</w:t>
            </w:r>
            <w:r>
              <w:rPr>
                <w:rFonts w:hint="eastAsia" w:hAnsi="宋体"/>
                <w:color w:val="auto"/>
                <w:kern w:val="24"/>
                <w:sz w:val="28"/>
                <w:lang w:eastAsia="zh-CN"/>
              </w:rPr>
              <w:t>新疆科瑞环境技术服务有限公司</w:t>
            </w:r>
            <w:r>
              <w:rPr>
                <w:rFonts w:hint="eastAsia" w:hAnsi="宋体"/>
                <w:color w:val="auto"/>
                <w:kern w:val="24"/>
                <w:sz w:val="28"/>
              </w:rPr>
              <w:t>于2021年</w:t>
            </w:r>
            <w:r>
              <w:rPr>
                <w:rFonts w:hint="eastAsia" w:hAnsi="宋体"/>
                <w:color w:val="auto"/>
                <w:kern w:val="24"/>
                <w:sz w:val="28"/>
                <w:lang w:val="en-US" w:eastAsia="zh-CN"/>
              </w:rPr>
              <w:t>2</w:t>
            </w:r>
            <w:r>
              <w:rPr>
                <w:rFonts w:hint="eastAsia" w:hAnsi="宋体"/>
                <w:color w:val="auto"/>
                <w:kern w:val="24"/>
                <w:sz w:val="28"/>
              </w:rPr>
              <w:t>月7日昼间和夜间对项目区现场监测数据</w:t>
            </w:r>
            <w:r>
              <w:rPr>
                <w:rFonts w:hint="eastAsia"/>
                <w:color w:val="auto"/>
                <w:sz w:val="28"/>
                <w:szCs w:val="28"/>
              </w:rPr>
              <w:t>分析说明评价区域声环境质量现状。</w:t>
            </w:r>
          </w:p>
          <w:p>
            <w:pPr>
              <w:spacing w:line="520" w:lineRule="exact"/>
              <w:rPr>
                <w:b/>
                <w:color w:val="auto"/>
                <w:sz w:val="28"/>
                <w:szCs w:val="28"/>
              </w:rPr>
            </w:pPr>
            <w:r>
              <w:rPr>
                <w:b/>
                <w:color w:val="auto"/>
                <w:sz w:val="28"/>
                <w:szCs w:val="28"/>
              </w:rPr>
              <w:t>3.1监测布点</w:t>
            </w:r>
          </w:p>
          <w:p>
            <w:pPr>
              <w:spacing w:line="520" w:lineRule="exact"/>
              <w:ind w:firstLine="560" w:firstLineChars="200"/>
              <w:rPr>
                <w:color w:val="auto"/>
                <w:kern w:val="24"/>
                <w:sz w:val="28"/>
              </w:rPr>
            </w:pPr>
            <w:r>
              <w:rPr>
                <w:color w:val="auto"/>
                <w:kern w:val="24"/>
                <w:sz w:val="28"/>
              </w:rPr>
              <w:t>项目区布设4个监测点，分别布置与项目</w:t>
            </w:r>
            <w:r>
              <w:rPr>
                <w:rFonts w:hint="eastAsia"/>
                <w:color w:val="auto"/>
                <w:kern w:val="24"/>
                <w:sz w:val="28"/>
              </w:rPr>
              <w:t>厂</w:t>
            </w:r>
            <w:r>
              <w:rPr>
                <w:color w:val="auto"/>
                <w:kern w:val="24"/>
                <w:sz w:val="28"/>
              </w:rPr>
              <w:t>区</w:t>
            </w:r>
            <w:r>
              <w:rPr>
                <w:rFonts w:hint="eastAsia"/>
                <w:color w:val="auto"/>
                <w:kern w:val="24"/>
                <w:sz w:val="28"/>
              </w:rPr>
              <w:t>东、南、西、北边界处</w:t>
            </w:r>
            <w:r>
              <w:rPr>
                <w:color w:val="auto"/>
                <w:kern w:val="24"/>
                <w:sz w:val="28"/>
              </w:rPr>
              <w:t>。</w:t>
            </w:r>
          </w:p>
          <w:p>
            <w:pPr>
              <w:spacing w:line="520" w:lineRule="exact"/>
              <w:ind w:firstLine="560" w:firstLineChars="200"/>
              <w:rPr>
                <w:color w:val="auto"/>
                <w:kern w:val="24"/>
                <w:sz w:val="28"/>
              </w:rPr>
            </w:pPr>
            <w:r>
              <w:rPr>
                <w:color w:val="auto"/>
                <w:kern w:val="24"/>
                <w:sz w:val="28"/>
              </w:rPr>
              <w:t>监测时段</w:t>
            </w:r>
            <w:r>
              <w:rPr>
                <w:color w:val="auto"/>
                <w:kern w:val="24"/>
                <w:sz w:val="28"/>
                <w:highlight w:val="none"/>
              </w:rPr>
              <w:t>为20</w:t>
            </w:r>
            <w:r>
              <w:rPr>
                <w:rFonts w:hint="eastAsia"/>
                <w:color w:val="auto"/>
                <w:kern w:val="24"/>
                <w:sz w:val="28"/>
                <w:highlight w:val="none"/>
              </w:rPr>
              <w:t>21</w:t>
            </w:r>
            <w:r>
              <w:rPr>
                <w:color w:val="auto"/>
                <w:kern w:val="24"/>
                <w:sz w:val="28"/>
                <w:highlight w:val="none"/>
              </w:rPr>
              <w:t>年</w:t>
            </w:r>
            <w:r>
              <w:rPr>
                <w:rFonts w:hint="eastAsia"/>
                <w:color w:val="auto"/>
                <w:kern w:val="24"/>
                <w:sz w:val="28"/>
                <w:highlight w:val="none"/>
              </w:rPr>
              <w:t>2</w:t>
            </w:r>
            <w:r>
              <w:rPr>
                <w:color w:val="auto"/>
                <w:kern w:val="24"/>
                <w:sz w:val="28"/>
                <w:highlight w:val="none"/>
              </w:rPr>
              <w:t>月</w:t>
            </w:r>
            <w:r>
              <w:rPr>
                <w:rFonts w:hint="eastAsia"/>
                <w:color w:val="auto"/>
                <w:kern w:val="24"/>
                <w:sz w:val="28"/>
                <w:highlight w:val="none"/>
                <w:lang w:val="en-US" w:eastAsia="zh-CN"/>
              </w:rPr>
              <w:t>7</w:t>
            </w:r>
            <w:r>
              <w:rPr>
                <w:rFonts w:hint="eastAsia"/>
                <w:color w:val="auto"/>
                <w:kern w:val="24"/>
                <w:sz w:val="28"/>
                <w:highlight w:val="none"/>
              </w:rPr>
              <w:t>日</w:t>
            </w:r>
            <w:r>
              <w:rPr>
                <w:color w:val="auto"/>
                <w:kern w:val="24"/>
                <w:sz w:val="28"/>
                <w:highlight w:val="none"/>
              </w:rPr>
              <w:t>的昼、夜间</w:t>
            </w:r>
            <w:r>
              <w:rPr>
                <w:color w:val="auto"/>
                <w:kern w:val="24"/>
                <w:sz w:val="28"/>
              </w:rPr>
              <w:t>。</w:t>
            </w:r>
          </w:p>
          <w:p>
            <w:pPr>
              <w:spacing w:line="520" w:lineRule="exact"/>
              <w:rPr>
                <w:b/>
                <w:bCs/>
                <w:color w:val="auto"/>
                <w:sz w:val="28"/>
              </w:rPr>
            </w:pPr>
            <w:r>
              <w:rPr>
                <w:b/>
                <w:bCs/>
                <w:color w:val="auto"/>
                <w:sz w:val="28"/>
              </w:rPr>
              <w:t>3.2评价标准</w:t>
            </w:r>
          </w:p>
          <w:p>
            <w:pPr>
              <w:adjustRightInd w:val="0"/>
              <w:snapToGrid w:val="0"/>
              <w:spacing w:line="500" w:lineRule="atLeast"/>
              <w:ind w:firstLine="560" w:firstLineChars="200"/>
              <w:rPr>
                <w:bCs/>
                <w:color w:val="auto"/>
                <w:szCs w:val="28"/>
              </w:rPr>
            </w:pPr>
            <w:r>
              <w:rPr>
                <w:color w:val="auto"/>
                <w:sz w:val="28"/>
                <w:szCs w:val="28"/>
              </w:rPr>
              <w:t>本次声环境质量评价标准执行《声环境质量标准》（GB3096</w:t>
            </w:r>
            <w:r>
              <w:rPr>
                <w:rFonts w:hint="eastAsia"/>
                <w:color w:val="auto"/>
                <w:sz w:val="28"/>
                <w:szCs w:val="28"/>
              </w:rPr>
              <w:t>—</w:t>
            </w:r>
            <w:r>
              <w:rPr>
                <w:color w:val="auto"/>
                <w:sz w:val="28"/>
                <w:szCs w:val="28"/>
              </w:rPr>
              <w:t>2008）中的</w:t>
            </w:r>
            <w:r>
              <w:rPr>
                <w:rFonts w:hint="eastAsia"/>
                <w:color w:val="auto"/>
                <w:sz w:val="28"/>
                <w:szCs w:val="28"/>
                <w:lang w:val="en-US" w:eastAsia="zh-CN"/>
              </w:rPr>
              <w:t>3</w:t>
            </w:r>
            <w:r>
              <w:rPr>
                <w:color w:val="auto"/>
                <w:sz w:val="28"/>
                <w:szCs w:val="28"/>
              </w:rPr>
              <w:t>类标准，</w:t>
            </w:r>
            <w:r>
              <w:rPr>
                <w:rFonts w:hint="eastAsia"/>
                <w:color w:val="auto"/>
                <w:sz w:val="28"/>
                <w:szCs w:val="28"/>
              </w:rPr>
              <w:t>即</w:t>
            </w:r>
            <w:r>
              <w:rPr>
                <w:color w:val="auto"/>
                <w:sz w:val="28"/>
                <w:szCs w:val="28"/>
              </w:rPr>
              <w:t>昼间</w:t>
            </w:r>
            <w:r>
              <w:rPr>
                <w:rFonts w:hint="eastAsia"/>
                <w:color w:val="auto"/>
                <w:sz w:val="28"/>
                <w:szCs w:val="28"/>
              </w:rPr>
              <w:t>6</w:t>
            </w:r>
            <w:r>
              <w:rPr>
                <w:rFonts w:hint="eastAsia"/>
                <w:color w:val="auto"/>
                <w:sz w:val="28"/>
                <w:szCs w:val="28"/>
                <w:lang w:val="en-US" w:eastAsia="zh-CN"/>
              </w:rPr>
              <w:t>5</w:t>
            </w:r>
            <w:r>
              <w:rPr>
                <w:color w:val="auto"/>
                <w:sz w:val="28"/>
                <w:szCs w:val="28"/>
              </w:rPr>
              <w:t>dB</w:t>
            </w:r>
            <w:r>
              <w:rPr>
                <w:rFonts w:hint="eastAsia"/>
                <w:color w:val="auto"/>
                <w:sz w:val="28"/>
                <w:szCs w:val="28"/>
              </w:rPr>
              <w:t>（A）</w:t>
            </w:r>
            <w:r>
              <w:rPr>
                <w:color w:val="auto"/>
                <w:sz w:val="28"/>
                <w:szCs w:val="28"/>
              </w:rPr>
              <w:t>、夜间</w:t>
            </w:r>
            <w:r>
              <w:rPr>
                <w:rFonts w:hint="eastAsia"/>
                <w:color w:val="auto"/>
                <w:sz w:val="28"/>
                <w:szCs w:val="28"/>
              </w:rPr>
              <w:t>5</w:t>
            </w:r>
            <w:r>
              <w:rPr>
                <w:rFonts w:hint="eastAsia"/>
                <w:color w:val="auto"/>
                <w:sz w:val="28"/>
                <w:szCs w:val="28"/>
                <w:lang w:val="en-US" w:eastAsia="zh-CN"/>
              </w:rPr>
              <w:t>5</w:t>
            </w:r>
            <w:r>
              <w:rPr>
                <w:color w:val="auto"/>
                <w:sz w:val="28"/>
                <w:szCs w:val="28"/>
              </w:rPr>
              <w:t>dB</w:t>
            </w:r>
            <w:r>
              <w:rPr>
                <w:rFonts w:hint="eastAsia"/>
                <w:color w:val="auto"/>
                <w:sz w:val="28"/>
                <w:szCs w:val="28"/>
              </w:rPr>
              <w:t>（A）</w:t>
            </w:r>
            <w:r>
              <w:rPr>
                <w:color w:val="auto"/>
                <w:sz w:val="28"/>
                <w:szCs w:val="28"/>
              </w:rPr>
              <w:t>。</w:t>
            </w:r>
          </w:p>
          <w:p>
            <w:pPr>
              <w:spacing w:line="520" w:lineRule="exact"/>
              <w:rPr>
                <w:b/>
                <w:color w:val="auto"/>
                <w:sz w:val="28"/>
              </w:rPr>
            </w:pPr>
            <w:r>
              <w:rPr>
                <w:b/>
                <w:color w:val="auto"/>
                <w:sz w:val="28"/>
              </w:rPr>
              <w:t>3.3监测方法及结果</w:t>
            </w:r>
          </w:p>
          <w:p>
            <w:pPr>
              <w:spacing w:line="520" w:lineRule="exact"/>
              <w:ind w:firstLine="560" w:firstLineChars="200"/>
              <w:rPr>
                <w:color w:val="auto"/>
                <w:sz w:val="28"/>
                <w:szCs w:val="28"/>
              </w:rPr>
            </w:pPr>
            <w:r>
              <w:rPr>
                <w:color w:val="auto"/>
                <w:sz w:val="28"/>
              </w:rPr>
              <w:t>按照《声环境质量标准》（GB3096—2008）标准中有关规定。</w:t>
            </w:r>
            <w:r>
              <w:rPr>
                <w:color w:val="auto"/>
                <w:sz w:val="28"/>
                <w:szCs w:val="28"/>
              </w:rPr>
              <w:t>于</w:t>
            </w:r>
            <w:r>
              <w:rPr>
                <w:rFonts w:hint="eastAsia"/>
                <w:color w:val="auto"/>
                <w:sz w:val="28"/>
                <w:szCs w:val="28"/>
                <w:highlight w:val="none"/>
              </w:rPr>
              <w:t>2021</w:t>
            </w:r>
            <w:r>
              <w:rPr>
                <w:color w:val="auto"/>
                <w:sz w:val="28"/>
                <w:szCs w:val="28"/>
                <w:highlight w:val="none"/>
              </w:rPr>
              <w:t>年</w:t>
            </w:r>
            <w:r>
              <w:rPr>
                <w:rFonts w:hint="eastAsia"/>
                <w:color w:val="auto"/>
                <w:sz w:val="28"/>
                <w:szCs w:val="28"/>
                <w:highlight w:val="none"/>
              </w:rPr>
              <w:t>2</w:t>
            </w:r>
            <w:r>
              <w:rPr>
                <w:color w:val="auto"/>
                <w:sz w:val="28"/>
                <w:szCs w:val="28"/>
                <w:highlight w:val="none"/>
              </w:rPr>
              <w:t>月</w:t>
            </w:r>
            <w:r>
              <w:rPr>
                <w:rFonts w:hint="eastAsia"/>
                <w:color w:val="auto"/>
                <w:sz w:val="28"/>
                <w:szCs w:val="28"/>
                <w:highlight w:val="none"/>
              </w:rPr>
              <w:t>7日昼间和夜间</w:t>
            </w:r>
            <w:r>
              <w:rPr>
                <w:color w:val="auto"/>
                <w:sz w:val="28"/>
                <w:szCs w:val="28"/>
                <w:highlight w:val="none"/>
              </w:rPr>
              <w:t>，采用</w:t>
            </w:r>
            <w:r>
              <w:rPr>
                <w:rFonts w:hint="eastAsia"/>
                <w:color w:val="auto"/>
                <w:sz w:val="28"/>
                <w:szCs w:val="28"/>
                <w:highlight w:val="none"/>
              </w:rPr>
              <w:t>AWA6228</w:t>
            </w:r>
            <w:r>
              <w:rPr>
                <w:rFonts w:hint="eastAsia"/>
                <w:color w:val="auto"/>
                <w:sz w:val="28"/>
                <w:szCs w:val="28"/>
                <w:highlight w:val="none"/>
                <w:lang w:val="en-US" w:eastAsia="zh-CN"/>
              </w:rPr>
              <w:t>+</w:t>
            </w:r>
            <w:r>
              <w:rPr>
                <w:rFonts w:hint="eastAsia"/>
                <w:color w:val="auto"/>
                <w:sz w:val="28"/>
                <w:szCs w:val="28"/>
                <w:highlight w:val="none"/>
              </w:rPr>
              <w:t>型多功</w:t>
            </w:r>
            <w:r>
              <w:rPr>
                <w:rFonts w:hint="eastAsia"/>
                <w:color w:val="auto"/>
                <w:sz w:val="28"/>
                <w:szCs w:val="28"/>
              </w:rPr>
              <w:t>能声级计</w:t>
            </w:r>
            <w:r>
              <w:rPr>
                <w:color w:val="auto"/>
                <w:sz w:val="28"/>
                <w:szCs w:val="28"/>
              </w:rPr>
              <w:t>对项目噪声现状进行了监测，监测结果见表</w:t>
            </w:r>
            <w:r>
              <w:rPr>
                <w:rFonts w:hint="eastAsia"/>
                <w:color w:val="auto"/>
                <w:sz w:val="28"/>
                <w:szCs w:val="28"/>
              </w:rPr>
              <w:t>8</w:t>
            </w:r>
            <w:r>
              <w:rPr>
                <w:color w:val="auto"/>
                <w:sz w:val="28"/>
                <w:szCs w:val="28"/>
              </w:rPr>
              <w:t>。</w:t>
            </w:r>
          </w:p>
          <w:p>
            <w:pPr>
              <w:ind w:firstLine="480" w:firstLineChars="200"/>
              <w:rPr>
                <w:rFonts w:eastAsia="黑体"/>
                <w:color w:val="auto"/>
                <w:sz w:val="28"/>
                <w:szCs w:val="28"/>
              </w:rPr>
            </w:pPr>
            <w:r>
              <w:rPr>
                <w:rFonts w:eastAsia="黑体"/>
                <w:bCs/>
                <w:color w:val="auto"/>
                <w:sz w:val="24"/>
              </w:rPr>
              <w:t>表</w:t>
            </w:r>
            <w:r>
              <w:rPr>
                <w:rFonts w:hint="eastAsia" w:eastAsia="黑体"/>
                <w:bCs/>
                <w:color w:val="auto"/>
                <w:sz w:val="24"/>
              </w:rPr>
              <w:t>8</w:t>
            </w:r>
            <w:r>
              <w:rPr>
                <w:rFonts w:eastAsia="黑体"/>
                <w:bCs/>
                <w:color w:val="auto"/>
                <w:sz w:val="24"/>
              </w:rPr>
              <w:t xml:space="preserve">      </w:t>
            </w:r>
            <w:r>
              <w:rPr>
                <w:rFonts w:hint="eastAsia" w:eastAsia="黑体"/>
                <w:bCs/>
                <w:color w:val="auto"/>
                <w:sz w:val="24"/>
              </w:rPr>
              <w:t xml:space="preserve">   </w:t>
            </w:r>
            <w:r>
              <w:rPr>
                <w:rFonts w:eastAsia="黑体"/>
                <w:bCs/>
                <w:color w:val="auto"/>
                <w:sz w:val="24"/>
              </w:rPr>
              <w:t>项目</w:t>
            </w:r>
            <w:r>
              <w:rPr>
                <w:rFonts w:hint="eastAsia" w:eastAsia="黑体"/>
                <w:bCs/>
                <w:color w:val="auto"/>
                <w:sz w:val="24"/>
              </w:rPr>
              <w:t>厂区边界</w:t>
            </w:r>
            <w:r>
              <w:rPr>
                <w:rFonts w:eastAsia="黑体"/>
                <w:bCs/>
                <w:color w:val="auto"/>
                <w:sz w:val="24"/>
              </w:rPr>
              <w:t>噪声监测结果及标准值</w:t>
            </w:r>
            <w:r>
              <w:rPr>
                <w:rFonts w:hint="eastAsia" w:eastAsia="黑体"/>
                <w:bCs/>
                <w:color w:val="auto"/>
                <w:sz w:val="24"/>
              </w:rPr>
              <w:t xml:space="preserve">           </w:t>
            </w:r>
            <w:r>
              <w:rPr>
                <w:rFonts w:eastAsia="黑体"/>
                <w:bCs/>
                <w:color w:val="auto"/>
                <w:sz w:val="24"/>
              </w:rPr>
              <w:t>单位：dB（A）</w:t>
            </w:r>
          </w:p>
          <w:tbl>
            <w:tblPr>
              <w:tblStyle w:val="24"/>
              <w:tblW w:w="5000" w:type="pct"/>
              <w:tblInd w:w="0" w:type="dxa"/>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autofit"/>
              <w:tblCellMar>
                <w:top w:w="0" w:type="dxa"/>
                <w:left w:w="108" w:type="dxa"/>
                <w:bottom w:w="0" w:type="dxa"/>
                <w:right w:w="108" w:type="dxa"/>
              </w:tblCellMar>
            </w:tblPr>
            <w:tblGrid>
              <w:gridCol w:w="1256"/>
              <w:gridCol w:w="1058"/>
              <w:gridCol w:w="847"/>
              <w:gridCol w:w="1477"/>
              <w:gridCol w:w="1477"/>
              <w:gridCol w:w="1477"/>
              <w:gridCol w:w="1479"/>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12" w:hRule="atLeast"/>
              </w:trPr>
              <w:tc>
                <w:tcPr>
                  <w:tcW w:w="692" w:type="pct"/>
                  <w:vAlign w:val="center"/>
                </w:tcPr>
                <w:p>
                  <w:pPr>
                    <w:pStyle w:val="103"/>
                    <w:rPr>
                      <w:rFonts w:ascii="Times New Roman" w:hAnsi="Times New Roman"/>
                      <w:color w:val="auto"/>
                    </w:rPr>
                  </w:pPr>
                  <w:r>
                    <w:rPr>
                      <w:rFonts w:ascii="Times New Roman" w:hAnsi="Times New Roman"/>
                      <w:color w:val="auto"/>
                    </w:rPr>
                    <w:t>监测点位</w:t>
                  </w:r>
                </w:p>
              </w:tc>
              <w:tc>
                <w:tcPr>
                  <w:tcW w:w="1050" w:type="pct"/>
                  <w:gridSpan w:val="2"/>
                  <w:vAlign w:val="center"/>
                </w:tcPr>
                <w:p>
                  <w:pPr>
                    <w:pStyle w:val="103"/>
                    <w:rPr>
                      <w:rFonts w:ascii="Times New Roman" w:hAnsi="Times New Roman"/>
                      <w:color w:val="auto"/>
                    </w:rPr>
                  </w:pPr>
                  <w:r>
                    <w:rPr>
                      <w:rFonts w:ascii="Times New Roman" w:hAnsi="Times New Roman"/>
                      <w:color w:val="auto"/>
                    </w:rPr>
                    <w:t>监测时段</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hint="eastAsia" w:ascii="Times New Roman" w:hAnsi="Times New Roman"/>
                      <w:color w:val="auto"/>
                    </w:rPr>
                    <w:t>东</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ascii="Times New Roman" w:hAnsi="Times New Roman"/>
                      <w:color w:val="auto"/>
                    </w:rPr>
                    <w:t>南</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ascii="Times New Roman" w:hAnsi="Times New Roman"/>
                      <w:color w:val="auto"/>
                    </w:rPr>
                    <w:t>西</w:t>
                  </w:r>
                </w:p>
              </w:tc>
              <w:tc>
                <w:tcPr>
                  <w:tcW w:w="815" w:type="pct"/>
                  <w:vAlign w:val="center"/>
                </w:tcPr>
                <w:p>
                  <w:pPr>
                    <w:pStyle w:val="103"/>
                    <w:rPr>
                      <w:rFonts w:ascii="Times New Roman" w:hAnsi="Times New Roman"/>
                      <w:color w:val="auto"/>
                    </w:rPr>
                  </w:pPr>
                  <w:r>
                    <w:rPr>
                      <w:rFonts w:hint="eastAsia" w:ascii="Times New Roman" w:hAnsi="Times New Roman"/>
                      <w:color w:val="auto"/>
                    </w:rPr>
                    <w:t>北</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12" w:hRule="atLeast"/>
              </w:trPr>
              <w:tc>
                <w:tcPr>
                  <w:tcW w:w="692" w:type="pct"/>
                  <w:vMerge w:val="restart"/>
                  <w:vAlign w:val="center"/>
                </w:tcPr>
                <w:p>
                  <w:pPr>
                    <w:pStyle w:val="103"/>
                    <w:rPr>
                      <w:rFonts w:ascii="Times New Roman" w:hAnsi="Times New Roman"/>
                      <w:color w:val="auto"/>
                    </w:rPr>
                  </w:pPr>
                  <w:r>
                    <w:rPr>
                      <w:rFonts w:ascii="Times New Roman" w:hAnsi="Times New Roman"/>
                      <w:color w:val="auto"/>
                    </w:rPr>
                    <w:t>监测值</w:t>
                  </w:r>
                </w:p>
              </w:tc>
              <w:tc>
                <w:tcPr>
                  <w:tcW w:w="583" w:type="pct"/>
                  <w:vMerge w:val="restart"/>
                  <w:vAlign w:val="center"/>
                </w:tcPr>
                <w:p>
                  <w:pPr>
                    <w:pStyle w:val="103"/>
                    <w:rPr>
                      <w:rFonts w:ascii="Times New Roman" w:hAnsi="Times New Roman"/>
                      <w:color w:val="auto"/>
                      <w:highlight w:val="yellow"/>
                    </w:rPr>
                  </w:pPr>
                  <w:r>
                    <w:rPr>
                      <w:rFonts w:hint="eastAsia" w:ascii="Times New Roman" w:hAnsi="Times New Roman"/>
                      <w:color w:val="auto"/>
                      <w:highlight w:val="none"/>
                      <w:lang w:val="en-US" w:eastAsia="zh-CN"/>
                    </w:rPr>
                    <w:t>2月</w:t>
                  </w:r>
                  <w:r>
                    <w:rPr>
                      <w:rFonts w:hint="eastAsia" w:ascii="Times New Roman" w:hAnsi="Times New Roman"/>
                      <w:color w:val="auto"/>
                      <w:highlight w:val="none"/>
                    </w:rPr>
                    <w:t>7日</w:t>
                  </w:r>
                </w:p>
              </w:tc>
              <w:tc>
                <w:tcPr>
                  <w:tcW w:w="466" w:type="pct"/>
                  <w:vAlign w:val="center"/>
                </w:tcPr>
                <w:p>
                  <w:pPr>
                    <w:pStyle w:val="103"/>
                    <w:rPr>
                      <w:rFonts w:ascii="Times New Roman" w:hAnsi="Times New Roman"/>
                      <w:color w:val="auto"/>
                    </w:rPr>
                  </w:pPr>
                  <w:r>
                    <w:rPr>
                      <w:rFonts w:ascii="Times New Roman" w:hAnsi="Times New Roman"/>
                      <w:color w:val="auto"/>
                    </w:rPr>
                    <w:t>昼间</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hint="eastAsia" w:ascii="Times New Roman" w:hAnsi="Times New Roman"/>
                      <w:color w:val="auto"/>
                      <w:lang w:val="en-US" w:eastAsia="zh-CN"/>
                    </w:rPr>
                    <w:t>45.5</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hint="eastAsia" w:ascii="Times New Roman" w:hAnsi="Times New Roman"/>
                      <w:color w:val="auto"/>
                      <w:lang w:val="en-US" w:eastAsia="zh-CN"/>
                    </w:rPr>
                    <w:t>46.1</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hint="eastAsia" w:ascii="Times New Roman" w:hAnsi="Times New Roman"/>
                      <w:color w:val="auto"/>
                    </w:rPr>
                    <w:t>48.</w:t>
                  </w:r>
                  <w:r>
                    <w:rPr>
                      <w:rFonts w:hint="eastAsia" w:ascii="Times New Roman" w:hAnsi="Times New Roman"/>
                      <w:color w:val="auto"/>
                      <w:lang w:val="en-US" w:eastAsia="zh-CN"/>
                    </w:rPr>
                    <w:t>3</w:t>
                  </w:r>
                </w:p>
              </w:tc>
              <w:tc>
                <w:tcPr>
                  <w:tcW w:w="815" w:type="pct"/>
                  <w:vAlign w:val="center"/>
                </w:tcPr>
                <w:p>
                  <w:pPr>
                    <w:pStyle w:val="103"/>
                    <w:rPr>
                      <w:rFonts w:ascii="Times New Roman" w:hAnsi="Times New Roman"/>
                      <w:color w:val="auto"/>
                    </w:rPr>
                  </w:pPr>
                  <w:r>
                    <w:rPr>
                      <w:rFonts w:hint="eastAsia" w:ascii="Times New Roman" w:hAnsi="Times New Roman"/>
                      <w:color w:val="auto"/>
                      <w:lang w:val="en-US" w:eastAsia="zh-CN"/>
                    </w:rPr>
                    <w:t>44.8</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36" w:hRule="atLeast"/>
              </w:trPr>
              <w:tc>
                <w:tcPr>
                  <w:tcW w:w="692" w:type="pct"/>
                  <w:vMerge w:val="continue"/>
                  <w:vAlign w:val="center"/>
                </w:tcPr>
                <w:p>
                  <w:pPr>
                    <w:pStyle w:val="103"/>
                    <w:rPr>
                      <w:rFonts w:ascii="Times New Roman" w:hAnsi="Times New Roman"/>
                      <w:color w:val="auto"/>
                    </w:rPr>
                  </w:pPr>
                </w:p>
              </w:tc>
              <w:tc>
                <w:tcPr>
                  <w:tcW w:w="583" w:type="pct"/>
                  <w:vMerge w:val="continue"/>
                  <w:vAlign w:val="center"/>
                </w:tcPr>
                <w:p>
                  <w:pPr>
                    <w:pStyle w:val="103"/>
                    <w:rPr>
                      <w:rFonts w:ascii="Times New Roman" w:hAnsi="Times New Roman"/>
                      <w:color w:val="auto"/>
                      <w:highlight w:val="yellow"/>
                    </w:rPr>
                  </w:pPr>
                </w:p>
              </w:tc>
              <w:tc>
                <w:tcPr>
                  <w:tcW w:w="466" w:type="pct"/>
                  <w:vAlign w:val="center"/>
                </w:tcPr>
                <w:p>
                  <w:pPr>
                    <w:pStyle w:val="103"/>
                    <w:rPr>
                      <w:rFonts w:ascii="Times New Roman" w:hAnsi="Times New Roman"/>
                      <w:color w:val="auto"/>
                    </w:rPr>
                  </w:pPr>
                  <w:r>
                    <w:rPr>
                      <w:rFonts w:ascii="Times New Roman" w:hAnsi="Times New Roman"/>
                      <w:color w:val="auto"/>
                    </w:rPr>
                    <w:t>夜间</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hint="eastAsia" w:ascii="Times New Roman" w:hAnsi="Times New Roman"/>
                      <w:color w:val="auto"/>
                    </w:rPr>
                    <w:t>37.</w:t>
                  </w:r>
                  <w:r>
                    <w:rPr>
                      <w:rFonts w:hint="eastAsia" w:ascii="Times New Roman" w:hAnsi="Times New Roman"/>
                      <w:color w:val="auto"/>
                      <w:lang w:val="en-US" w:eastAsia="zh-CN"/>
                    </w:rPr>
                    <w:t>7</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hint="eastAsia" w:ascii="Times New Roman" w:hAnsi="Times New Roman"/>
                      <w:color w:val="auto"/>
                      <w:lang w:val="en-US" w:eastAsia="zh-CN"/>
                    </w:rPr>
                    <w:t>38.5</w:t>
                  </w:r>
                </w:p>
              </w:tc>
              <w:tc>
                <w:tcPr>
                  <w:tcW w:w="814" w:type="pct"/>
                  <w:tcMar>
                    <w:top w:w="0" w:type="dxa"/>
                    <w:left w:w="108" w:type="dxa"/>
                    <w:bottom w:w="0" w:type="dxa"/>
                    <w:right w:w="108" w:type="dxa"/>
                  </w:tcMar>
                  <w:vAlign w:val="center"/>
                </w:tcPr>
                <w:p>
                  <w:pPr>
                    <w:pStyle w:val="103"/>
                    <w:rPr>
                      <w:rFonts w:ascii="Times New Roman" w:hAnsi="Times New Roman"/>
                      <w:color w:val="auto"/>
                    </w:rPr>
                  </w:pPr>
                  <w:r>
                    <w:rPr>
                      <w:rFonts w:hint="eastAsia" w:ascii="Times New Roman" w:hAnsi="Times New Roman"/>
                      <w:color w:val="auto"/>
                      <w:lang w:val="en-US" w:eastAsia="zh-CN"/>
                    </w:rPr>
                    <w:t>39.6</w:t>
                  </w:r>
                </w:p>
              </w:tc>
              <w:tc>
                <w:tcPr>
                  <w:tcW w:w="815" w:type="pct"/>
                  <w:vAlign w:val="center"/>
                </w:tcPr>
                <w:p>
                  <w:pPr>
                    <w:pStyle w:val="103"/>
                    <w:rPr>
                      <w:rFonts w:ascii="Times New Roman" w:hAnsi="Times New Roman"/>
                      <w:color w:val="auto"/>
                    </w:rPr>
                  </w:pPr>
                  <w:r>
                    <w:rPr>
                      <w:rFonts w:hint="eastAsia" w:ascii="Times New Roman" w:hAnsi="Times New Roman"/>
                      <w:color w:val="auto"/>
                      <w:lang w:val="en-US" w:eastAsia="zh-CN"/>
                    </w:rPr>
                    <w:t>38.3</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576" w:hRule="atLeast"/>
              </w:trPr>
              <w:tc>
                <w:tcPr>
                  <w:tcW w:w="1742" w:type="pct"/>
                  <w:gridSpan w:val="3"/>
                  <w:tcMar>
                    <w:top w:w="0" w:type="dxa"/>
                    <w:left w:w="108" w:type="dxa"/>
                    <w:bottom w:w="0" w:type="dxa"/>
                    <w:right w:w="108" w:type="dxa"/>
                  </w:tcMar>
                  <w:vAlign w:val="center"/>
                </w:tcPr>
                <w:p>
                  <w:pPr>
                    <w:pStyle w:val="103"/>
                    <w:rPr>
                      <w:rFonts w:ascii="Times New Roman" w:hAnsi="Times New Roman"/>
                      <w:color w:val="auto"/>
                    </w:rPr>
                  </w:pPr>
                  <w:r>
                    <w:rPr>
                      <w:rFonts w:ascii="Times New Roman" w:hAnsi="Times New Roman"/>
                      <w:color w:val="auto"/>
                    </w:rPr>
                    <w:t>标准值</w:t>
                  </w:r>
                </w:p>
              </w:tc>
              <w:tc>
                <w:tcPr>
                  <w:tcW w:w="3257" w:type="pct"/>
                  <w:gridSpan w:val="4"/>
                  <w:vAlign w:val="center"/>
                </w:tcPr>
                <w:p>
                  <w:pPr>
                    <w:pStyle w:val="103"/>
                    <w:rPr>
                      <w:rFonts w:ascii="Times New Roman" w:hAnsi="Times New Roman"/>
                      <w:color w:val="auto"/>
                    </w:rPr>
                  </w:pPr>
                  <w:r>
                    <w:rPr>
                      <w:rFonts w:ascii="Times New Roman" w:hAnsi="Times New Roman"/>
                      <w:color w:val="auto"/>
                    </w:rPr>
                    <w:t>《声环境质量标准》（GB3096</w:t>
                  </w:r>
                  <w:r>
                    <w:rPr>
                      <w:rFonts w:hint="eastAsia" w:ascii="Times New Roman" w:hAnsi="Times New Roman"/>
                      <w:color w:val="auto"/>
                    </w:rPr>
                    <w:t>—</w:t>
                  </w:r>
                  <w:r>
                    <w:rPr>
                      <w:rFonts w:ascii="Times New Roman" w:hAnsi="Times New Roman"/>
                      <w:color w:val="auto"/>
                    </w:rPr>
                    <w:t>2008）</w:t>
                  </w:r>
                  <w:r>
                    <w:rPr>
                      <w:rFonts w:hint="eastAsia" w:ascii="Times New Roman" w:hAnsi="Times New Roman"/>
                      <w:color w:val="auto"/>
                    </w:rPr>
                    <w:t>3</w:t>
                  </w:r>
                  <w:r>
                    <w:rPr>
                      <w:rFonts w:ascii="Times New Roman" w:hAnsi="Times New Roman"/>
                      <w:color w:val="auto"/>
                    </w:rPr>
                    <w:t>类区</w:t>
                  </w:r>
                </w:p>
                <w:p>
                  <w:pPr>
                    <w:pStyle w:val="103"/>
                    <w:rPr>
                      <w:rFonts w:ascii="Times New Roman" w:hAnsi="Times New Roman"/>
                      <w:color w:val="auto"/>
                    </w:rPr>
                  </w:pPr>
                  <w:r>
                    <w:rPr>
                      <w:rFonts w:ascii="Times New Roman" w:hAnsi="Times New Roman"/>
                      <w:color w:val="auto"/>
                    </w:rPr>
                    <w:t>昼间：</w:t>
                  </w:r>
                  <w:r>
                    <w:rPr>
                      <w:rFonts w:hint="eastAsia" w:ascii="Times New Roman" w:hAnsi="Times New Roman"/>
                      <w:color w:val="auto"/>
                    </w:rPr>
                    <w:t>65</w:t>
                  </w:r>
                  <w:r>
                    <w:rPr>
                      <w:rFonts w:ascii="Times New Roman" w:hAnsi="Times New Roman"/>
                      <w:color w:val="auto"/>
                    </w:rPr>
                    <w:t>dB（A）；夜间：</w:t>
                  </w:r>
                  <w:r>
                    <w:rPr>
                      <w:rFonts w:hint="eastAsia" w:ascii="Times New Roman" w:hAnsi="Times New Roman"/>
                      <w:color w:val="auto"/>
                    </w:rPr>
                    <w:t>55</w:t>
                  </w:r>
                  <w:r>
                    <w:rPr>
                      <w:rFonts w:ascii="Times New Roman" w:hAnsi="Times New Roman"/>
                      <w:color w:val="auto"/>
                    </w:rPr>
                    <w:t>dB（A）</w:t>
                  </w:r>
                </w:p>
              </w:tc>
            </w:tr>
          </w:tbl>
          <w:p>
            <w:pPr>
              <w:spacing w:line="520" w:lineRule="exact"/>
              <w:ind w:firstLine="560" w:firstLineChars="200"/>
              <w:rPr>
                <w:color w:val="auto"/>
                <w:sz w:val="28"/>
                <w:szCs w:val="28"/>
              </w:rPr>
            </w:pPr>
            <w:r>
              <w:rPr>
                <w:color w:val="auto"/>
                <w:sz w:val="28"/>
                <w:szCs w:val="28"/>
              </w:rPr>
              <w:t>从表</w:t>
            </w:r>
            <w:r>
              <w:rPr>
                <w:rFonts w:hint="eastAsia"/>
                <w:color w:val="auto"/>
                <w:sz w:val="28"/>
                <w:szCs w:val="28"/>
              </w:rPr>
              <w:t>8</w:t>
            </w:r>
            <w:r>
              <w:rPr>
                <w:color w:val="auto"/>
                <w:sz w:val="28"/>
                <w:szCs w:val="28"/>
              </w:rPr>
              <w:t>可看出，</w:t>
            </w:r>
            <w:r>
              <w:rPr>
                <w:rFonts w:hint="eastAsia"/>
                <w:color w:val="auto"/>
                <w:sz w:val="28"/>
                <w:szCs w:val="28"/>
              </w:rPr>
              <w:t>建设</w:t>
            </w:r>
            <w:r>
              <w:rPr>
                <w:color w:val="auto"/>
                <w:sz w:val="28"/>
                <w:szCs w:val="28"/>
              </w:rPr>
              <w:t>项目周边昼、夜间噪声均能满足</w:t>
            </w:r>
            <w:r>
              <w:rPr>
                <w:rStyle w:val="27"/>
                <w:b w:val="0"/>
                <w:color w:val="auto"/>
                <w:sz w:val="28"/>
                <w:szCs w:val="28"/>
              </w:rPr>
              <w:t>《声环境质量标准》</w:t>
            </w:r>
            <w:r>
              <w:rPr>
                <w:color w:val="auto"/>
                <w:sz w:val="28"/>
                <w:szCs w:val="28"/>
              </w:rPr>
              <w:t>（</w:t>
            </w:r>
            <w:r>
              <w:rPr>
                <w:rStyle w:val="27"/>
                <w:b w:val="0"/>
                <w:color w:val="auto"/>
                <w:sz w:val="28"/>
                <w:szCs w:val="28"/>
              </w:rPr>
              <w:t>GB3096—2008</w:t>
            </w:r>
            <w:r>
              <w:rPr>
                <w:color w:val="auto"/>
                <w:sz w:val="28"/>
                <w:szCs w:val="28"/>
              </w:rPr>
              <w:t>）</w:t>
            </w:r>
            <w:r>
              <w:rPr>
                <w:rFonts w:hint="eastAsia"/>
                <w:color w:val="auto"/>
                <w:sz w:val="28"/>
                <w:szCs w:val="28"/>
                <w:lang w:val="en-US" w:eastAsia="zh-CN"/>
              </w:rPr>
              <w:t>3</w:t>
            </w:r>
            <w:r>
              <w:rPr>
                <w:rFonts w:hint="eastAsia"/>
                <w:color w:val="auto"/>
                <w:sz w:val="28"/>
                <w:szCs w:val="28"/>
              </w:rPr>
              <w:t>类</w:t>
            </w:r>
            <w:r>
              <w:rPr>
                <w:color w:val="auto"/>
                <w:sz w:val="28"/>
                <w:szCs w:val="28"/>
              </w:rPr>
              <w:t>区标准限值的要求</w:t>
            </w:r>
            <w:r>
              <w:rPr>
                <w:rFonts w:hint="eastAsia"/>
                <w:color w:val="auto"/>
                <w:sz w:val="28"/>
                <w:szCs w:val="28"/>
              </w:rPr>
              <w:t>，声环境质量良好</w:t>
            </w:r>
            <w:r>
              <w:rPr>
                <w:color w:val="auto"/>
                <w:sz w:val="28"/>
                <w:szCs w:val="28"/>
              </w:rPr>
              <w:t>。</w:t>
            </w:r>
          </w:p>
          <w:p>
            <w:pPr>
              <w:spacing w:line="520" w:lineRule="exact"/>
              <w:rPr>
                <w:b/>
                <w:color w:val="auto"/>
                <w:sz w:val="28"/>
                <w:szCs w:val="28"/>
              </w:rPr>
            </w:pPr>
            <w:r>
              <w:rPr>
                <w:rFonts w:hint="eastAsia"/>
                <w:b/>
                <w:color w:val="auto"/>
                <w:sz w:val="28"/>
                <w:szCs w:val="28"/>
              </w:rPr>
              <w:t>4生态环境现状评价</w:t>
            </w:r>
          </w:p>
          <w:p>
            <w:pPr>
              <w:spacing w:line="520" w:lineRule="exact"/>
              <w:ind w:firstLine="560" w:firstLineChars="200"/>
              <w:rPr>
                <w:color w:val="auto"/>
                <w:sz w:val="28"/>
                <w:szCs w:val="28"/>
              </w:rPr>
            </w:pPr>
            <w:r>
              <w:rPr>
                <w:color w:val="auto"/>
                <w:sz w:val="28"/>
                <w:szCs w:val="28"/>
              </w:rPr>
              <w:t>本环评查阅了相关资料，结合现场踏勘，</w:t>
            </w:r>
            <w:r>
              <w:rPr>
                <w:rFonts w:hint="eastAsia"/>
                <w:color w:val="auto"/>
                <w:sz w:val="28"/>
                <w:szCs w:val="28"/>
              </w:rPr>
              <w:t>根据《新疆生态功能区划》，项目所在地巩留县属于“Ⅲ天山山地温性草原、森林生态区—Ⅲ2西部天山草原牧业、针叶林水源涵养及河谷绿洲农业生态亚区中37.喀什河、巩乃斯河河谷草原—绿洲生物多样性保护生态功能区</w:t>
            </w:r>
            <w:r>
              <w:rPr>
                <w:color w:val="auto"/>
                <w:sz w:val="28"/>
                <w:szCs w:val="28"/>
              </w:rPr>
              <w:t>。</w:t>
            </w:r>
          </w:p>
          <w:p>
            <w:pPr>
              <w:ind w:firstLine="480" w:firstLineChars="200"/>
              <w:rPr>
                <w:bCs/>
                <w:color w:val="auto"/>
                <w:kern w:val="28"/>
                <w:szCs w:val="32"/>
              </w:rPr>
            </w:pPr>
            <w:r>
              <w:rPr>
                <w:rFonts w:eastAsia="黑体"/>
                <w:bCs/>
                <w:color w:val="auto"/>
                <w:sz w:val="24"/>
              </w:rPr>
              <w:t>表</w:t>
            </w:r>
            <w:r>
              <w:rPr>
                <w:rFonts w:hint="eastAsia" w:eastAsia="黑体"/>
                <w:bCs/>
                <w:color w:val="auto"/>
                <w:sz w:val="24"/>
              </w:rPr>
              <w:t>9</w:t>
            </w:r>
            <w:r>
              <w:rPr>
                <w:rFonts w:eastAsia="黑体"/>
                <w:bCs/>
                <w:color w:val="auto"/>
                <w:sz w:val="24"/>
              </w:rPr>
              <w:t xml:space="preserve">          </w:t>
            </w:r>
            <w:r>
              <w:rPr>
                <w:rFonts w:hint="eastAsia" w:eastAsia="黑体"/>
                <w:bCs/>
                <w:color w:val="auto"/>
                <w:sz w:val="24"/>
              </w:rPr>
              <w:t xml:space="preserve">         生态功能区主要特征</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709"/>
              <w:gridCol w:w="992"/>
              <w:gridCol w:w="992"/>
              <w:gridCol w:w="726"/>
              <w:gridCol w:w="729"/>
              <w:gridCol w:w="945"/>
              <w:gridCol w:w="1119"/>
              <w:gridCol w:w="971"/>
              <w:gridCol w:w="876"/>
              <w:gridCol w:w="1012"/>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1485" w:type="pct"/>
                  <w:gridSpan w:val="3"/>
                  <w:vAlign w:val="center"/>
                </w:tcPr>
                <w:p>
                  <w:pPr>
                    <w:pStyle w:val="103"/>
                    <w:rPr>
                      <w:rFonts w:ascii="宋体" w:hAnsi="宋体" w:eastAsia="宋体"/>
                      <w:color w:val="auto"/>
                    </w:rPr>
                  </w:pPr>
                  <w:r>
                    <w:rPr>
                      <w:rFonts w:ascii="宋体" w:hAnsi="宋体" w:eastAsia="宋体"/>
                      <w:color w:val="auto"/>
                    </w:rPr>
                    <w:t>生态功能分区单元</w:t>
                  </w:r>
                </w:p>
              </w:tc>
              <w:tc>
                <w:tcPr>
                  <w:tcW w:w="400" w:type="pct"/>
                  <w:vMerge w:val="restart"/>
                  <w:vAlign w:val="center"/>
                </w:tcPr>
                <w:p>
                  <w:pPr>
                    <w:pStyle w:val="103"/>
                    <w:rPr>
                      <w:rFonts w:ascii="宋体" w:hAnsi="宋体" w:eastAsia="宋体"/>
                      <w:color w:val="auto"/>
                    </w:rPr>
                  </w:pPr>
                  <w:r>
                    <w:rPr>
                      <w:rFonts w:ascii="宋体" w:hAnsi="宋体" w:eastAsia="宋体"/>
                      <w:color w:val="auto"/>
                    </w:rPr>
                    <w:t>隶属行政区</w:t>
                  </w:r>
                </w:p>
              </w:tc>
              <w:tc>
                <w:tcPr>
                  <w:tcW w:w="402" w:type="pct"/>
                  <w:vMerge w:val="restart"/>
                  <w:vAlign w:val="center"/>
                </w:tcPr>
                <w:p>
                  <w:pPr>
                    <w:pStyle w:val="103"/>
                    <w:rPr>
                      <w:rFonts w:ascii="宋体" w:hAnsi="宋体" w:eastAsia="宋体"/>
                      <w:color w:val="auto"/>
                    </w:rPr>
                  </w:pPr>
                  <w:r>
                    <w:rPr>
                      <w:rFonts w:ascii="宋体" w:hAnsi="宋体" w:eastAsia="宋体"/>
                      <w:color w:val="auto"/>
                    </w:rPr>
                    <w:t>主要生态服务功能</w:t>
                  </w:r>
                </w:p>
              </w:tc>
              <w:tc>
                <w:tcPr>
                  <w:tcW w:w="521" w:type="pct"/>
                  <w:vMerge w:val="restart"/>
                  <w:vAlign w:val="center"/>
                </w:tcPr>
                <w:p>
                  <w:pPr>
                    <w:pStyle w:val="103"/>
                    <w:rPr>
                      <w:rFonts w:ascii="宋体" w:hAnsi="宋体" w:eastAsia="宋体"/>
                      <w:color w:val="auto"/>
                    </w:rPr>
                  </w:pPr>
                  <w:r>
                    <w:rPr>
                      <w:rFonts w:ascii="宋体" w:hAnsi="宋体" w:eastAsia="宋体"/>
                      <w:color w:val="auto"/>
                    </w:rPr>
                    <w:t>主要生态环境问题</w:t>
                  </w:r>
                </w:p>
              </w:tc>
              <w:tc>
                <w:tcPr>
                  <w:tcW w:w="617" w:type="pct"/>
                  <w:vMerge w:val="restart"/>
                  <w:vAlign w:val="center"/>
                </w:tcPr>
                <w:p>
                  <w:pPr>
                    <w:pStyle w:val="103"/>
                    <w:rPr>
                      <w:rFonts w:ascii="宋体" w:hAnsi="宋体" w:eastAsia="宋体"/>
                      <w:color w:val="auto"/>
                    </w:rPr>
                  </w:pPr>
                  <w:r>
                    <w:rPr>
                      <w:rFonts w:ascii="宋体" w:hAnsi="宋体" w:eastAsia="宋体"/>
                      <w:color w:val="auto"/>
                    </w:rPr>
                    <w:t>生态敏感因子敏感度</w:t>
                  </w:r>
                </w:p>
              </w:tc>
              <w:tc>
                <w:tcPr>
                  <w:tcW w:w="535" w:type="pct"/>
                  <w:vMerge w:val="restart"/>
                  <w:vAlign w:val="center"/>
                </w:tcPr>
                <w:p>
                  <w:pPr>
                    <w:pStyle w:val="103"/>
                    <w:rPr>
                      <w:rFonts w:ascii="宋体" w:hAnsi="宋体" w:eastAsia="宋体"/>
                      <w:color w:val="auto"/>
                    </w:rPr>
                  </w:pPr>
                  <w:r>
                    <w:rPr>
                      <w:rFonts w:ascii="宋体" w:hAnsi="宋体" w:eastAsia="宋体"/>
                      <w:color w:val="auto"/>
                    </w:rPr>
                    <w:t>保护目标</w:t>
                  </w:r>
                </w:p>
              </w:tc>
              <w:tc>
                <w:tcPr>
                  <w:tcW w:w="483" w:type="pct"/>
                  <w:vMerge w:val="restart"/>
                  <w:vAlign w:val="center"/>
                </w:tcPr>
                <w:p>
                  <w:pPr>
                    <w:pStyle w:val="103"/>
                    <w:rPr>
                      <w:rFonts w:ascii="宋体" w:hAnsi="宋体" w:eastAsia="宋体"/>
                      <w:color w:val="auto"/>
                    </w:rPr>
                  </w:pPr>
                  <w:r>
                    <w:rPr>
                      <w:rFonts w:ascii="宋体" w:hAnsi="宋体" w:eastAsia="宋体"/>
                      <w:color w:val="auto"/>
                    </w:rPr>
                    <w:t>保护措施</w:t>
                  </w:r>
                </w:p>
              </w:tc>
              <w:tc>
                <w:tcPr>
                  <w:tcW w:w="557" w:type="pct"/>
                  <w:vMerge w:val="restart"/>
                  <w:vAlign w:val="center"/>
                </w:tcPr>
                <w:p>
                  <w:pPr>
                    <w:pStyle w:val="103"/>
                    <w:rPr>
                      <w:rFonts w:ascii="宋体" w:hAnsi="宋体" w:eastAsia="宋体"/>
                      <w:color w:val="auto"/>
                    </w:rPr>
                  </w:pPr>
                  <w:r>
                    <w:rPr>
                      <w:rFonts w:ascii="宋体" w:hAnsi="宋体" w:eastAsia="宋体"/>
                      <w:color w:val="auto"/>
                    </w:rPr>
                    <w:t>发展方向</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91" w:type="pct"/>
                  <w:vAlign w:val="center"/>
                </w:tcPr>
                <w:p>
                  <w:pPr>
                    <w:pStyle w:val="103"/>
                    <w:rPr>
                      <w:rFonts w:ascii="宋体" w:hAnsi="宋体" w:eastAsia="宋体"/>
                      <w:color w:val="auto"/>
                    </w:rPr>
                  </w:pPr>
                  <w:r>
                    <w:rPr>
                      <w:rFonts w:ascii="宋体" w:hAnsi="宋体" w:eastAsia="宋体"/>
                      <w:color w:val="auto"/>
                    </w:rPr>
                    <w:t>生态区</w:t>
                  </w:r>
                </w:p>
              </w:tc>
              <w:tc>
                <w:tcPr>
                  <w:tcW w:w="547" w:type="pct"/>
                  <w:vAlign w:val="center"/>
                </w:tcPr>
                <w:p>
                  <w:pPr>
                    <w:pStyle w:val="103"/>
                    <w:rPr>
                      <w:rFonts w:ascii="宋体" w:hAnsi="宋体" w:eastAsia="宋体"/>
                      <w:color w:val="auto"/>
                    </w:rPr>
                  </w:pPr>
                  <w:r>
                    <w:rPr>
                      <w:rFonts w:ascii="宋体" w:hAnsi="宋体" w:eastAsia="宋体"/>
                      <w:color w:val="auto"/>
                    </w:rPr>
                    <w:t>生态亚区</w:t>
                  </w:r>
                </w:p>
              </w:tc>
              <w:tc>
                <w:tcPr>
                  <w:tcW w:w="547" w:type="pct"/>
                  <w:vAlign w:val="center"/>
                </w:tcPr>
                <w:p>
                  <w:pPr>
                    <w:pStyle w:val="103"/>
                    <w:rPr>
                      <w:rFonts w:ascii="宋体" w:hAnsi="宋体" w:eastAsia="宋体"/>
                      <w:color w:val="auto"/>
                    </w:rPr>
                  </w:pPr>
                  <w:r>
                    <w:rPr>
                      <w:rFonts w:ascii="宋体" w:hAnsi="宋体" w:eastAsia="宋体"/>
                      <w:color w:val="auto"/>
                    </w:rPr>
                    <w:t>生态功能区</w:t>
                  </w:r>
                </w:p>
              </w:tc>
              <w:tc>
                <w:tcPr>
                  <w:tcW w:w="400" w:type="pct"/>
                  <w:vMerge w:val="continue"/>
                  <w:vAlign w:val="center"/>
                </w:tcPr>
                <w:p>
                  <w:pPr>
                    <w:pStyle w:val="103"/>
                    <w:rPr>
                      <w:rFonts w:ascii="宋体" w:hAnsi="宋体" w:eastAsia="宋体"/>
                      <w:color w:val="auto"/>
                    </w:rPr>
                  </w:pPr>
                </w:p>
              </w:tc>
              <w:tc>
                <w:tcPr>
                  <w:tcW w:w="402" w:type="pct"/>
                  <w:vMerge w:val="continue"/>
                  <w:vAlign w:val="center"/>
                </w:tcPr>
                <w:p>
                  <w:pPr>
                    <w:pStyle w:val="103"/>
                    <w:rPr>
                      <w:rFonts w:ascii="宋体" w:hAnsi="宋体" w:eastAsia="宋体"/>
                      <w:color w:val="auto"/>
                    </w:rPr>
                  </w:pPr>
                </w:p>
              </w:tc>
              <w:tc>
                <w:tcPr>
                  <w:tcW w:w="521" w:type="pct"/>
                  <w:vMerge w:val="continue"/>
                  <w:vAlign w:val="center"/>
                </w:tcPr>
                <w:p>
                  <w:pPr>
                    <w:pStyle w:val="103"/>
                    <w:rPr>
                      <w:rFonts w:ascii="宋体" w:hAnsi="宋体" w:eastAsia="宋体"/>
                      <w:color w:val="auto"/>
                    </w:rPr>
                  </w:pPr>
                </w:p>
              </w:tc>
              <w:tc>
                <w:tcPr>
                  <w:tcW w:w="617" w:type="pct"/>
                  <w:vMerge w:val="continue"/>
                  <w:vAlign w:val="center"/>
                </w:tcPr>
                <w:p>
                  <w:pPr>
                    <w:pStyle w:val="103"/>
                    <w:rPr>
                      <w:rFonts w:ascii="宋体" w:hAnsi="宋体" w:eastAsia="宋体"/>
                      <w:color w:val="auto"/>
                    </w:rPr>
                  </w:pPr>
                </w:p>
              </w:tc>
              <w:tc>
                <w:tcPr>
                  <w:tcW w:w="535" w:type="pct"/>
                  <w:vMerge w:val="continue"/>
                  <w:vAlign w:val="center"/>
                </w:tcPr>
                <w:p>
                  <w:pPr>
                    <w:pStyle w:val="103"/>
                    <w:rPr>
                      <w:rFonts w:ascii="宋体" w:hAnsi="宋体" w:eastAsia="宋体"/>
                      <w:color w:val="auto"/>
                    </w:rPr>
                  </w:pPr>
                </w:p>
              </w:tc>
              <w:tc>
                <w:tcPr>
                  <w:tcW w:w="483" w:type="pct"/>
                  <w:vMerge w:val="continue"/>
                  <w:vAlign w:val="center"/>
                </w:tcPr>
                <w:p>
                  <w:pPr>
                    <w:pStyle w:val="103"/>
                    <w:rPr>
                      <w:rFonts w:ascii="宋体" w:hAnsi="宋体" w:eastAsia="宋体"/>
                      <w:color w:val="auto"/>
                    </w:rPr>
                  </w:pPr>
                </w:p>
              </w:tc>
              <w:tc>
                <w:tcPr>
                  <w:tcW w:w="557" w:type="pct"/>
                  <w:vMerge w:val="continue"/>
                  <w:vAlign w:val="center"/>
                </w:tcPr>
                <w:p>
                  <w:pPr>
                    <w:pStyle w:val="103"/>
                    <w:rPr>
                      <w:rFonts w:ascii="宋体" w:hAnsi="宋体" w:eastAsia="宋体"/>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391" w:type="pct"/>
                  <w:vAlign w:val="center"/>
                </w:tcPr>
                <w:p>
                  <w:pPr>
                    <w:pStyle w:val="103"/>
                    <w:rPr>
                      <w:rFonts w:ascii="宋体" w:hAnsi="宋体" w:eastAsia="宋体"/>
                      <w:color w:val="auto"/>
                    </w:rPr>
                  </w:pPr>
                  <w:r>
                    <w:rPr>
                      <w:rFonts w:hint="eastAsia" w:ascii="宋体" w:hAnsi="宋体" w:eastAsia="宋体" w:cs="宋体"/>
                      <w:color w:val="auto"/>
                    </w:rPr>
                    <w:t>Ⅲ</w:t>
                  </w:r>
                  <w:r>
                    <w:rPr>
                      <w:rFonts w:ascii="宋体" w:hAnsi="宋体" w:eastAsia="宋体"/>
                      <w:color w:val="auto"/>
                    </w:rPr>
                    <w:t>天山山地干旱草原—针叶林生态区</w:t>
                  </w:r>
                </w:p>
              </w:tc>
              <w:tc>
                <w:tcPr>
                  <w:tcW w:w="547" w:type="pct"/>
                  <w:vAlign w:val="center"/>
                </w:tcPr>
                <w:p>
                  <w:pPr>
                    <w:pStyle w:val="103"/>
                    <w:rPr>
                      <w:rFonts w:ascii="宋体" w:hAnsi="宋体" w:eastAsia="宋体"/>
                      <w:color w:val="auto"/>
                    </w:rPr>
                  </w:pPr>
                  <w:r>
                    <w:rPr>
                      <w:rFonts w:hint="eastAsia" w:ascii="宋体" w:hAnsi="宋体" w:eastAsia="宋体"/>
                      <w:color w:val="auto"/>
                    </w:rPr>
                    <w:t>Ⅲ</w:t>
                  </w:r>
                  <w:r>
                    <w:rPr>
                      <w:rFonts w:ascii="宋体" w:hAnsi="宋体" w:eastAsia="宋体"/>
                      <w:color w:val="auto"/>
                      <w:vertAlign w:val="subscript"/>
                    </w:rPr>
                    <w:t>2</w:t>
                  </w:r>
                  <w:r>
                    <w:rPr>
                      <w:rFonts w:ascii="宋体" w:hAnsi="宋体" w:eastAsia="宋体"/>
                      <w:color w:val="auto"/>
                    </w:rPr>
                    <w:t>西部天山草原、针叶林水源涵养及伊犁河谷地绿洲生态亚区</w:t>
                  </w:r>
                </w:p>
              </w:tc>
              <w:tc>
                <w:tcPr>
                  <w:tcW w:w="547" w:type="pct"/>
                  <w:vAlign w:val="center"/>
                </w:tcPr>
                <w:p>
                  <w:pPr>
                    <w:pStyle w:val="103"/>
                    <w:rPr>
                      <w:rFonts w:ascii="宋体" w:hAnsi="宋体" w:eastAsia="宋体"/>
                      <w:color w:val="auto"/>
                    </w:rPr>
                  </w:pPr>
                  <w:r>
                    <w:rPr>
                      <w:rFonts w:hint="eastAsia" w:ascii="宋体" w:hAnsi="宋体" w:eastAsia="宋体"/>
                      <w:color w:val="auto"/>
                    </w:rPr>
                    <w:t>37.喀什河、巩乃斯河河谷草原—绿洲生物多样性保护生态功能区</w:t>
                  </w:r>
                </w:p>
              </w:tc>
              <w:tc>
                <w:tcPr>
                  <w:tcW w:w="400" w:type="pct"/>
                  <w:vAlign w:val="center"/>
                </w:tcPr>
                <w:p>
                  <w:pPr>
                    <w:pStyle w:val="103"/>
                    <w:rPr>
                      <w:rFonts w:ascii="宋体" w:hAnsi="宋体" w:eastAsia="宋体"/>
                      <w:color w:val="auto"/>
                    </w:rPr>
                  </w:pPr>
                  <w:r>
                    <w:rPr>
                      <w:rFonts w:hint="eastAsia" w:ascii="宋体" w:hAnsi="宋体" w:eastAsia="宋体"/>
                      <w:color w:val="auto"/>
                    </w:rPr>
                    <w:t>伊宁县、尼勒克县、巩留县、新源县</w:t>
                  </w:r>
                </w:p>
              </w:tc>
              <w:tc>
                <w:tcPr>
                  <w:tcW w:w="402" w:type="pct"/>
                  <w:vAlign w:val="center"/>
                </w:tcPr>
                <w:p>
                  <w:pPr>
                    <w:pStyle w:val="103"/>
                    <w:rPr>
                      <w:rFonts w:ascii="宋体" w:hAnsi="宋体" w:eastAsia="宋体"/>
                      <w:color w:val="auto"/>
                    </w:rPr>
                  </w:pPr>
                  <w:r>
                    <w:rPr>
                      <w:rFonts w:hint="eastAsia" w:ascii="宋体" w:hAnsi="宋体" w:eastAsia="宋体"/>
                      <w:color w:val="auto"/>
                    </w:rPr>
                    <w:t>牧农产品生产、旅游</w:t>
                  </w:r>
                </w:p>
              </w:tc>
              <w:tc>
                <w:tcPr>
                  <w:tcW w:w="521" w:type="pct"/>
                  <w:vAlign w:val="center"/>
                </w:tcPr>
                <w:p>
                  <w:pPr>
                    <w:pStyle w:val="103"/>
                    <w:rPr>
                      <w:rFonts w:ascii="宋体" w:hAnsi="宋体" w:eastAsia="宋体"/>
                      <w:color w:val="auto"/>
                    </w:rPr>
                  </w:pPr>
                  <w:r>
                    <w:rPr>
                      <w:rFonts w:hint="eastAsia" w:ascii="宋体" w:hAnsi="宋体" w:eastAsia="宋体"/>
                      <w:color w:val="auto"/>
                    </w:rPr>
                    <w:t>水土流失、土地盐渍化和沼泽化、草场退化、河谷林破坏</w:t>
                  </w:r>
                </w:p>
              </w:tc>
              <w:tc>
                <w:tcPr>
                  <w:tcW w:w="617" w:type="pct"/>
                  <w:vAlign w:val="center"/>
                </w:tcPr>
                <w:p>
                  <w:pPr>
                    <w:pStyle w:val="103"/>
                    <w:rPr>
                      <w:rFonts w:ascii="宋体" w:hAnsi="宋体" w:eastAsia="宋体"/>
                      <w:color w:val="auto"/>
                    </w:rPr>
                  </w:pPr>
                  <w:r>
                    <w:rPr>
                      <w:rFonts w:hint="eastAsia" w:ascii="宋体" w:hAnsi="宋体" w:eastAsia="宋体"/>
                      <w:color w:val="auto"/>
                    </w:rPr>
                    <w:t>生物多样性和生境极度敏感、中度敏感，土壤侵蚀、土地沙漠化、土壤盐渍化不敏感。</w:t>
                  </w:r>
                </w:p>
              </w:tc>
              <w:tc>
                <w:tcPr>
                  <w:tcW w:w="535" w:type="pct"/>
                  <w:vAlign w:val="center"/>
                </w:tcPr>
                <w:p>
                  <w:pPr>
                    <w:pStyle w:val="103"/>
                    <w:rPr>
                      <w:rFonts w:ascii="宋体" w:hAnsi="宋体" w:eastAsia="宋体"/>
                      <w:color w:val="auto"/>
                    </w:rPr>
                  </w:pPr>
                  <w:r>
                    <w:rPr>
                      <w:rFonts w:hint="eastAsia" w:ascii="宋体" w:hAnsi="宋体" w:eastAsia="宋体"/>
                      <w:color w:val="auto"/>
                    </w:rPr>
                    <w:t>保护河谷林、保护草原、保护农田、保护小叶白腊等珍稀树种</w:t>
                  </w:r>
                </w:p>
              </w:tc>
              <w:tc>
                <w:tcPr>
                  <w:tcW w:w="483" w:type="pct"/>
                  <w:vAlign w:val="center"/>
                </w:tcPr>
                <w:p>
                  <w:pPr>
                    <w:pStyle w:val="103"/>
                    <w:rPr>
                      <w:rFonts w:ascii="宋体" w:hAnsi="宋体" w:eastAsia="宋体"/>
                      <w:color w:val="auto"/>
                    </w:rPr>
                  </w:pPr>
                  <w:r>
                    <w:rPr>
                      <w:rFonts w:hint="eastAsia" w:ascii="宋体" w:hAnsi="宋体" w:eastAsia="宋体"/>
                      <w:color w:val="auto"/>
                    </w:rPr>
                    <w:t>旱地退耕还草、防治水土流失、健全排灌系统</w:t>
                  </w:r>
                </w:p>
              </w:tc>
              <w:tc>
                <w:tcPr>
                  <w:tcW w:w="557" w:type="pct"/>
                  <w:vAlign w:val="center"/>
                </w:tcPr>
                <w:p>
                  <w:pPr>
                    <w:pStyle w:val="103"/>
                    <w:rPr>
                      <w:rFonts w:ascii="宋体" w:hAnsi="宋体" w:eastAsia="宋体"/>
                      <w:color w:val="auto"/>
                    </w:rPr>
                  </w:pPr>
                  <w:r>
                    <w:rPr>
                      <w:rFonts w:hint="eastAsia" w:ascii="宋体" w:hAnsi="宋体" w:eastAsia="宋体"/>
                      <w:color w:val="auto"/>
                    </w:rPr>
                    <w:t>搞好水能开发与建设，建立以牧为主、牧农结合的新型牧农业基地。</w:t>
                  </w:r>
                </w:p>
              </w:tc>
            </w:tr>
          </w:tbl>
          <w:p>
            <w:pPr>
              <w:pStyle w:val="16"/>
              <w:spacing w:after="0" w:line="520" w:lineRule="exact"/>
              <w:ind w:left="0" w:leftChars="0" w:firstLine="560" w:firstLineChars="200"/>
              <w:rPr>
                <w:color w:val="auto"/>
                <w:sz w:val="28"/>
                <w:szCs w:val="20"/>
              </w:rPr>
            </w:pPr>
            <w:r>
              <w:rPr>
                <w:rFonts w:hint="eastAsia"/>
                <w:color w:val="auto"/>
                <w:sz w:val="28"/>
                <w:szCs w:val="20"/>
              </w:rPr>
              <w:t>本项目</w:t>
            </w:r>
            <w:r>
              <w:rPr>
                <w:rFonts w:hint="eastAsia"/>
                <w:bCs/>
                <w:color w:val="auto"/>
                <w:kern w:val="0"/>
                <w:sz w:val="28"/>
              </w:rPr>
              <w:t>位于巩留县恰甫其海路南侧众帮苯板厂院内</w:t>
            </w:r>
            <w:r>
              <w:rPr>
                <w:rFonts w:hint="eastAsia"/>
                <w:color w:val="auto"/>
                <w:sz w:val="28"/>
                <w:szCs w:val="20"/>
              </w:rPr>
              <w:t>。厂区已建厂房一座，部分地表已硬化，目前厂区植被覆盖率约10%。</w:t>
            </w:r>
          </w:p>
          <w:p>
            <w:pPr>
              <w:spacing w:line="520" w:lineRule="exact"/>
              <w:rPr>
                <w:b/>
                <w:color w:val="auto"/>
                <w:sz w:val="28"/>
                <w:szCs w:val="28"/>
              </w:rPr>
            </w:pPr>
            <w:r>
              <w:rPr>
                <w:rFonts w:hint="eastAsia"/>
                <w:b/>
                <w:color w:val="auto"/>
                <w:sz w:val="28"/>
                <w:szCs w:val="28"/>
              </w:rPr>
              <w:t>5土壤现状评价</w:t>
            </w:r>
          </w:p>
          <w:p>
            <w:pPr>
              <w:pStyle w:val="16"/>
              <w:spacing w:after="0" w:line="520" w:lineRule="exact"/>
              <w:ind w:left="0" w:leftChars="0" w:firstLine="560" w:firstLineChars="200"/>
              <w:rPr>
                <w:color w:val="auto"/>
                <w:sz w:val="28"/>
                <w:szCs w:val="28"/>
              </w:rPr>
            </w:pPr>
            <w:r>
              <w:rPr>
                <w:rFonts w:hint="eastAsia"/>
                <w:color w:val="auto"/>
                <w:sz w:val="28"/>
                <w:szCs w:val="28"/>
              </w:rPr>
              <w:t>根据《环境影响评价技术导则 土壤环境（试行）》（HJ964-2018）附录A，</w:t>
            </w:r>
            <w:r>
              <w:rPr>
                <w:rFonts w:hint="eastAsia"/>
                <w:color w:val="auto"/>
                <w:sz w:val="28"/>
                <w:szCs w:val="28"/>
              </w:rPr>
              <w:t>本项目属鞋</w:t>
            </w:r>
            <w:r>
              <w:rPr>
                <w:rFonts w:hint="eastAsia"/>
                <w:color w:val="auto"/>
                <w:sz w:val="28"/>
                <w:szCs w:val="28"/>
              </w:rPr>
              <w:t>制造业中的其他，为Ⅲ类建设项目，占地面积小于5hm</w:t>
            </w:r>
            <w:r>
              <w:rPr>
                <w:rFonts w:hint="eastAsia"/>
                <w:color w:val="auto"/>
                <w:sz w:val="28"/>
                <w:szCs w:val="28"/>
                <w:vertAlign w:val="superscript"/>
              </w:rPr>
              <w:t>2</w:t>
            </w:r>
            <w:r>
              <w:rPr>
                <w:rFonts w:hint="eastAsia"/>
                <w:color w:val="auto"/>
                <w:sz w:val="28"/>
                <w:szCs w:val="28"/>
              </w:rPr>
              <w:t>，敏感程度为不敏感，可不开展土壤环境影响评价。</w:t>
            </w:r>
          </w:p>
          <w:p>
            <w:pPr>
              <w:spacing w:line="520" w:lineRule="exact"/>
              <w:rPr>
                <w:b/>
                <w:color w:val="auto"/>
                <w:sz w:val="28"/>
                <w:szCs w:val="28"/>
              </w:rPr>
            </w:pPr>
          </w:p>
          <w:p>
            <w:pPr>
              <w:pStyle w:val="2"/>
              <w:ind w:firstLine="562"/>
              <w:rPr>
                <w:b/>
                <w:color w:val="auto"/>
                <w:sz w:val="28"/>
                <w:szCs w:val="28"/>
              </w:rPr>
            </w:pPr>
          </w:p>
          <w:p>
            <w:pPr>
              <w:rPr>
                <w:color w:val="auto"/>
              </w:rPr>
            </w:pPr>
          </w:p>
          <w:p>
            <w:pPr>
              <w:spacing w:line="520" w:lineRule="exact"/>
              <w:rPr>
                <w:rFonts w:ascii="宋体" w:hAnsi="宋体"/>
                <w:b/>
                <w:bCs/>
                <w:color w:val="auto"/>
                <w:sz w:val="28"/>
                <w:szCs w:val="28"/>
              </w:rPr>
            </w:pPr>
          </w:p>
          <w:p>
            <w:pPr>
              <w:spacing w:line="520" w:lineRule="exact"/>
              <w:rPr>
                <w:rFonts w:ascii="宋体" w:hAnsi="宋体"/>
                <w:b/>
                <w:bCs/>
                <w:color w:val="auto"/>
                <w:sz w:val="28"/>
                <w:szCs w:val="28"/>
              </w:rPr>
            </w:pPr>
          </w:p>
          <w:p>
            <w:pPr>
              <w:spacing w:line="520" w:lineRule="exact"/>
              <w:rPr>
                <w:rFonts w:ascii="宋体" w:hAnsi="宋体"/>
                <w:b/>
                <w:bCs/>
                <w:color w:val="auto"/>
                <w:sz w:val="28"/>
                <w:szCs w:val="28"/>
              </w:rPr>
            </w:pPr>
            <w:r>
              <w:rPr>
                <w:rFonts w:ascii="宋体" w:hAnsi="宋体"/>
                <w:b/>
                <w:bCs/>
                <w:color w:val="auto"/>
                <w:sz w:val="28"/>
                <w:szCs w:val="28"/>
              </w:rPr>
              <w:t>主要环境保护目标（列出名单及保护级别）：</w:t>
            </w:r>
          </w:p>
          <w:p>
            <w:pPr>
              <w:spacing w:line="520" w:lineRule="exact"/>
              <w:ind w:firstLine="560" w:firstLineChars="200"/>
              <w:rPr>
                <w:color w:val="auto"/>
                <w:sz w:val="28"/>
                <w:szCs w:val="28"/>
              </w:rPr>
            </w:pPr>
            <w:r>
              <w:rPr>
                <w:rFonts w:hint="eastAsia"/>
                <w:color w:val="auto"/>
                <w:sz w:val="28"/>
                <w:szCs w:val="28"/>
              </w:rPr>
              <w:t>本项目为新建项目，</w:t>
            </w:r>
            <w:r>
              <w:rPr>
                <w:rFonts w:hint="eastAsia"/>
                <w:bCs/>
                <w:color w:val="auto"/>
                <w:kern w:val="0"/>
                <w:sz w:val="28"/>
              </w:rPr>
              <w:t>位于巩留县恰甫其海路南侧</w:t>
            </w:r>
            <w:r>
              <w:rPr>
                <w:rFonts w:hint="eastAsia"/>
                <w:bCs/>
                <w:color w:val="auto"/>
                <w:sz w:val="28"/>
                <w:szCs w:val="28"/>
              </w:rPr>
              <w:t>，隔路为粮食购销有限责任公司，项目区东侧为文化路，南侧为众帮苯板厂，西侧为巩留县天汇商贸有限责任公司（彩钢板厂）。</w:t>
            </w:r>
            <w:r>
              <w:rPr>
                <w:rFonts w:hint="eastAsia"/>
                <w:color w:val="auto"/>
                <w:sz w:val="28"/>
                <w:szCs w:val="28"/>
              </w:rPr>
              <w:t>拟建项目区周边</w:t>
            </w:r>
            <w:r>
              <w:rPr>
                <w:color w:val="auto"/>
                <w:sz w:val="28"/>
                <w:szCs w:val="28"/>
              </w:rPr>
              <w:t>无自然保护区、</w:t>
            </w:r>
            <w:r>
              <w:rPr>
                <w:rFonts w:hint="eastAsia"/>
                <w:color w:val="auto"/>
                <w:sz w:val="28"/>
                <w:szCs w:val="28"/>
              </w:rPr>
              <w:t>饮用水</w:t>
            </w:r>
            <w:r>
              <w:rPr>
                <w:color w:val="auto"/>
                <w:sz w:val="28"/>
                <w:szCs w:val="28"/>
              </w:rPr>
              <w:t>水源保护区、文教环境敏感区、国家和地方级文物古迹、珍稀动植物保护物种等。因此，根据项目所在区域环境状况和项目本身特点，确定本项目环境保护目标如下：</w:t>
            </w:r>
          </w:p>
          <w:p>
            <w:pPr>
              <w:spacing w:line="520" w:lineRule="exact"/>
              <w:ind w:firstLine="560" w:firstLineChars="200"/>
              <w:rPr>
                <w:color w:val="auto"/>
                <w:sz w:val="28"/>
              </w:rPr>
            </w:pPr>
            <w:r>
              <w:rPr>
                <w:rFonts w:hint="eastAsia"/>
                <w:color w:val="auto"/>
                <w:sz w:val="28"/>
              </w:rPr>
              <w:t>（1）</w:t>
            </w:r>
            <w:r>
              <w:rPr>
                <w:color w:val="auto"/>
                <w:sz w:val="28"/>
              </w:rPr>
              <w:t>空气环境：所在区域环境空气质量按《环境空气质量标准》（GB3095－2012）二级标准要求；保证项目区所在的区域环境空气质量，保证区域环境空气质量控制在现有水平。</w:t>
            </w:r>
          </w:p>
          <w:p>
            <w:pPr>
              <w:spacing w:line="520" w:lineRule="exact"/>
              <w:ind w:firstLine="560" w:firstLineChars="200"/>
              <w:rPr>
                <w:color w:val="auto"/>
                <w:sz w:val="28"/>
                <w:szCs w:val="28"/>
                <w:lang w:val="zh-CN"/>
              </w:rPr>
            </w:pPr>
            <w:r>
              <w:rPr>
                <w:color w:val="auto"/>
                <w:sz w:val="28"/>
                <w:szCs w:val="28"/>
              </w:rPr>
              <w:t>（</w:t>
            </w:r>
            <w:r>
              <w:rPr>
                <w:rFonts w:hint="eastAsia"/>
                <w:color w:val="auto"/>
                <w:sz w:val="28"/>
                <w:szCs w:val="28"/>
              </w:rPr>
              <w:t>2</w:t>
            </w:r>
            <w:r>
              <w:rPr>
                <w:color w:val="auto"/>
                <w:sz w:val="28"/>
                <w:szCs w:val="28"/>
              </w:rPr>
              <w:t>）声环境：</w:t>
            </w:r>
            <w:r>
              <w:rPr>
                <w:rFonts w:hint="eastAsia"/>
                <w:color w:val="auto"/>
                <w:kern w:val="0"/>
                <w:sz w:val="28"/>
                <w:szCs w:val="28"/>
              </w:rPr>
              <w:t>保护厂区及周边的声环境，项目所在地声环境质量按《声环境质量标准》（GB3096</w:t>
            </w:r>
            <w:r>
              <w:rPr>
                <w:color w:val="auto"/>
                <w:kern w:val="24"/>
                <w:sz w:val="28"/>
              </w:rPr>
              <w:t>—</w:t>
            </w:r>
            <w:r>
              <w:rPr>
                <w:rFonts w:hint="eastAsia"/>
                <w:color w:val="auto"/>
                <w:kern w:val="0"/>
                <w:sz w:val="28"/>
                <w:szCs w:val="28"/>
              </w:rPr>
              <w:t>2008）中的</w:t>
            </w:r>
            <w:r>
              <w:rPr>
                <w:rFonts w:hint="eastAsia"/>
                <w:color w:val="auto"/>
                <w:kern w:val="0"/>
                <w:sz w:val="28"/>
                <w:szCs w:val="28"/>
                <w:lang w:val="en-US" w:eastAsia="zh-CN"/>
              </w:rPr>
              <w:t>3</w:t>
            </w:r>
            <w:r>
              <w:rPr>
                <w:rFonts w:hint="eastAsia"/>
                <w:color w:val="auto"/>
                <w:kern w:val="0"/>
                <w:sz w:val="28"/>
                <w:szCs w:val="28"/>
              </w:rPr>
              <w:t>类</w:t>
            </w:r>
            <w:r>
              <w:rPr>
                <w:rFonts w:hint="eastAsia"/>
                <w:color w:val="auto"/>
                <w:kern w:val="0"/>
                <w:sz w:val="28"/>
                <w:szCs w:val="28"/>
              </w:rPr>
              <w:t>声环境功能区标准。</w:t>
            </w:r>
          </w:p>
          <w:p>
            <w:pPr>
              <w:spacing w:line="520" w:lineRule="exact"/>
              <w:ind w:firstLine="560" w:firstLineChars="200"/>
              <w:rPr>
                <w:color w:val="auto"/>
                <w:kern w:val="0"/>
                <w:sz w:val="28"/>
                <w:szCs w:val="28"/>
              </w:rPr>
            </w:pPr>
            <w:r>
              <w:rPr>
                <w:rFonts w:hint="eastAsia"/>
                <w:color w:val="auto"/>
                <w:kern w:val="0"/>
                <w:sz w:val="28"/>
                <w:szCs w:val="28"/>
              </w:rPr>
              <w:t>（3）</w:t>
            </w:r>
            <w:r>
              <w:rPr>
                <w:color w:val="auto"/>
                <w:kern w:val="0"/>
                <w:sz w:val="28"/>
                <w:szCs w:val="28"/>
              </w:rPr>
              <w:t>妥善处理本项目产生的固体废弃物等，避免对所在区域环境造成</w:t>
            </w:r>
            <w:r>
              <w:rPr>
                <w:rFonts w:hint="eastAsia"/>
                <w:color w:val="auto"/>
                <w:kern w:val="0"/>
                <w:sz w:val="28"/>
                <w:szCs w:val="28"/>
              </w:rPr>
              <w:t>不利</w:t>
            </w:r>
            <w:r>
              <w:rPr>
                <w:color w:val="auto"/>
                <w:kern w:val="0"/>
                <w:sz w:val="28"/>
                <w:szCs w:val="28"/>
              </w:rPr>
              <w:t>影响</w:t>
            </w:r>
            <w:r>
              <w:rPr>
                <w:rFonts w:hint="eastAsia"/>
                <w:color w:val="auto"/>
                <w:kern w:val="0"/>
                <w:sz w:val="28"/>
                <w:szCs w:val="28"/>
              </w:rPr>
              <w:t>。</w:t>
            </w:r>
          </w:p>
          <w:p>
            <w:pPr>
              <w:spacing w:line="520" w:lineRule="exact"/>
              <w:ind w:firstLine="560" w:firstLineChars="200"/>
              <w:jc w:val="left"/>
              <w:rPr>
                <w:color w:val="auto"/>
                <w:sz w:val="28"/>
                <w:szCs w:val="28"/>
                <w:highlight w:val="yellow"/>
              </w:rPr>
            </w:pPr>
            <w:r>
              <w:rPr>
                <w:rFonts w:hint="eastAsia"/>
                <w:color w:val="auto"/>
                <w:sz w:val="28"/>
                <w:szCs w:val="28"/>
              </w:rPr>
              <w:t>（4）</w:t>
            </w:r>
            <w:r>
              <w:rPr>
                <w:color w:val="auto"/>
                <w:sz w:val="28"/>
                <w:szCs w:val="28"/>
              </w:rPr>
              <w:t>本项目</w:t>
            </w:r>
            <w:r>
              <w:rPr>
                <w:rFonts w:hint="eastAsia"/>
                <w:color w:val="auto"/>
                <w:sz w:val="28"/>
                <w:szCs w:val="28"/>
              </w:rPr>
              <w:t>主要</w:t>
            </w:r>
            <w:r>
              <w:rPr>
                <w:color w:val="auto"/>
                <w:sz w:val="28"/>
                <w:szCs w:val="28"/>
              </w:rPr>
              <w:t>保护目标</w:t>
            </w:r>
            <w:r>
              <w:rPr>
                <w:rFonts w:hint="eastAsia"/>
                <w:color w:val="auto"/>
                <w:sz w:val="28"/>
                <w:szCs w:val="28"/>
              </w:rPr>
              <w:t>如下：</w:t>
            </w:r>
          </w:p>
          <w:p>
            <w:pPr>
              <w:pStyle w:val="112"/>
              <w:ind w:firstLine="480"/>
              <w:rPr>
                <w:rFonts w:ascii="黑体" w:hAnsi="宋体"/>
                <w:bCs/>
                <w:color w:val="auto"/>
              </w:rPr>
            </w:pPr>
            <w:r>
              <w:rPr>
                <w:rFonts w:hint="eastAsia" w:ascii="黑体" w:hAnsi="宋体"/>
                <w:bCs/>
                <w:color w:val="auto"/>
              </w:rPr>
              <w:t>表</w:t>
            </w:r>
            <w:r>
              <w:rPr>
                <w:bCs/>
                <w:color w:val="auto"/>
              </w:rPr>
              <w:t>1</w:t>
            </w:r>
            <w:r>
              <w:rPr>
                <w:rFonts w:hint="eastAsia"/>
                <w:bCs/>
                <w:color w:val="auto"/>
              </w:rPr>
              <w:t>0</w:t>
            </w:r>
            <w:r>
              <w:rPr>
                <w:bCs/>
                <w:color w:val="auto"/>
              </w:rPr>
              <w:t xml:space="preserve"> </w:t>
            </w:r>
            <w:r>
              <w:rPr>
                <w:rFonts w:hint="eastAsia" w:ascii="黑体" w:hAnsi="宋体"/>
                <w:bCs/>
                <w:color w:val="auto"/>
              </w:rPr>
              <w:t xml:space="preserve">                  环境敏感点一览表</w:t>
            </w:r>
          </w:p>
          <w:tbl>
            <w:tblPr>
              <w:tblStyle w:val="24"/>
              <w:tblW w:w="4997" w:type="pct"/>
              <w:jc w:val="center"/>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autofit"/>
              <w:tblCellMar>
                <w:top w:w="0" w:type="dxa"/>
                <w:left w:w="108" w:type="dxa"/>
                <w:bottom w:w="0" w:type="dxa"/>
                <w:right w:w="108" w:type="dxa"/>
              </w:tblCellMar>
            </w:tblPr>
            <w:tblGrid>
              <w:gridCol w:w="2510"/>
              <w:gridCol w:w="1110"/>
              <w:gridCol w:w="1634"/>
              <w:gridCol w:w="1500"/>
              <w:gridCol w:w="2312"/>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70" w:hRule="atLeast"/>
                <w:jc w:val="center"/>
              </w:trPr>
              <w:tc>
                <w:tcPr>
                  <w:tcW w:w="1384" w:type="pct"/>
                  <w:vAlign w:val="center"/>
                </w:tcPr>
                <w:p>
                  <w:pPr>
                    <w:pStyle w:val="113"/>
                    <w:rPr>
                      <w:color w:val="auto"/>
                    </w:rPr>
                  </w:pPr>
                  <w:r>
                    <w:rPr>
                      <w:rFonts w:hint="eastAsia"/>
                      <w:color w:val="auto"/>
                    </w:rPr>
                    <w:t>保护目标</w:t>
                  </w:r>
                </w:p>
              </w:tc>
              <w:tc>
                <w:tcPr>
                  <w:tcW w:w="612" w:type="pct"/>
                  <w:vAlign w:val="center"/>
                </w:tcPr>
                <w:p>
                  <w:pPr>
                    <w:pStyle w:val="113"/>
                    <w:rPr>
                      <w:color w:val="auto"/>
                    </w:rPr>
                  </w:pPr>
                  <w:r>
                    <w:rPr>
                      <w:rFonts w:hint="eastAsia"/>
                      <w:color w:val="auto"/>
                    </w:rPr>
                    <w:t>规模</w:t>
                  </w:r>
                </w:p>
              </w:tc>
              <w:tc>
                <w:tcPr>
                  <w:tcW w:w="901" w:type="pct"/>
                  <w:vAlign w:val="center"/>
                </w:tcPr>
                <w:p>
                  <w:pPr>
                    <w:pStyle w:val="113"/>
                    <w:rPr>
                      <w:color w:val="auto"/>
                    </w:rPr>
                  </w:pPr>
                  <w:r>
                    <w:rPr>
                      <w:rFonts w:hint="eastAsia"/>
                      <w:color w:val="auto"/>
                    </w:rPr>
                    <w:t>与厂界距离</w:t>
                  </w:r>
                </w:p>
              </w:tc>
              <w:tc>
                <w:tcPr>
                  <w:tcW w:w="827" w:type="pct"/>
                  <w:vAlign w:val="center"/>
                </w:tcPr>
                <w:p>
                  <w:pPr>
                    <w:pStyle w:val="113"/>
                    <w:rPr>
                      <w:color w:val="auto"/>
                    </w:rPr>
                  </w:pPr>
                  <w:r>
                    <w:rPr>
                      <w:rFonts w:hint="eastAsia"/>
                      <w:color w:val="auto"/>
                    </w:rPr>
                    <w:t>方向</w:t>
                  </w:r>
                </w:p>
              </w:tc>
              <w:tc>
                <w:tcPr>
                  <w:tcW w:w="1275" w:type="pct"/>
                  <w:vAlign w:val="center"/>
                </w:tcPr>
                <w:p>
                  <w:pPr>
                    <w:pStyle w:val="113"/>
                    <w:rPr>
                      <w:color w:val="auto"/>
                    </w:rPr>
                  </w:pPr>
                  <w:r>
                    <w:rPr>
                      <w:rFonts w:hint="eastAsia"/>
                      <w:color w:val="auto"/>
                    </w:rPr>
                    <w:t>执行标准</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82" w:hRule="atLeast"/>
                <w:jc w:val="center"/>
              </w:trPr>
              <w:tc>
                <w:tcPr>
                  <w:tcW w:w="1384" w:type="pct"/>
                  <w:vAlign w:val="center"/>
                </w:tcPr>
                <w:p>
                  <w:pPr>
                    <w:pStyle w:val="113"/>
                    <w:rPr>
                      <w:color w:val="auto"/>
                    </w:rPr>
                  </w:pPr>
                  <w:r>
                    <w:rPr>
                      <w:rFonts w:hint="eastAsia"/>
                      <w:color w:val="auto"/>
                    </w:rPr>
                    <w:t>巩留县牛场居民</w:t>
                  </w:r>
                </w:p>
              </w:tc>
              <w:tc>
                <w:tcPr>
                  <w:tcW w:w="612" w:type="pct"/>
                  <w:vAlign w:val="center"/>
                </w:tcPr>
                <w:p>
                  <w:pPr>
                    <w:pStyle w:val="113"/>
                    <w:rPr>
                      <w:color w:val="auto"/>
                    </w:rPr>
                  </w:pPr>
                  <w:r>
                    <w:rPr>
                      <w:rFonts w:hint="eastAsia"/>
                      <w:color w:val="auto"/>
                    </w:rPr>
                    <w:t>100人</w:t>
                  </w:r>
                </w:p>
              </w:tc>
              <w:tc>
                <w:tcPr>
                  <w:tcW w:w="901" w:type="pct"/>
                  <w:vAlign w:val="center"/>
                </w:tcPr>
                <w:p>
                  <w:pPr>
                    <w:pStyle w:val="113"/>
                    <w:rPr>
                      <w:color w:val="auto"/>
                    </w:rPr>
                  </w:pPr>
                  <w:r>
                    <w:rPr>
                      <w:rFonts w:hint="eastAsia"/>
                      <w:color w:val="auto"/>
                    </w:rPr>
                    <w:t>380m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北侧/东北侧</w:t>
                  </w:r>
                </w:p>
              </w:tc>
              <w:tc>
                <w:tcPr>
                  <w:tcW w:w="1275" w:type="pct"/>
                  <w:vMerge w:val="restart"/>
                  <w:vAlign w:val="center"/>
                </w:tcPr>
                <w:p>
                  <w:pPr>
                    <w:pStyle w:val="113"/>
                    <w:rPr>
                      <w:color w:val="auto"/>
                    </w:rPr>
                  </w:pPr>
                  <w:r>
                    <w:rPr>
                      <w:rFonts w:hint="eastAsia"/>
                      <w:color w:val="auto"/>
                    </w:rPr>
                    <w:t>《环境空气质量标准》（GB3095－2012）二级标准</w:t>
                  </w:r>
                </w:p>
                <w:p>
                  <w:pPr>
                    <w:jc w:val="center"/>
                    <w:rPr>
                      <w:color w:val="auto"/>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82" w:hRule="atLeast"/>
                <w:jc w:val="center"/>
              </w:trPr>
              <w:tc>
                <w:tcPr>
                  <w:tcW w:w="1384" w:type="pct"/>
                  <w:vAlign w:val="center"/>
                </w:tcPr>
                <w:p>
                  <w:pPr>
                    <w:pStyle w:val="113"/>
                    <w:rPr>
                      <w:color w:val="auto"/>
                    </w:rPr>
                  </w:pPr>
                  <w:r>
                    <w:rPr>
                      <w:rFonts w:hint="eastAsia"/>
                      <w:color w:val="auto"/>
                    </w:rPr>
                    <w:t>巩留县牛场居民</w:t>
                  </w:r>
                </w:p>
              </w:tc>
              <w:tc>
                <w:tcPr>
                  <w:tcW w:w="612" w:type="pct"/>
                  <w:vAlign w:val="center"/>
                </w:tcPr>
                <w:p>
                  <w:pPr>
                    <w:pStyle w:val="113"/>
                    <w:rPr>
                      <w:color w:val="auto"/>
                    </w:rPr>
                  </w:pPr>
                  <w:r>
                    <w:rPr>
                      <w:rFonts w:hint="eastAsia"/>
                      <w:color w:val="auto"/>
                    </w:rPr>
                    <w:t>60人</w:t>
                  </w:r>
                </w:p>
              </w:tc>
              <w:tc>
                <w:tcPr>
                  <w:tcW w:w="901" w:type="pct"/>
                  <w:vAlign w:val="center"/>
                </w:tcPr>
                <w:p>
                  <w:pPr>
                    <w:pStyle w:val="113"/>
                    <w:rPr>
                      <w:color w:val="auto"/>
                    </w:rPr>
                  </w:pPr>
                  <w:r>
                    <w:rPr>
                      <w:rFonts w:hint="eastAsia"/>
                      <w:color w:val="auto"/>
                    </w:rPr>
                    <w:t>805m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东侧</w:t>
                  </w:r>
                </w:p>
              </w:tc>
              <w:tc>
                <w:tcPr>
                  <w:tcW w:w="1275" w:type="pct"/>
                  <w:vMerge w:val="continue"/>
                  <w:vAlign w:val="center"/>
                </w:tcPr>
                <w:p>
                  <w:pPr>
                    <w:pStyle w:val="113"/>
                    <w:rPr>
                      <w:color w:val="auto"/>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82" w:hRule="atLeast"/>
                <w:jc w:val="center"/>
              </w:trPr>
              <w:tc>
                <w:tcPr>
                  <w:tcW w:w="1384" w:type="pct"/>
                  <w:vAlign w:val="center"/>
                </w:tcPr>
                <w:p>
                  <w:pPr>
                    <w:pStyle w:val="113"/>
                    <w:rPr>
                      <w:color w:val="auto"/>
                    </w:rPr>
                  </w:pPr>
                  <w:r>
                    <w:rPr>
                      <w:rFonts w:hint="eastAsia"/>
                      <w:color w:val="auto"/>
                    </w:rPr>
                    <w:t>巩留县行政学校</w:t>
                  </w:r>
                </w:p>
              </w:tc>
              <w:tc>
                <w:tcPr>
                  <w:tcW w:w="612" w:type="pct"/>
                  <w:vAlign w:val="center"/>
                </w:tcPr>
                <w:p>
                  <w:pPr>
                    <w:pStyle w:val="113"/>
                    <w:rPr>
                      <w:color w:val="auto"/>
                    </w:rPr>
                  </w:pPr>
                  <w:r>
                    <w:rPr>
                      <w:rFonts w:hint="eastAsia"/>
                      <w:color w:val="auto"/>
                    </w:rPr>
                    <w:t>200人</w:t>
                  </w:r>
                </w:p>
              </w:tc>
              <w:tc>
                <w:tcPr>
                  <w:tcW w:w="901" w:type="pct"/>
                  <w:vAlign w:val="center"/>
                </w:tcPr>
                <w:p>
                  <w:pPr>
                    <w:pStyle w:val="113"/>
                    <w:rPr>
                      <w:color w:val="auto"/>
                    </w:rPr>
                  </w:pPr>
                  <w:r>
                    <w:rPr>
                      <w:rFonts w:hint="eastAsia"/>
                      <w:color w:val="auto"/>
                    </w:rPr>
                    <w:t>600m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西南侧</w:t>
                  </w:r>
                </w:p>
              </w:tc>
              <w:tc>
                <w:tcPr>
                  <w:tcW w:w="1275" w:type="pct"/>
                  <w:vMerge w:val="continue"/>
                  <w:vAlign w:val="center"/>
                </w:tcPr>
                <w:p>
                  <w:pPr>
                    <w:pStyle w:val="113"/>
                    <w:rPr>
                      <w:color w:val="auto"/>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82" w:hRule="atLeast"/>
                <w:jc w:val="center"/>
              </w:trPr>
              <w:tc>
                <w:tcPr>
                  <w:tcW w:w="1384" w:type="pct"/>
                  <w:vAlign w:val="center"/>
                </w:tcPr>
                <w:p>
                  <w:pPr>
                    <w:pStyle w:val="113"/>
                    <w:rPr>
                      <w:color w:val="auto"/>
                    </w:rPr>
                  </w:pPr>
                  <w:r>
                    <w:rPr>
                      <w:rFonts w:hint="eastAsia"/>
                      <w:color w:val="auto"/>
                    </w:rPr>
                    <w:t>巩留县第五幼儿园</w:t>
                  </w:r>
                </w:p>
              </w:tc>
              <w:tc>
                <w:tcPr>
                  <w:tcW w:w="612" w:type="pct"/>
                  <w:vAlign w:val="center"/>
                </w:tcPr>
                <w:p>
                  <w:pPr>
                    <w:pStyle w:val="113"/>
                    <w:rPr>
                      <w:color w:val="auto"/>
                    </w:rPr>
                  </w:pPr>
                  <w:r>
                    <w:rPr>
                      <w:rFonts w:hint="eastAsia"/>
                      <w:color w:val="auto"/>
                    </w:rPr>
                    <w:t>300人</w:t>
                  </w:r>
                </w:p>
              </w:tc>
              <w:tc>
                <w:tcPr>
                  <w:tcW w:w="901" w:type="pct"/>
                  <w:vAlign w:val="center"/>
                </w:tcPr>
                <w:p>
                  <w:pPr>
                    <w:pStyle w:val="113"/>
                    <w:rPr>
                      <w:color w:val="auto"/>
                    </w:rPr>
                  </w:pPr>
                  <w:r>
                    <w:rPr>
                      <w:rFonts w:hint="eastAsia"/>
                      <w:color w:val="auto"/>
                    </w:rPr>
                    <w:t>980m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南侧</w:t>
                  </w:r>
                </w:p>
              </w:tc>
              <w:tc>
                <w:tcPr>
                  <w:tcW w:w="1275" w:type="pct"/>
                  <w:vMerge w:val="continue"/>
                  <w:vAlign w:val="center"/>
                </w:tcPr>
                <w:p>
                  <w:pPr>
                    <w:pStyle w:val="113"/>
                    <w:rPr>
                      <w:color w:val="auto"/>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27" w:hRule="atLeast"/>
                <w:jc w:val="center"/>
              </w:trPr>
              <w:tc>
                <w:tcPr>
                  <w:tcW w:w="1384" w:type="pct"/>
                  <w:vAlign w:val="center"/>
                </w:tcPr>
                <w:p>
                  <w:pPr>
                    <w:pStyle w:val="113"/>
                    <w:rPr>
                      <w:color w:val="auto"/>
                    </w:rPr>
                  </w:pPr>
                  <w:r>
                    <w:rPr>
                      <w:rFonts w:hint="eastAsia"/>
                      <w:color w:val="auto"/>
                    </w:rPr>
                    <w:t>巩留县城居民</w:t>
                  </w:r>
                </w:p>
              </w:tc>
              <w:tc>
                <w:tcPr>
                  <w:tcW w:w="612" w:type="pct"/>
                  <w:vAlign w:val="center"/>
                </w:tcPr>
                <w:p>
                  <w:pPr>
                    <w:pStyle w:val="113"/>
                    <w:rPr>
                      <w:color w:val="auto"/>
                    </w:rPr>
                  </w:pPr>
                  <w:r>
                    <w:rPr>
                      <w:rFonts w:hint="eastAsia"/>
                      <w:color w:val="auto"/>
                    </w:rPr>
                    <w:t>15000人</w:t>
                  </w:r>
                </w:p>
              </w:tc>
              <w:tc>
                <w:tcPr>
                  <w:tcW w:w="901" w:type="pct"/>
                  <w:vAlign w:val="center"/>
                </w:tcPr>
                <w:p>
                  <w:pPr>
                    <w:pStyle w:val="113"/>
                    <w:rPr>
                      <w:color w:val="auto"/>
                    </w:rPr>
                  </w:pPr>
                  <w:r>
                    <w:rPr>
                      <w:rFonts w:hint="eastAsia"/>
                      <w:color w:val="auto"/>
                    </w:rPr>
                    <w:t>1285m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南侧/西南侧</w:t>
                  </w:r>
                </w:p>
              </w:tc>
              <w:tc>
                <w:tcPr>
                  <w:tcW w:w="1275" w:type="pct"/>
                  <w:vMerge w:val="continue"/>
                  <w:vAlign w:val="center"/>
                </w:tcPr>
                <w:p>
                  <w:pPr>
                    <w:jc w:val="center"/>
                    <w:rPr>
                      <w:color w:val="auto"/>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12" w:hRule="atLeast"/>
                <w:jc w:val="center"/>
              </w:trPr>
              <w:tc>
                <w:tcPr>
                  <w:tcW w:w="1384" w:type="pct"/>
                  <w:vAlign w:val="center"/>
                </w:tcPr>
                <w:p>
                  <w:pPr>
                    <w:pStyle w:val="113"/>
                    <w:rPr>
                      <w:color w:val="auto"/>
                    </w:rPr>
                  </w:pPr>
                  <w:r>
                    <w:rPr>
                      <w:rFonts w:hint="eastAsia"/>
                      <w:color w:val="auto"/>
                    </w:rPr>
                    <w:t>巩留镇政府</w:t>
                  </w:r>
                </w:p>
              </w:tc>
              <w:tc>
                <w:tcPr>
                  <w:tcW w:w="612" w:type="pct"/>
                  <w:vAlign w:val="center"/>
                </w:tcPr>
                <w:p>
                  <w:pPr>
                    <w:pStyle w:val="113"/>
                    <w:rPr>
                      <w:color w:val="auto"/>
                    </w:rPr>
                  </w:pPr>
                  <w:r>
                    <w:rPr>
                      <w:rFonts w:hint="eastAsia"/>
                      <w:color w:val="auto"/>
                    </w:rPr>
                    <w:t>/</w:t>
                  </w:r>
                </w:p>
              </w:tc>
              <w:tc>
                <w:tcPr>
                  <w:tcW w:w="901" w:type="pct"/>
                  <w:vAlign w:val="center"/>
                </w:tcPr>
                <w:p>
                  <w:pPr>
                    <w:pStyle w:val="113"/>
                    <w:rPr>
                      <w:color w:val="auto"/>
                    </w:rPr>
                  </w:pPr>
                  <w:r>
                    <w:rPr>
                      <w:rFonts w:hint="eastAsia"/>
                      <w:color w:val="auto"/>
                    </w:rPr>
                    <w:t>2210m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南侧</w:t>
                  </w:r>
                </w:p>
              </w:tc>
              <w:tc>
                <w:tcPr>
                  <w:tcW w:w="1275" w:type="pct"/>
                  <w:vMerge w:val="continue"/>
                  <w:vAlign w:val="center"/>
                </w:tcPr>
                <w:p>
                  <w:pPr>
                    <w:jc w:val="center"/>
                    <w:rPr>
                      <w:color w:val="auto"/>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22" w:hRule="atLeast"/>
                <w:jc w:val="center"/>
              </w:trPr>
              <w:tc>
                <w:tcPr>
                  <w:tcW w:w="1384" w:type="pct"/>
                  <w:vAlign w:val="center"/>
                </w:tcPr>
                <w:p>
                  <w:pPr>
                    <w:pStyle w:val="113"/>
                    <w:rPr>
                      <w:color w:val="auto"/>
                    </w:rPr>
                  </w:pPr>
                  <w:r>
                    <w:rPr>
                      <w:rFonts w:hint="eastAsia"/>
                      <w:color w:val="auto"/>
                    </w:rPr>
                    <w:t>巩留县政府</w:t>
                  </w:r>
                </w:p>
              </w:tc>
              <w:tc>
                <w:tcPr>
                  <w:tcW w:w="612" w:type="pct"/>
                  <w:vAlign w:val="center"/>
                </w:tcPr>
                <w:p>
                  <w:pPr>
                    <w:pStyle w:val="113"/>
                    <w:rPr>
                      <w:color w:val="auto"/>
                    </w:rPr>
                  </w:pPr>
                  <w:r>
                    <w:rPr>
                      <w:rFonts w:hint="eastAsia"/>
                      <w:color w:val="auto"/>
                    </w:rPr>
                    <w:t>/</w:t>
                  </w:r>
                </w:p>
              </w:tc>
              <w:tc>
                <w:tcPr>
                  <w:tcW w:w="901" w:type="pct"/>
                  <w:vAlign w:val="center"/>
                </w:tcPr>
                <w:p>
                  <w:pPr>
                    <w:pStyle w:val="113"/>
                    <w:rPr>
                      <w:color w:val="auto"/>
                    </w:rPr>
                  </w:pPr>
                  <w:r>
                    <w:rPr>
                      <w:rFonts w:hint="eastAsia"/>
                      <w:color w:val="auto"/>
                    </w:rPr>
                    <w:t>2215m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南侧</w:t>
                  </w:r>
                </w:p>
              </w:tc>
              <w:tc>
                <w:tcPr>
                  <w:tcW w:w="1275" w:type="pct"/>
                  <w:vMerge w:val="continue"/>
                  <w:vAlign w:val="center"/>
                </w:tcPr>
                <w:p>
                  <w:pPr>
                    <w:pStyle w:val="113"/>
                    <w:rPr>
                      <w:color w:val="auto"/>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1384" w:type="pct"/>
                  <w:vAlign w:val="center"/>
                </w:tcPr>
                <w:p>
                  <w:pPr>
                    <w:pStyle w:val="113"/>
                    <w:rPr>
                      <w:color w:val="auto"/>
                    </w:rPr>
                  </w:pPr>
                  <w:r>
                    <w:rPr>
                      <w:rFonts w:hint="eastAsia"/>
                      <w:color w:val="auto"/>
                    </w:rPr>
                    <w:t>巩留县第二中学</w:t>
                  </w:r>
                </w:p>
              </w:tc>
              <w:tc>
                <w:tcPr>
                  <w:tcW w:w="612" w:type="pct"/>
                  <w:vAlign w:val="center"/>
                </w:tcPr>
                <w:p>
                  <w:pPr>
                    <w:pStyle w:val="113"/>
                    <w:rPr>
                      <w:color w:val="auto"/>
                    </w:rPr>
                  </w:pPr>
                  <w:r>
                    <w:rPr>
                      <w:rFonts w:hint="eastAsia"/>
                      <w:color w:val="auto"/>
                    </w:rPr>
                    <w:t>1000人</w:t>
                  </w:r>
                </w:p>
              </w:tc>
              <w:tc>
                <w:tcPr>
                  <w:tcW w:w="901" w:type="pct"/>
                  <w:vAlign w:val="center"/>
                </w:tcPr>
                <w:p>
                  <w:pPr>
                    <w:pStyle w:val="113"/>
                    <w:rPr>
                      <w:color w:val="auto"/>
                    </w:rPr>
                  </w:pPr>
                  <w:r>
                    <w:rPr>
                      <w:rFonts w:hint="eastAsia"/>
                      <w:color w:val="auto"/>
                    </w:rPr>
                    <w:t>2445m</w:t>
                  </w:r>
                </w:p>
              </w:tc>
              <w:tc>
                <w:tcPr>
                  <w:tcW w:w="1500" w:type="dxa"/>
                  <w:vAlign w:val="center"/>
                </w:tcPr>
                <w:p>
                  <w:pPr>
                    <w:widowControl/>
                    <w:jc w:val="center"/>
                    <w:textAlignment w:val="center"/>
                    <w:rPr>
                      <w:color w:val="auto"/>
                    </w:rPr>
                  </w:pPr>
                  <w:r>
                    <w:rPr>
                      <w:rFonts w:hint="eastAsia" w:ascii="宋体" w:hAnsi="宋体" w:cs="宋体"/>
                      <w:color w:val="auto"/>
                      <w:kern w:val="0"/>
                      <w:szCs w:val="21"/>
                      <w:lang w:bidi="ar"/>
                    </w:rPr>
                    <w:t>南侧</w:t>
                  </w:r>
                </w:p>
              </w:tc>
              <w:tc>
                <w:tcPr>
                  <w:tcW w:w="1275" w:type="pct"/>
                  <w:vMerge w:val="continue"/>
                  <w:vAlign w:val="center"/>
                </w:tcPr>
                <w:p>
                  <w:pPr>
                    <w:jc w:val="center"/>
                    <w:rPr>
                      <w:color w:val="auto"/>
                    </w:rPr>
                  </w:pPr>
                </w:p>
              </w:tc>
            </w:tr>
          </w:tbl>
          <w:p>
            <w:pPr>
              <w:spacing w:line="520" w:lineRule="exact"/>
              <w:rPr>
                <w:bCs/>
                <w:color w:val="auto"/>
                <w:sz w:val="28"/>
              </w:rPr>
            </w:pPr>
          </w:p>
          <w:p>
            <w:pPr>
              <w:rPr>
                <w:color w:val="auto"/>
              </w:rPr>
            </w:pPr>
          </w:p>
          <w:p>
            <w:pPr>
              <w:rPr>
                <w:bCs/>
                <w:color w:val="auto"/>
                <w:sz w:val="28"/>
              </w:rPr>
            </w:pPr>
          </w:p>
        </w:tc>
      </w:tr>
    </w:tbl>
    <w:p>
      <w:pPr>
        <w:pStyle w:val="6"/>
        <w:rPr>
          <w:color w:val="auto"/>
        </w:rPr>
      </w:pPr>
      <w:r>
        <w:rPr>
          <w:color w:val="auto"/>
        </w:rPr>
        <w:br w:type="page"/>
      </w:r>
      <w:r>
        <w:rPr>
          <w:rFonts w:hint="eastAsia" w:ascii="黑体" w:hAnsi="黑体" w:eastAsia="黑体" w:cs="黑体"/>
          <w:b w:val="0"/>
          <w:bCs w:val="0"/>
          <w:color w:val="auto"/>
        </w:rPr>
        <w:t>评价适用标准</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4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828" w:type="dxa"/>
            <w:tcBorders>
              <w:top w:val="single" w:color="auto" w:sz="12" w:space="0"/>
              <w:left w:val="single" w:color="auto" w:sz="12" w:space="0"/>
            </w:tcBorders>
            <w:vAlign w:val="center"/>
          </w:tcPr>
          <w:p>
            <w:pPr>
              <w:spacing w:line="400" w:lineRule="exact"/>
              <w:jc w:val="center"/>
              <w:rPr>
                <w:color w:val="auto"/>
                <w:sz w:val="28"/>
                <w:szCs w:val="28"/>
              </w:rPr>
            </w:pPr>
            <w:r>
              <w:rPr>
                <w:color w:val="auto"/>
                <w:sz w:val="28"/>
                <w:szCs w:val="28"/>
              </w:rPr>
              <w:t>环境质量标准</w:t>
            </w:r>
          </w:p>
        </w:tc>
        <w:tc>
          <w:tcPr>
            <w:tcW w:w="8459" w:type="dxa"/>
            <w:tcBorders>
              <w:top w:val="single" w:color="auto" w:sz="12" w:space="0"/>
              <w:right w:val="single" w:color="auto" w:sz="12" w:space="0"/>
            </w:tcBorders>
            <w:vAlign w:val="center"/>
          </w:tcPr>
          <w:p>
            <w:pPr>
              <w:spacing w:line="520" w:lineRule="exact"/>
              <w:rPr>
                <w:color w:val="auto"/>
                <w:sz w:val="28"/>
                <w:szCs w:val="28"/>
              </w:rPr>
            </w:pPr>
            <w:r>
              <w:rPr>
                <w:rFonts w:hint="eastAsia"/>
                <w:color w:val="auto"/>
                <w:sz w:val="28"/>
                <w:szCs w:val="28"/>
              </w:rPr>
              <w:t>（1）</w:t>
            </w:r>
            <w:r>
              <w:rPr>
                <w:color w:val="auto"/>
                <w:sz w:val="28"/>
                <w:szCs w:val="28"/>
              </w:rPr>
              <w:t>大气环境：《环境空气质量标准》（GB3095—2012）中二级标准；</w:t>
            </w:r>
          </w:p>
          <w:p>
            <w:pPr>
              <w:spacing w:line="520" w:lineRule="exact"/>
              <w:rPr>
                <w:color w:val="auto"/>
                <w:sz w:val="28"/>
                <w:szCs w:val="28"/>
              </w:rPr>
            </w:pPr>
            <w:r>
              <w:rPr>
                <w:color w:val="auto"/>
                <w:sz w:val="28"/>
                <w:szCs w:val="28"/>
              </w:rPr>
              <w:t>（</w:t>
            </w:r>
            <w:r>
              <w:rPr>
                <w:rFonts w:hint="eastAsia"/>
                <w:color w:val="auto"/>
                <w:sz w:val="28"/>
                <w:szCs w:val="28"/>
              </w:rPr>
              <w:t>2</w:t>
            </w:r>
            <w:r>
              <w:rPr>
                <w:color w:val="auto"/>
                <w:sz w:val="28"/>
                <w:szCs w:val="28"/>
              </w:rPr>
              <w:t>）声环境：《声环境质量标准》（GB3096—2008）中</w:t>
            </w:r>
            <w:r>
              <w:rPr>
                <w:rFonts w:hint="eastAsia"/>
                <w:color w:val="auto"/>
                <w:sz w:val="28"/>
                <w:szCs w:val="28"/>
                <w:lang w:val="en-US" w:eastAsia="zh-CN"/>
              </w:rPr>
              <w:t>3</w:t>
            </w:r>
            <w:r>
              <w:rPr>
                <w:color w:val="auto"/>
                <w:sz w:val="28"/>
                <w:szCs w:val="28"/>
              </w:rPr>
              <w:t>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left w:val="single" w:color="auto" w:sz="12" w:space="0"/>
            </w:tcBorders>
            <w:vAlign w:val="center"/>
          </w:tcPr>
          <w:p>
            <w:pPr>
              <w:spacing w:line="520" w:lineRule="exact"/>
              <w:rPr>
                <w:color w:val="auto"/>
                <w:sz w:val="24"/>
              </w:rPr>
            </w:pPr>
            <w:r>
              <w:rPr>
                <w:rFonts w:hint="eastAsia"/>
                <w:color w:val="auto"/>
                <w:sz w:val="28"/>
                <w:szCs w:val="28"/>
              </w:rPr>
              <w:t>污染物排放标准</w:t>
            </w:r>
          </w:p>
        </w:tc>
        <w:tc>
          <w:tcPr>
            <w:tcW w:w="8459" w:type="dxa"/>
            <w:tcBorders>
              <w:right w:val="single" w:color="auto" w:sz="12" w:space="0"/>
            </w:tcBorders>
            <w:vAlign w:val="center"/>
          </w:tcPr>
          <w:p>
            <w:pPr>
              <w:spacing w:line="520" w:lineRule="exact"/>
              <w:rPr>
                <w:color w:val="auto"/>
                <w:sz w:val="28"/>
                <w:szCs w:val="28"/>
              </w:rPr>
            </w:pPr>
            <w:r>
              <w:rPr>
                <w:rFonts w:hint="eastAsia"/>
                <w:color w:val="auto"/>
                <w:sz w:val="28"/>
                <w:szCs w:val="28"/>
              </w:rPr>
              <w:t>（1）《挥发性有机物无组织排放控制标准》（GB37822-2019）；</w:t>
            </w:r>
          </w:p>
          <w:p>
            <w:pPr>
              <w:spacing w:line="520" w:lineRule="exact"/>
              <w:rPr>
                <w:rFonts w:hint="eastAsia"/>
                <w:color w:val="auto"/>
                <w:sz w:val="28"/>
                <w:szCs w:val="28"/>
                <w:lang w:eastAsia="zh-CN"/>
              </w:rPr>
            </w:pPr>
            <w:r>
              <w:rPr>
                <w:rFonts w:hint="eastAsia"/>
                <w:color w:val="auto"/>
                <w:sz w:val="28"/>
                <w:szCs w:val="28"/>
              </w:rPr>
              <w:t>（2）《大气污染物综合排放标准》（GB16297-1996）</w:t>
            </w:r>
            <w:r>
              <w:rPr>
                <w:rFonts w:hint="eastAsia"/>
                <w:color w:val="auto"/>
                <w:sz w:val="28"/>
                <w:szCs w:val="28"/>
                <w:lang w:eastAsia="zh-CN"/>
              </w:rPr>
              <w:t>；</w:t>
            </w:r>
          </w:p>
          <w:p>
            <w:pPr>
              <w:spacing w:line="520" w:lineRule="exact"/>
              <w:rPr>
                <w:rStyle w:val="31"/>
                <w:color w:val="auto"/>
              </w:rPr>
            </w:pPr>
            <w:r>
              <w:rPr>
                <w:rFonts w:hint="eastAsia"/>
                <w:color w:val="auto"/>
                <w:sz w:val="28"/>
                <w:szCs w:val="28"/>
                <w:lang w:eastAsia="zh-CN"/>
              </w:rPr>
              <w:t>（</w:t>
            </w:r>
            <w:r>
              <w:rPr>
                <w:rFonts w:hint="eastAsia"/>
                <w:color w:val="auto"/>
                <w:sz w:val="28"/>
                <w:szCs w:val="28"/>
                <w:lang w:val="en-US" w:eastAsia="zh-CN"/>
              </w:rPr>
              <w:t>3</w:t>
            </w:r>
            <w:r>
              <w:rPr>
                <w:rFonts w:hint="eastAsia"/>
                <w:color w:val="auto"/>
                <w:sz w:val="28"/>
                <w:szCs w:val="28"/>
                <w:lang w:eastAsia="zh-CN"/>
              </w:rPr>
              <w:t>）《合成树脂工业污染物排放标准》（GB31572-2015）</w:t>
            </w:r>
            <w:r>
              <w:rPr>
                <w:rFonts w:hint="eastAsia"/>
                <w:color w:val="auto"/>
                <w:sz w:val="28"/>
                <w:szCs w:val="28"/>
              </w:rPr>
              <w:t>；</w:t>
            </w:r>
          </w:p>
          <w:p>
            <w:pPr>
              <w:spacing w:line="520" w:lineRule="exact"/>
              <w:rPr>
                <w:color w:val="auto"/>
                <w:sz w:val="28"/>
                <w:szCs w:val="28"/>
              </w:rPr>
            </w:pPr>
            <w:r>
              <w:rPr>
                <w:rFonts w:hint="eastAsia"/>
                <w:color w:val="auto"/>
                <w:sz w:val="28"/>
                <w:szCs w:val="28"/>
              </w:rPr>
              <w:t>（</w:t>
            </w:r>
            <w:r>
              <w:rPr>
                <w:rFonts w:hint="eastAsia"/>
                <w:color w:val="auto"/>
                <w:sz w:val="28"/>
                <w:szCs w:val="28"/>
                <w:lang w:val="en-US" w:eastAsia="zh-CN"/>
              </w:rPr>
              <w:t>4</w:t>
            </w:r>
            <w:r>
              <w:rPr>
                <w:rFonts w:hint="eastAsia"/>
                <w:color w:val="auto"/>
                <w:sz w:val="28"/>
                <w:szCs w:val="28"/>
              </w:rPr>
              <w:t>）《饮食业油烟排放标准（试行）》（GB18483—2001）；</w:t>
            </w:r>
          </w:p>
          <w:p>
            <w:pPr>
              <w:spacing w:line="520" w:lineRule="exact"/>
              <w:rPr>
                <w:color w:val="auto"/>
                <w:sz w:val="28"/>
                <w:szCs w:val="28"/>
              </w:rPr>
            </w:pPr>
            <w:r>
              <w:rPr>
                <w:rFonts w:hint="eastAsia"/>
                <w:color w:val="auto"/>
                <w:sz w:val="28"/>
                <w:szCs w:val="28"/>
              </w:rPr>
              <w:t>（</w:t>
            </w:r>
            <w:r>
              <w:rPr>
                <w:rFonts w:hint="eastAsia"/>
                <w:color w:val="auto"/>
                <w:sz w:val="28"/>
                <w:szCs w:val="28"/>
                <w:lang w:val="en-US" w:eastAsia="zh-CN"/>
              </w:rPr>
              <w:t>5</w:t>
            </w:r>
            <w:r>
              <w:rPr>
                <w:rFonts w:hint="eastAsia"/>
                <w:color w:val="auto"/>
                <w:sz w:val="28"/>
                <w:szCs w:val="28"/>
              </w:rPr>
              <w:t>）《污水排入城镇下水道水质标准》（GB/T31962-2015）；</w:t>
            </w:r>
          </w:p>
          <w:p>
            <w:pPr>
              <w:spacing w:line="520" w:lineRule="exact"/>
              <w:rPr>
                <w:color w:val="auto"/>
                <w:sz w:val="28"/>
                <w:szCs w:val="28"/>
              </w:rPr>
            </w:pPr>
            <w:r>
              <w:rPr>
                <w:rFonts w:hint="eastAsia"/>
                <w:color w:val="auto"/>
                <w:sz w:val="28"/>
                <w:szCs w:val="28"/>
              </w:rPr>
              <w:t>（</w:t>
            </w:r>
            <w:r>
              <w:rPr>
                <w:rFonts w:hint="eastAsia"/>
                <w:color w:val="auto"/>
                <w:sz w:val="28"/>
                <w:szCs w:val="28"/>
                <w:lang w:val="en-US" w:eastAsia="zh-CN"/>
              </w:rPr>
              <w:t>6</w:t>
            </w:r>
            <w:r>
              <w:rPr>
                <w:rFonts w:hint="eastAsia"/>
                <w:color w:val="auto"/>
                <w:sz w:val="28"/>
                <w:szCs w:val="28"/>
              </w:rPr>
              <w:t>）《工业企业厂界环境噪声排放标准》（GB12348—2008）中的</w:t>
            </w:r>
            <w:r>
              <w:rPr>
                <w:rFonts w:hint="eastAsia"/>
                <w:color w:val="auto"/>
                <w:sz w:val="28"/>
                <w:szCs w:val="28"/>
                <w:lang w:val="en-US" w:eastAsia="zh-CN"/>
              </w:rPr>
              <w:t>3</w:t>
            </w:r>
            <w:r>
              <w:rPr>
                <w:rFonts w:hint="eastAsia"/>
                <w:color w:val="auto"/>
                <w:sz w:val="28"/>
                <w:szCs w:val="28"/>
              </w:rPr>
              <w:t>类</w:t>
            </w:r>
            <w:r>
              <w:rPr>
                <w:rFonts w:hint="eastAsia"/>
                <w:color w:val="auto"/>
                <w:sz w:val="28"/>
                <w:szCs w:val="28"/>
              </w:rPr>
              <w:t>声功能区；</w:t>
            </w:r>
          </w:p>
          <w:p>
            <w:pPr>
              <w:spacing w:line="520" w:lineRule="exact"/>
              <w:rPr>
                <w:color w:val="auto"/>
                <w:sz w:val="28"/>
                <w:szCs w:val="28"/>
              </w:rPr>
            </w:pPr>
            <w:r>
              <w:rPr>
                <w:rFonts w:hint="eastAsia"/>
                <w:color w:val="auto"/>
                <w:sz w:val="28"/>
                <w:szCs w:val="28"/>
              </w:rPr>
              <w:t>（</w:t>
            </w:r>
            <w:r>
              <w:rPr>
                <w:rFonts w:hint="eastAsia"/>
                <w:color w:val="auto"/>
                <w:sz w:val="28"/>
                <w:szCs w:val="28"/>
                <w:lang w:val="en-US" w:eastAsia="zh-CN"/>
              </w:rPr>
              <w:t>7</w:t>
            </w:r>
            <w:r>
              <w:rPr>
                <w:rFonts w:hint="eastAsia"/>
                <w:color w:val="auto"/>
                <w:sz w:val="28"/>
                <w:szCs w:val="28"/>
              </w:rPr>
              <w:t>）《一般工业固体废物贮存、处置场污染控制标准》（GB18599—2001）（2013年修订）；</w:t>
            </w:r>
          </w:p>
          <w:p>
            <w:pPr>
              <w:spacing w:line="520" w:lineRule="exact"/>
              <w:rPr>
                <w:color w:val="auto"/>
                <w:sz w:val="24"/>
              </w:rPr>
            </w:pPr>
            <w:r>
              <w:rPr>
                <w:rFonts w:hint="eastAsia"/>
                <w:color w:val="auto"/>
                <w:sz w:val="28"/>
                <w:szCs w:val="28"/>
              </w:rPr>
              <w:t>（</w:t>
            </w:r>
            <w:r>
              <w:rPr>
                <w:rFonts w:hint="eastAsia"/>
                <w:color w:val="auto"/>
                <w:sz w:val="28"/>
                <w:szCs w:val="28"/>
                <w:lang w:val="en-US" w:eastAsia="zh-CN"/>
              </w:rPr>
              <w:t>8</w:t>
            </w:r>
            <w:r>
              <w:rPr>
                <w:rFonts w:hint="eastAsia"/>
                <w:color w:val="auto"/>
                <w:sz w:val="28"/>
                <w:szCs w:val="28"/>
              </w:rPr>
              <w:t>）《危险废物贮存污染控制标准》（GB18597-2001，</w:t>
            </w:r>
            <w:r>
              <w:rPr>
                <w:rFonts w:hint="eastAsia"/>
                <w:color w:val="auto"/>
                <w:sz w:val="28"/>
                <w:szCs w:val="28"/>
              </w:rPr>
              <w:t>2013年修订）。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6" w:hRule="atLeast"/>
        </w:trPr>
        <w:tc>
          <w:tcPr>
            <w:tcW w:w="828" w:type="dxa"/>
            <w:tcBorders>
              <w:left w:val="single" w:color="auto" w:sz="12" w:space="0"/>
              <w:bottom w:val="single" w:color="auto" w:sz="12" w:space="0"/>
            </w:tcBorders>
            <w:vAlign w:val="center"/>
          </w:tcPr>
          <w:p>
            <w:pPr>
              <w:spacing w:line="560" w:lineRule="exact"/>
              <w:jc w:val="center"/>
              <w:rPr>
                <w:color w:val="auto"/>
                <w:sz w:val="28"/>
                <w:szCs w:val="28"/>
              </w:rPr>
            </w:pPr>
            <w:r>
              <w:rPr>
                <w:color w:val="auto"/>
                <w:sz w:val="28"/>
                <w:szCs w:val="28"/>
              </w:rPr>
              <w:t>总量控制指标</w:t>
            </w:r>
          </w:p>
        </w:tc>
        <w:tc>
          <w:tcPr>
            <w:tcW w:w="8459" w:type="dxa"/>
            <w:tcBorders>
              <w:bottom w:val="single" w:color="auto" w:sz="12" w:space="0"/>
              <w:right w:val="single" w:color="auto" w:sz="12" w:space="0"/>
            </w:tcBorders>
            <w:vAlign w:val="center"/>
          </w:tcPr>
          <w:p>
            <w:pPr>
              <w:spacing w:line="520" w:lineRule="exact"/>
              <w:ind w:firstLine="560" w:firstLineChars="200"/>
              <w:rPr>
                <w:color w:val="auto"/>
                <w:sz w:val="24"/>
              </w:rPr>
            </w:pPr>
            <w:r>
              <w:rPr>
                <w:rFonts w:hint="eastAsia"/>
                <w:color w:val="auto"/>
                <w:sz w:val="28"/>
                <w:szCs w:val="28"/>
              </w:rPr>
              <w:t>根据工程分析，本项目生产过程中会产生非甲烷总烃，在生态环境行政主管部门未核准前，建议各类污染物控制排放总量为：非甲烷总烃1.736t/a。</w:t>
            </w:r>
          </w:p>
        </w:tc>
      </w:tr>
    </w:tbl>
    <w:p>
      <w:pPr>
        <w:pStyle w:val="6"/>
        <w:rPr>
          <w:color w:val="auto"/>
        </w:rPr>
      </w:pPr>
      <w:r>
        <w:rPr>
          <w:b w:val="0"/>
          <w:color w:val="auto"/>
        </w:rPr>
        <w:br w:type="page"/>
      </w:r>
      <w:r>
        <w:rPr>
          <w:color w:val="auto"/>
        </w:rPr>
        <w:t>建设项目工程分析</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5" w:hRule="atLeast"/>
        </w:trPr>
        <w:tc>
          <w:tcPr>
            <w:tcW w:w="9287" w:type="dxa"/>
            <w:tcBorders>
              <w:top w:val="single" w:color="auto" w:sz="12" w:space="0"/>
              <w:left w:val="single" w:color="auto" w:sz="12" w:space="0"/>
              <w:bottom w:val="single" w:color="auto" w:sz="12" w:space="0"/>
              <w:right w:val="single" w:color="auto" w:sz="12" w:space="0"/>
            </w:tcBorders>
          </w:tcPr>
          <w:p>
            <w:pPr>
              <w:spacing w:line="520" w:lineRule="exact"/>
              <w:rPr>
                <w:b/>
                <w:color w:val="auto"/>
                <w:sz w:val="28"/>
                <w:szCs w:val="28"/>
              </w:rPr>
            </w:pPr>
            <w:r>
              <w:rPr>
                <w:b/>
                <w:color w:val="auto"/>
                <w:sz w:val="28"/>
                <w:szCs w:val="28"/>
              </w:rPr>
              <w:t>工艺流程简述（图示）：</w:t>
            </w:r>
          </w:p>
          <w:p>
            <w:pPr>
              <w:spacing w:line="520" w:lineRule="exact"/>
              <w:ind w:firstLine="560" w:firstLineChars="200"/>
              <w:jc w:val="left"/>
              <w:rPr>
                <w:color w:val="auto"/>
                <w:sz w:val="28"/>
                <w:szCs w:val="28"/>
              </w:rPr>
            </w:pPr>
            <w:r>
              <w:rPr>
                <w:rFonts w:hint="eastAsia"/>
                <w:color w:val="auto"/>
                <w:sz w:val="28"/>
                <w:szCs w:val="28"/>
              </w:rPr>
              <w:t>本项目租赁巩留县众帮苯板厂已建库房，施工期已结束，方案不再对施工期进行分析评价。</w:t>
            </w:r>
          </w:p>
          <w:p>
            <w:pPr>
              <w:spacing w:line="520" w:lineRule="exact"/>
              <w:rPr>
                <w:b/>
                <w:color w:val="auto"/>
                <w:sz w:val="28"/>
                <w:szCs w:val="28"/>
              </w:rPr>
            </w:pPr>
            <w:r>
              <w:rPr>
                <w:rFonts w:hint="eastAsia"/>
                <w:b/>
                <w:color w:val="auto"/>
                <w:sz w:val="28"/>
                <w:szCs w:val="28"/>
              </w:rPr>
              <w:t>1运用期工艺流程</w:t>
            </w:r>
          </w:p>
          <w:p>
            <w:pPr>
              <w:pStyle w:val="107"/>
              <w:ind w:firstLine="560"/>
              <w:rPr>
                <w:color w:val="auto"/>
              </w:rPr>
            </w:pPr>
            <w:r>
              <w:rPr>
                <w:rFonts w:hint="eastAsia"/>
                <w:color w:val="auto"/>
              </w:rPr>
              <w:t>本项目建设2条拖鞋生产线，1条为PVC拖鞋生产线，产品为50万双PVC一次成型拖鞋；1条为EVA拖鞋生产线，产品分为两种类型，一种为直接射出成型的EVA拖鞋，年产量约为25万双，另外一种为组合拖鞋，是由购买成型的帮面或拉带与射出成型的EVA鞋底组合而成，年产量约为25万双。</w:t>
            </w:r>
          </w:p>
          <w:p>
            <w:pPr>
              <w:pStyle w:val="107"/>
              <w:ind w:firstLine="560"/>
              <w:rPr>
                <w:color w:val="auto"/>
              </w:rPr>
            </w:pPr>
            <w:r>
              <w:rPr>
                <w:rFonts w:hint="eastAsia"/>
                <w:color w:val="auto"/>
              </w:rPr>
              <w:t>（1）产品一</w:t>
            </w:r>
          </w:p>
          <w:p>
            <w:pPr>
              <w:jc w:val="center"/>
              <w:rPr>
                <w:rFonts w:eastAsia="黑体"/>
                <w:bCs/>
                <w:color w:val="auto"/>
                <w:sz w:val="24"/>
              </w:rPr>
            </w:pPr>
            <w:r>
              <w:rPr>
                <w:color w:val="auto"/>
              </w:rPr>
              <w:object>
                <v:shape id="_x0000_i1025" o:spt="75" type="#_x0000_t75" style="height:162.8pt;width:472.7pt;" o:ole="t" filled="f" o:preferrelative="t" stroked="f" coordsize="21600,21600">
                  <v:path/>
                  <v:fill on="f" focussize="0,0"/>
                  <v:stroke on="f" joinstyle="miter"/>
                  <v:imagedata r:id="rId13" o:title=""/>
                  <o:lock v:ext="edit" aspectratio="t"/>
                  <w10:wrap type="none"/>
                  <w10:anchorlock/>
                </v:shape>
                <o:OLEObject Type="Embed" ProgID="Visio.Drawing.11" ShapeID="_x0000_i1025" DrawAspect="Content" ObjectID="_1468075725" r:id="rId12">
                  <o:LockedField>false</o:LockedField>
                </o:OLEObject>
              </w:object>
            </w:r>
            <w:r>
              <w:rPr>
                <w:rFonts w:eastAsia="黑体"/>
                <w:bCs/>
                <w:color w:val="auto"/>
                <w:sz w:val="24"/>
              </w:rPr>
              <w:t>框图</w:t>
            </w:r>
            <w:r>
              <w:rPr>
                <w:rFonts w:hint="eastAsia" w:eastAsia="黑体"/>
                <w:bCs/>
                <w:color w:val="auto"/>
                <w:sz w:val="24"/>
              </w:rPr>
              <w:t>1 PVC拖鞋生产</w:t>
            </w:r>
            <w:r>
              <w:rPr>
                <w:rFonts w:eastAsia="黑体"/>
                <w:bCs/>
                <w:color w:val="auto"/>
                <w:sz w:val="24"/>
              </w:rPr>
              <w:t>工艺流程及</w:t>
            </w:r>
            <w:r>
              <w:rPr>
                <w:rFonts w:hint="eastAsia" w:eastAsia="黑体"/>
                <w:bCs/>
                <w:color w:val="auto"/>
                <w:sz w:val="24"/>
              </w:rPr>
              <w:t>主要</w:t>
            </w:r>
            <w:r>
              <w:rPr>
                <w:rFonts w:eastAsia="黑体"/>
                <w:bCs/>
                <w:color w:val="auto"/>
                <w:sz w:val="24"/>
              </w:rPr>
              <w:t>产污工序框图</w:t>
            </w:r>
          </w:p>
          <w:p>
            <w:pPr>
              <w:pStyle w:val="107"/>
              <w:ind w:firstLine="560"/>
              <w:rPr>
                <w:color w:val="auto"/>
              </w:rPr>
            </w:pPr>
            <w:r>
              <w:rPr>
                <w:rFonts w:hint="eastAsia"/>
                <w:color w:val="auto"/>
              </w:rPr>
              <w:t>（2）产品二</w:t>
            </w:r>
          </w:p>
          <w:p>
            <w:pPr>
              <w:pStyle w:val="2"/>
              <w:ind w:left="0" w:leftChars="0" w:firstLine="0" w:firstLineChars="0"/>
              <w:jc w:val="center"/>
              <w:rPr>
                <w:rFonts w:eastAsia="黑体"/>
                <w:bCs/>
                <w:color w:val="auto"/>
                <w:sz w:val="24"/>
              </w:rPr>
            </w:pPr>
            <w:r>
              <w:rPr>
                <w:color w:val="auto"/>
              </w:rPr>
              <w:object>
                <v:shape id="_x0000_i1026" o:spt="75" type="#_x0000_t75" style="height:152.75pt;width:474.55pt;" o:ole="t" filled="f" o:preferrelative="t" stroked="f" coordsize="21600,21600">
                  <v:path/>
                  <v:fill on="f" focussize="0,0"/>
                  <v:stroke on="f" joinstyle="miter"/>
                  <v:imagedata r:id="rId15" o:title=""/>
                  <o:lock v:ext="edit" aspectratio="t"/>
                  <w10:wrap type="none"/>
                  <w10:anchorlock/>
                </v:shape>
                <o:OLEObject Type="Embed" ProgID="Visio.Drawing.11" ShapeID="_x0000_i1026" DrawAspect="Content" ObjectID="_1468075726" r:id="rId14">
                  <o:LockedField>false</o:LockedField>
                </o:OLEObject>
              </w:object>
            </w:r>
            <w:r>
              <w:rPr>
                <w:rFonts w:eastAsia="黑体"/>
                <w:bCs/>
                <w:color w:val="auto"/>
                <w:sz w:val="24"/>
              </w:rPr>
              <w:t>框图</w:t>
            </w:r>
            <w:r>
              <w:rPr>
                <w:rFonts w:hint="eastAsia" w:eastAsia="黑体"/>
                <w:bCs/>
                <w:color w:val="auto"/>
                <w:sz w:val="24"/>
              </w:rPr>
              <w:t>2 EVA拖鞋生产</w:t>
            </w:r>
            <w:r>
              <w:rPr>
                <w:rFonts w:eastAsia="黑体"/>
                <w:bCs/>
                <w:color w:val="auto"/>
                <w:sz w:val="24"/>
              </w:rPr>
              <w:t>工艺流程及</w:t>
            </w:r>
            <w:r>
              <w:rPr>
                <w:rFonts w:hint="eastAsia" w:eastAsia="黑体"/>
                <w:bCs/>
                <w:color w:val="auto"/>
                <w:sz w:val="24"/>
              </w:rPr>
              <w:t>主要</w:t>
            </w:r>
            <w:r>
              <w:rPr>
                <w:rFonts w:eastAsia="黑体"/>
                <w:bCs/>
                <w:color w:val="auto"/>
                <w:sz w:val="24"/>
              </w:rPr>
              <w:t>产污工序框图</w:t>
            </w:r>
          </w:p>
          <w:p>
            <w:pPr>
              <w:pStyle w:val="107"/>
              <w:ind w:firstLine="560"/>
              <w:rPr>
                <w:color w:val="auto"/>
              </w:rPr>
            </w:pPr>
            <w:r>
              <w:rPr>
                <w:rFonts w:hint="eastAsia"/>
                <w:color w:val="auto"/>
              </w:rPr>
              <w:t>（3）产品三</w:t>
            </w:r>
          </w:p>
          <w:p>
            <w:pPr>
              <w:jc w:val="left"/>
              <w:rPr>
                <w:color w:val="auto"/>
              </w:rPr>
            </w:pPr>
            <w:r>
              <w:rPr>
                <w:color w:val="auto"/>
              </w:rPr>
              <w:object>
                <v:shape id="_x0000_i1027" o:spt="75" type="#_x0000_t75" style="height:81.4pt;width:415.1pt;" o:ole="t" filled="f" o:preferrelative="t" stroked="f" coordsize="21600,21600">
                  <v:path/>
                  <v:fill on="f" focussize="0,0"/>
                  <v:stroke on="f" joinstyle="miter"/>
                  <v:imagedata r:id="rId17" o:title=""/>
                  <o:lock v:ext="edit" aspectratio="t"/>
                  <w10:wrap type="none"/>
                  <w10:anchorlock/>
                </v:shape>
                <o:OLEObject Type="Embed" ProgID="Visio.Drawing.11" ShapeID="_x0000_i1027" DrawAspect="Content" ObjectID="_1468075727" r:id="rId16">
                  <o:LockedField>false</o:LockedField>
                </o:OLEObject>
              </w:object>
            </w:r>
          </w:p>
          <w:p>
            <w:pPr>
              <w:jc w:val="center"/>
              <w:rPr>
                <w:color w:val="auto"/>
              </w:rPr>
            </w:pPr>
            <w:r>
              <w:rPr>
                <w:rFonts w:eastAsia="黑体"/>
                <w:bCs/>
                <w:color w:val="auto"/>
                <w:sz w:val="24"/>
              </w:rPr>
              <w:t>框图</w:t>
            </w:r>
            <w:r>
              <w:rPr>
                <w:rFonts w:hint="eastAsia" w:eastAsia="黑体"/>
                <w:bCs/>
                <w:color w:val="auto"/>
                <w:sz w:val="24"/>
              </w:rPr>
              <w:t>3 EVA组合拖鞋生产</w:t>
            </w:r>
            <w:r>
              <w:rPr>
                <w:rFonts w:eastAsia="黑体"/>
                <w:bCs/>
                <w:color w:val="auto"/>
                <w:sz w:val="24"/>
              </w:rPr>
              <w:t>工艺流程及</w:t>
            </w:r>
            <w:r>
              <w:rPr>
                <w:rFonts w:hint="eastAsia" w:eastAsia="黑体"/>
                <w:bCs/>
                <w:color w:val="auto"/>
                <w:sz w:val="24"/>
              </w:rPr>
              <w:t>主要</w:t>
            </w:r>
            <w:r>
              <w:rPr>
                <w:rFonts w:eastAsia="黑体"/>
                <w:bCs/>
                <w:color w:val="auto"/>
                <w:sz w:val="24"/>
              </w:rPr>
              <w:t>产污工序框图</w:t>
            </w:r>
          </w:p>
          <w:p>
            <w:pPr>
              <w:pStyle w:val="6"/>
              <w:rPr>
                <w:color w:val="auto"/>
              </w:rPr>
            </w:pPr>
            <w:r>
              <w:rPr>
                <w:rFonts w:hint="eastAsia"/>
                <w:color w:val="auto"/>
              </w:rPr>
              <w:t>生产工艺说明</w:t>
            </w:r>
          </w:p>
          <w:p>
            <w:pPr>
              <w:pStyle w:val="107"/>
              <w:ind w:firstLine="560"/>
              <w:rPr>
                <w:color w:val="auto"/>
              </w:rPr>
            </w:pPr>
            <w:r>
              <w:rPr>
                <w:rFonts w:hint="eastAsia"/>
                <w:color w:val="auto"/>
              </w:rPr>
              <w:t>产品一/二：塑料颗粒（PVC/EVA）通过人工加入密闭料斗进行搅拌，再进入PVC/EVA一次成型射出机，采用电加热将物料软化并射出成型成品。项目生产过程无需使用胶水，EVA加热温度在185</w:t>
            </w:r>
            <w:r>
              <w:rPr>
                <w:rFonts w:hint="eastAsia"/>
                <w:color w:val="auto"/>
              </w:rPr>
              <w:t>～</w:t>
            </w:r>
            <w:r>
              <w:rPr>
                <w:rFonts w:hint="eastAsia"/>
                <w:color w:val="auto"/>
              </w:rPr>
              <w:t>195℃，PVC加热温度在160～190℃，射出成型机是借助螺杆（或柱塞）的推力，将已将塑化好的熔融状态（即粘流态）的塑料注射入闭合好的模腔内定型，冷却固化定型后取出手工修边，经检验合格成品由工人手动装入包装袋及包装箱入库，成品暂时存放至产品间中等待运售；边角料收集后由厂区破碎机破碎后作为原料使用。</w:t>
            </w:r>
          </w:p>
          <w:p>
            <w:pPr>
              <w:pStyle w:val="107"/>
              <w:ind w:firstLine="560"/>
              <w:rPr>
                <w:color w:val="auto"/>
              </w:rPr>
            </w:pPr>
            <w:r>
              <w:rPr>
                <w:rFonts w:hint="eastAsia"/>
                <w:color w:val="auto"/>
              </w:rPr>
              <w:t>产品三：将EVA鞋底边上的毛刺进行手工修边后，将帮面压合组装在鞋底上，最后穿带即可，最后由工人手动装入包装袋及包装箱入库，待售。</w:t>
            </w:r>
          </w:p>
          <w:p>
            <w:pPr>
              <w:spacing w:line="520" w:lineRule="exact"/>
              <w:rPr>
                <w:b/>
                <w:color w:val="auto"/>
                <w:sz w:val="28"/>
                <w:szCs w:val="28"/>
              </w:rPr>
            </w:pPr>
            <w:r>
              <w:rPr>
                <w:rFonts w:hint="eastAsia"/>
                <w:b/>
                <w:color w:val="auto"/>
                <w:sz w:val="28"/>
                <w:szCs w:val="28"/>
              </w:rPr>
              <w:t>2项目用水平衡分析</w:t>
            </w:r>
          </w:p>
          <w:p>
            <w:pPr>
              <w:adjustRightInd w:val="0"/>
              <w:snapToGrid w:val="0"/>
              <w:spacing w:line="520" w:lineRule="exact"/>
              <w:ind w:firstLine="560" w:firstLineChars="200"/>
              <w:rPr>
                <w:color w:val="auto"/>
                <w:sz w:val="28"/>
                <w:szCs w:val="28"/>
              </w:rPr>
            </w:pPr>
            <w:r>
              <w:rPr>
                <w:rFonts w:hint="eastAsia"/>
                <w:color w:val="auto"/>
                <w:sz w:val="28"/>
                <w:szCs w:val="28"/>
              </w:rPr>
              <w:t>本项目运行期间，产生的废水主要为生产冷却循环水和职工生活污水。</w:t>
            </w:r>
          </w:p>
          <w:p>
            <w:pPr>
              <w:adjustRightInd w:val="0"/>
              <w:snapToGrid w:val="0"/>
              <w:spacing w:line="520" w:lineRule="exact"/>
              <w:ind w:firstLine="560" w:firstLineChars="200"/>
              <w:rPr>
                <w:color w:val="auto"/>
                <w:sz w:val="28"/>
              </w:rPr>
            </w:pPr>
            <w:r>
              <w:rPr>
                <w:rFonts w:hint="eastAsia"/>
                <w:color w:val="auto"/>
                <w:sz w:val="28"/>
              </w:rPr>
              <w:t>（1）冷却废水</w:t>
            </w:r>
          </w:p>
          <w:p>
            <w:pPr>
              <w:adjustRightInd w:val="0"/>
              <w:snapToGrid w:val="0"/>
              <w:spacing w:line="520" w:lineRule="exact"/>
              <w:ind w:firstLine="560" w:firstLineChars="200"/>
              <w:rPr>
                <w:color w:val="auto"/>
                <w:sz w:val="28"/>
                <w:szCs w:val="28"/>
                <w:vertAlign w:val="subscript"/>
              </w:rPr>
            </w:pPr>
            <w:r>
              <w:rPr>
                <w:rFonts w:hint="eastAsia"/>
                <w:color w:val="auto"/>
                <w:sz w:val="28"/>
              </w:rPr>
              <w:t>本项目PVC/EVA拖鞋生产过程中无废水产生，冷却塔用于PVC/EVA一次成型注射机的冷却，防止机器过热，冷却水通过冷却塔处理后循环使用，不外排，仅补充生产过程中部分用水消耗。</w:t>
            </w:r>
            <w:r>
              <w:rPr>
                <w:rFonts w:hint="eastAsia"/>
                <w:color w:val="auto"/>
                <w:sz w:val="28"/>
              </w:rPr>
              <w:t>根据业主提供数据，</w:t>
            </w:r>
            <w:r>
              <w:rPr>
                <w:rFonts w:hint="eastAsia"/>
                <w:color w:val="auto"/>
                <w:sz w:val="28"/>
                <w:szCs w:val="28"/>
              </w:rPr>
              <w:t>项目区设1座冷却塔，冷却塔循环水量为1t/d，冷却系统补充水量按循环量的3%估算，则项目冷却塔补充新鲜水为0.03t/d，</w:t>
            </w:r>
            <w:r>
              <w:rPr>
                <w:rFonts w:hint="eastAsia"/>
                <w:color w:val="auto"/>
                <w:sz w:val="28"/>
                <w:szCs w:val="28"/>
                <w:lang w:val="en-US" w:eastAsia="zh-CN"/>
              </w:rPr>
              <w:t>8.1t/a</w:t>
            </w:r>
            <w:r>
              <w:rPr>
                <w:rFonts w:hint="eastAsia"/>
                <w:color w:val="auto"/>
                <w:sz w:val="28"/>
              </w:rPr>
              <w:t>。</w:t>
            </w:r>
          </w:p>
          <w:p>
            <w:pPr>
              <w:adjustRightInd w:val="0"/>
              <w:snapToGrid w:val="0"/>
              <w:spacing w:line="520" w:lineRule="exact"/>
              <w:ind w:firstLine="560" w:firstLineChars="200"/>
              <w:rPr>
                <w:color w:val="auto"/>
                <w:sz w:val="28"/>
              </w:rPr>
            </w:pPr>
            <w:r>
              <w:rPr>
                <w:rFonts w:hint="eastAsia"/>
                <w:color w:val="auto"/>
                <w:sz w:val="28"/>
              </w:rPr>
              <w:t>（2）生活用水</w:t>
            </w:r>
          </w:p>
          <w:p>
            <w:pPr>
              <w:adjustRightInd w:val="0"/>
              <w:snapToGrid w:val="0"/>
              <w:spacing w:line="520" w:lineRule="exact"/>
              <w:ind w:firstLine="560" w:firstLineChars="200"/>
              <w:rPr>
                <w:color w:val="auto"/>
                <w:sz w:val="28"/>
              </w:rPr>
            </w:pPr>
            <w:r>
              <w:rPr>
                <w:rFonts w:hint="eastAsia"/>
                <w:color w:val="auto"/>
                <w:sz w:val="28"/>
              </w:rPr>
              <w:t>本项目运营期间厂区职工共20人，运行班制为1班制，每天在厂职工20人，根据《关于印发新疆维吾尔自治区工业和生活用水定额的通知》（新政办发</w:t>
            </w:r>
            <w:r>
              <w:rPr>
                <w:rFonts w:hint="eastAsia" w:ascii="宋体" w:hAnsi="宋体" w:cs="宋体"/>
                <w:color w:val="auto"/>
                <w:sz w:val="28"/>
              </w:rPr>
              <w:t>[</w:t>
            </w:r>
            <w:r>
              <w:rPr>
                <w:rFonts w:hint="eastAsia"/>
                <w:color w:val="auto"/>
                <w:sz w:val="28"/>
              </w:rPr>
              <w:t>2007</w:t>
            </w:r>
            <w:r>
              <w:rPr>
                <w:rFonts w:hint="eastAsia" w:ascii="宋体" w:hAnsi="宋体" w:cs="宋体"/>
                <w:color w:val="auto"/>
                <w:sz w:val="28"/>
              </w:rPr>
              <w:t>]</w:t>
            </w:r>
            <w:r>
              <w:rPr>
                <w:rFonts w:hint="eastAsia"/>
                <w:color w:val="auto"/>
                <w:sz w:val="28"/>
              </w:rPr>
              <w:t>105号）附件2规定，北疆伊阿塔区平房及简易楼房城镇居民住宅用水定额为50～60L/人·d，此处取55L/人·d，则生活用水量为1.1m</w:t>
            </w:r>
            <w:r>
              <w:rPr>
                <w:rFonts w:hint="eastAsia"/>
                <w:color w:val="auto"/>
                <w:sz w:val="28"/>
                <w:vertAlign w:val="superscript"/>
              </w:rPr>
              <w:t>3</w:t>
            </w:r>
            <w:r>
              <w:rPr>
                <w:rFonts w:hint="eastAsia"/>
                <w:color w:val="auto"/>
                <w:sz w:val="28"/>
              </w:rPr>
              <w:t>/d（297m</w:t>
            </w:r>
            <w:r>
              <w:rPr>
                <w:rFonts w:hint="eastAsia"/>
                <w:color w:val="auto"/>
                <w:sz w:val="28"/>
                <w:vertAlign w:val="superscript"/>
              </w:rPr>
              <w:t>3</w:t>
            </w:r>
            <w:r>
              <w:rPr>
                <w:rFonts w:hint="eastAsia"/>
                <w:color w:val="auto"/>
                <w:sz w:val="28"/>
              </w:rPr>
              <w:t>/a），按照排水率0.8计算，排水量为0.88m</w:t>
            </w:r>
            <w:r>
              <w:rPr>
                <w:rFonts w:hint="eastAsia"/>
                <w:color w:val="auto"/>
                <w:sz w:val="28"/>
                <w:vertAlign w:val="superscript"/>
              </w:rPr>
              <w:t>3</w:t>
            </w:r>
            <w:r>
              <w:rPr>
                <w:rFonts w:hint="eastAsia"/>
                <w:color w:val="auto"/>
                <w:sz w:val="28"/>
              </w:rPr>
              <w:t>/d，（237.6m</w:t>
            </w:r>
            <w:r>
              <w:rPr>
                <w:rFonts w:hint="eastAsia"/>
                <w:color w:val="auto"/>
                <w:sz w:val="28"/>
                <w:vertAlign w:val="superscript"/>
              </w:rPr>
              <w:t>3</w:t>
            </w:r>
            <w:r>
              <w:rPr>
                <w:rFonts w:hint="eastAsia"/>
                <w:color w:val="auto"/>
                <w:sz w:val="28"/>
              </w:rPr>
              <w:t>/a）。</w:t>
            </w:r>
          </w:p>
          <w:p>
            <w:pPr>
              <w:adjustRightInd w:val="0"/>
              <w:snapToGrid w:val="0"/>
              <w:spacing w:line="520" w:lineRule="exact"/>
              <w:ind w:firstLine="560" w:firstLineChars="200"/>
              <w:rPr>
                <w:color w:val="auto"/>
                <w:sz w:val="28"/>
              </w:rPr>
            </w:pPr>
            <w:r>
              <w:rPr>
                <w:rFonts w:hint="eastAsia"/>
                <w:color w:val="auto"/>
                <w:sz w:val="28"/>
              </w:rPr>
              <w:t>（3）食堂用水</w:t>
            </w:r>
          </w:p>
          <w:p>
            <w:pPr>
              <w:adjustRightInd w:val="0"/>
              <w:snapToGrid w:val="0"/>
              <w:spacing w:line="520" w:lineRule="exact"/>
              <w:ind w:firstLine="560" w:firstLineChars="200"/>
              <w:rPr>
                <w:color w:val="auto"/>
                <w:sz w:val="28"/>
              </w:rPr>
            </w:pPr>
            <w:r>
              <w:rPr>
                <w:rFonts w:hint="eastAsia"/>
                <w:color w:val="auto"/>
                <w:sz w:val="28"/>
              </w:rPr>
              <w:t>根据用水定额规定，职工食堂用水定额为10L/人·餐，厂区每天提供20人的中餐，则职工食堂用水量为0.2m</w:t>
            </w:r>
            <w:r>
              <w:rPr>
                <w:rFonts w:hint="eastAsia"/>
                <w:color w:val="auto"/>
                <w:sz w:val="28"/>
                <w:vertAlign w:val="superscript"/>
              </w:rPr>
              <w:t>3</w:t>
            </w:r>
            <w:r>
              <w:rPr>
                <w:rFonts w:hint="eastAsia"/>
                <w:color w:val="auto"/>
                <w:sz w:val="28"/>
              </w:rPr>
              <w:t>/d（54m</w:t>
            </w:r>
            <w:r>
              <w:rPr>
                <w:rFonts w:hint="eastAsia"/>
                <w:color w:val="auto"/>
                <w:sz w:val="28"/>
                <w:vertAlign w:val="superscript"/>
              </w:rPr>
              <w:t>3</w:t>
            </w:r>
            <w:r>
              <w:rPr>
                <w:rFonts w:hint="eastAsia"/>
                <w:color w:val="auto"/>
                <w:sz w:val="28"/>
              </w:rPr>
              <w:t>/a），按照排水率0.8计算，排水量为0.16m</w:t>
            </w:r>
            <w:r>
              <w:rPr>
                <w:rFonts w:hint="eastAsia"/>
                <w:color w:val="auto"/>
                <w:sz w:val="28"/>
                <w:vertAlign w:val="superscript"/>
              </w:rPr>
              <w:t>3</w:t>
            </w:r>
            <w:r>
              <w:rPr>
                <w:rFonts w:hint="eastAsia"/>
                <w:color w:val="auto"/>
                <w:sz w:val="28"/>
              </w:rPr>
              <w:t>/d，（4.32m</w:t>
            </w:r>
            <w:r>
              <w:rPr>
                <w:rFonts w:hint="eastAsia"/>
                <w:color w:val="auto"/>
                <w:sz w:val="28"/>
                <w:vertAlign w:val="superscript"/>
              </w:rPr>
              <w:t>3</w:t>
            </w:r>
            <w:r>
              <w:rPr>
                <w:rFonts w:hint="eastAsia"/>
                <w:color w:val="auto"/>
                <w:sz w:val="28"/>
              </w:rPr>
              <w:t>/a）。</w:t>
            </w:r>
          </w:p>
          <w:p>
            <w:pPr>
              <w:adjustRightInd w:val="0"/>
              <w:snapToGrid w:val="0"/>
              <w:jc w:val="center"/>
              <w:rPr>
                <w:rFonts w:eastAsia="黑体"/>
                <w:b/>
                <w:color w:val="auto"/>
                <w:sz w:val="28"/>
                <w:szCs w:val="28"/>
              </w:rPr>
            </w:pPr>
            <w:r>
              <w:rPr>
                <w:color w:val="auto"/>
                <w:sz w:val="28"/>
                <w:szCs w:val="28"/>
              </w:rPr>
              <w:object>
                <v:shape id="_x0000_i1028" o:spt="75" type="#_x0000_t75" style="height:342.45pt;width:469.55pt;" o:ole="t" filled="f" o:preferrelative="t" stroked="f" coordsize="21600,21600">
                  <v:path/>
                  <v:fill on="f" focussize="0,0"/>
                  <v:stroke on="f"/>
                  <v:imagedata r:id="rId19" o:title=""/>
                  <o:lock v:ext="edit" aspectratio="t"/>
                  <w10:wrap type="none"/>
                  <w10:anchorlock/>
                </v:shape>
                <o:OLEObject Type="Embed" ProgID="Visio.Drawing.11" ShapeID="_x0000_i1028" DrawAspect="Content" ObjectID="_1468075728" r:id="rId18">
                  <o:LockedField>false</o:LockedField>
                </o:OLEObject>
              </w:object>
            </w:r>
            <w:r>
              <w:rPr>
                <w:rFonts w:eastAsia="黑体"/>
                <w:bCs/>
                <w:color w:val="auto"/>
                <w:sz w:val="24"/>
              </w:rPr>
              <w:t>框图</w:t>
            </w:r>
            <w:r>
              <w:rPr>
                <w:rFonts w:hint="eastAsia" w:eastAsia="黑体"/>
                <w:bCs/>
                <w:color w:val="auto"/>
                <w:sz w:val="24"/>
              </w:rPr>
              <w:t>4 运营期水平衡框图（m</w:t>
            </w:r>
            <w:r>
              <w:rPr>
                <w:rFonts w:hint="eastAsia" w:eastAsia="黑体"/>
                <w:bCs/>
                <w:color w:val="auto"/>
                <w:sz w:val="24"/>
                <w:vertAlign w:val="superscript"/>
              </w:rPr>
              <w:t>3</w:t>
            </w:r>
            <w:r>
              <w:rPr>
                <w:rFonts w:hint="eastAsia" w:eastAsia="黑体"/>
                <w:bCs/>
                <w:color w:val="auto"/>
                <w:sz w:val="24"/>
              </w:rPr>
              <w:t>/d）</w:t>
            </w:r>
          </w:p>
          <w:p>
            <w:pPr>
              <w:spacing w:line="520" w:lineRule="exact"/>
              <w:rPr>
                <w:b/>
                <w:color w:val="auto"/>
                <w:sz w:val="28"/>
                <w:szCs w:val="28"/>
              </w:rPr>
            </w:pPr>
            <w:r>
              <w:rPr>
                <w:rFonts w:hint="eastAsia"/>
                <w:b/>
                <w:color w:val="auto"/>
                <w:sz w:val="28"/>
                <w:szCs w:val="28"/>
              </w:rPr>
              <w:t>3项目物料平衡分析</w:t>
            </w:r>
          </w:p>
          <w:p>
            <w:pPr>
              <w:spacing w:line="520" w:lineRule="exact"/>
              <w:ind w:firstLine="560" w:firstLineChars="200"/>
              <w:rPr>
                <w:color w:val="auto"/>
                <w:sz w:val="28"/>
                <w:szCs w:val="28"/>
              </w:rPr>
            </w:pPr>
            <w:r>
              <w:rPr>
                <w:rFonts w:hint="eastAsia"/>
                <w:color w:val="auto"/>
                <w:sz w:val="28"/>
                <w:szCs w:val="28"/>
              </w:rPr>
              <w:t>本项目年产PVC拖鞋50万双，EVA一次成型拖鞋25万双，EVA组装拖鞋25万双。本项目物料平衡表见表11。</w:t>
            </w:r>
          </w:p>
          <w:p>
            <w:pPr>
              <w:ind w:firstLine="480" w:firstLineChars="200"/>
              <w:rPr>
                <w:rFonts w:eastAsia="黑体"/>
                <w:color w:val="auto"/>
                <w:sz w:val="24"/>
              </w:rPr>
            </w:pPr>
            <w:r>
              <w:rPr>
                <w:rFonts w:hint="eastAsia" w:eastAsia="黑体"/>
                <w:color w:val="auto"/>
                <w:sz w:val="24"/>
              </w:rPr>
              <w:t>表11                          物料平衡表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537"/>
              <w:gridCol w:w="1615"/>
              <w:gridCol w:w="2073"/>
              <w:gridCol w:w="1775"/>
              <w:gridCol w:w="207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7" w:type="pct"/>
                  <w:vMerge w:val="restart"/>
                  <w:shd w:val="clear" w:color="auto" w:fill="auto"/>
                  <w:noWrap/>
                  <w:vAlign w:val="center"/>
                </w:tcPr>
                <w:p>
                  <w:pPr>
                    <w:widowControl/>
                    <w:jc w:val="center"/>
                    <w:rPr>
                      <w:rFonts w:cs="宋体"/>
                      <w:color w:val="auto"/>
                      <w:kern w:val="0"/>
                      <w:szCs w:val="21"/>
                    </w:rPr>
                  </w:pPr>
                  <w:r>
                    <w:rPr>
                      <w:rFonts w:hint="eastAsia" w:cs="宋体"/>
                      <w:color w:val="auto"/>
                      <w:kern w:val="0"/>
                      <w:szCs w:val="21"/>
                    </w:rPr>
                    <w:t>生产产品</w:t>
                  </w:r>
                </w:p>
              </w:tc>
              <w:tc>
                <w:tcPr>
                  <w:tcW w:w="2032" w:type="pct"/>
                  <w:gridSpan w:val="2"/>
                  <w:shd w:val="clear" w:color="auto" w:fill="auto"/>
                  <w:vAlign w:val="center"/>
                </w:tcPr>
                <w:p>
                  <w:pPr>
                    <w:widowControl/>
                    <w:jc w:val="center"/>
                    <w:rPr>
                      <w:rFonts w:cs="宋体"/>
                      <w:color w:val="auto"/>
                      <w:kern w:val="0"/>
                      <w:szCs w:val="21"/>
                    </w:rPr>
                  </w:pPr>
                  <w:r>
                    <w:rPr>
                      <w:rFonts w:hint="eastAsia" w:cs="宋体"/>
                      <w:color w:val="auto"/>
                      <w:kern w:val="0"/>
                      <w:szCs w:val="21"/>
                    </w:rPr>
                    <w:t>投</w:t>
                  </w:r>
                  <w:r>
                    <w:rPr>
                      <w:color w:val="auto"/>
                      <w:kern w:val="0"/>
                      <w:szCs w:val="21"/>
                    </w:rPr>
                    <w:t xml:space="preserve">  </w:t>
                  </w:r>
                  <w:r>
                    <w:rPr>
                      <w:rFonts w:hint="eastAsia" w:cs="宋体"/>
                      <w:color w:val="auto"/>
                      <w:kern w:val="0"/>
                      <w:szCs w:val="21"/>
                    </w:rPr>
                    <w:t>入</w:t>
                  </w:r>
                </w:p>
              </w:tc>
              <w:tc>
                <w:tcPr>
                  <w:tcW w:w="2119" w:type="pct"/>
                  <w:gridSpan w:val="2"/>
                  <w:shd w:val="clear" w:color="auto" w:fill="auto"/>
                  <w:vAlign w:val="center"/>
                </w:tcPr>
                <w:p>
                  <w:pPr>
                    <w:widowControl/>
                    <w:jc w:val="center"/>
                    <w:rPr>
                      <w:rFonts w:cs="宋体"/>
                      <w:color w:val="auto"/>
                      <w:kern w:val="0"/>
                      <w:szCs w:val="21"/>
                    </w:rPr>
                  </w:pPr>
                  <w:r>
                    <w:rPr>
                      <w:rFonts w:hint="eastAsia" w:cs="宋体"/>
                      <w:color w:val="auto"/>
                      <w:kern w:val="0"/>
                      <w:szCs w:val="21"/>
                    </w:rPr>
                    <w:t>产</w:t>
                  </w:r>
                  <w:r>
                    <w:rPr>
                      <w:color w:val="auto"/>
                      <w:kern w:val="0"/>
                      <w:szCs w:val="21"/>
                    </w:rPr>
                    <w:t xml:space="preserve">  </w:t>
                  </w:r>
                  <w:r>
                    <w:rPr>
                      <w:rFonts w:hint="eastAsia" w:cs="宋体"/>
                      <w:color w:val="auto"/>
                      <w:kern w:val="0"/>
                      <w:szCs w:val="21"/>
                    </w:rPr>
                    <w:t>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7" w:type="pct"/>
                  <w:vMerge w:val="continue"/>
                  <w:vAlign w:val="center"/>
                </w:tcPr>
                <w:p>
                  <w:pPr>
                    <w:widowControl/>
                    <w:jc w:val="center"/>
                    <w:rPr>
                      <w:rFonts w:cs="宋体"/>
                      <w:color w:val="auto"/>
                      <w:kern w:val="0"/>
                      <w:szCs w:val="21"/>
                    </w:rPr>
                  </w:pPr>
                </w:p>
              </w:tc>
              <w:tc>
                <w:tcPr>
                  <w:tcW w:w="890" w:type="pct"/>
                  <w:shd w:val="clear" w:color="auto" w:fill="auto"/>
                  <w:vAlign w:val="center"/>
                </w:tcPr>
                <w:p>
                  <w:pPr>
                    <w:widowControl/>
                    <w:jc w:val="center"/>
                    <w:rPr>
                      <w:rFonts w:cs="宋体"/>
                      <w:color w:val="auto"/>
                      <w:kern w:val="0"/>
                      <w:szCs w:val="21"/>
                    </w:rPr>
                  </w:pPr>
                  <w:r>
                    <w:rPr>
                      <w:rFonts w:hint="eastAsia" w:cs="宋体"/>
                      <w:color w:val="auto"/>
                      <w:kern w:val="0"/>
                      <w:szCs w:val="21"/>
                    </w:rPr>
                    <w:t>名</w:t>
                  </w:r>
                  <w:r>
                    <w:rPr>
                      <w:color w:val="auto"/>
                      <w:kern w:val="0"/>
                      <w:szCs w:val="21"/>
                    </w:rPr>
                    <w:t xml:space="preserve">  </w:t>
                  </w:r>
                  <w:r>
                    <w:rPr>
                      <w:rFonts w:hint="eastAsia" w:cs="宋体"/>
                      <w:color w:val="auto"/>
                      <w:kern w:val="0"/>
                      <w:szCs w:val="21"/>
                    </w:rPr>
                    <w:t>称</w:t>
                  </w:r>
                </w:p>
              </w:tc>
              <w:tc>
                <w:tcPr>
                  <w:tcW w:w="1142" w:type="pct"/>
                  <w:shd w:val="clear" w:color="auto" w:fill="auto"/>
                  <w:vAlign w:val="center"/>
                </w:tcPr>
                <w:p>
                  <w:pPr>
                    <w:widowControl/>
                    <w:jc w:val="center"/>
                    <w:rPr>
                      <w:rFonts w:cs="宋体"/>
                      <w:color w:val="auto"/>
                      <w:kern w:val="0"/>
                      <w:szCs w:val="21"/>
                    </w:rPr>
                  </w:pPr>
                  <w:r>
                    <w:rPr>
                      <w:rFonts w:hint="eastAsia" w:cs="宋体"/>
                      <w:color w:val="auto"/>
                      <w:kern w:val="0"/>
                      <w:szCs w:val="21"/>
                    </w:rPr>
                    <w:t>年用量（</w:t>
                  </w:r>
                  <w:r>
                    <w:rPr>
                      <w:color w:val="auto"/>
                      <w:kern w:val="0"/>
                      <w:szCs w:val="21"/>
                    </w:rPr>
                    <w:t>t/a</w:t>
                  </w:r>
                  <w:r>
                    <w:rPr>
                      <w:rFonts w:hint="eastAsia" w:cs="宋体"/>
                      <w:color w:val="auto"/>
                      <w:kern w:val="0"/>
                      <w:szCs w:val="21"/>
                    </w:rPr>
                    <w:t>）</w:t>
                  </w:r>
                </w:p>
              </w:tc>
              <w:tc>
                <w:tcPr>
                  <w:tcW w:w="978" w:type="pct"/>
                  <w:shd w:val="clear" w:color="auto" w:fill="auto"/>
                  <w:vAlign w:val="center"/>
                </w:tcPr>
                <w:p>
                  <w:pPr>
                    <w:widowControl/>
                    <w:jc w:val="center"/>
                    <w:rPr>
                      <w:rFonts w:cs="宋体"/>
                      <w:color w:val="auto"/>
                      <w:kern w:val="0"/>
                      <w:szCs w:val="21"/>
                    </w:rPr>
                  </w:pPr>
                  <w:r>
                    <w:rPr>
                      <w:rFonts w:hint="eastAsia" w:cs="宋体"/>
                      <w:color w:val="auto"/>
                      <w:kern w:val="0"/>
                      <w:szCs w:val="21"/>
                    </w:rPr>
                    <w:t>名</w:t>
                  </w:r>
                  <w:r>
                    <w:rPr>
                      <w:color w:val="auto"/>
                      <w:kern w:val="0"/>
                      <w:szCs w:val="21"/>
                    </w:rPr>
                    <w:t xml:space="preserve">  </w:t>
                  </w:r>
                  <w:r>
                    <w:rPr>
                      <w:rFonts w:hint="eastAsia" w:cs="宋体"/>
                      <w:color w:val="auto"/>
                      <w:kern w:val="0"/>
                      <w:szCs w:val="21"/>
                    </w:rPr>
                    <w:t>称</w:t>
                  </w:r>
                </w:p>
              </w:tc>
              <w:tc>
                <w:tcPr>
                  <w:tcW w:w="1141" w:type="pct"/>
                  <w:shd w:val="clear" w:color="auto" w:fill="auto"/>
                  <w:vAlign w:val="center"/>
                </w:tcPr>
                <w:p>
                  <w:pPr>
                    <w:widowControl/>
                    <w:jc w:val="center"/>
                    <w:rPr>
                      <w:rFonts w:cs="宋体"/>
                      <w:color w:val="auto"/>
                      <w:kern w:val="0"/>
                      <w:szCs w:val="21"/>
                    </w:rPr>
                  </w:pPr>
                  <w:r>
                    <w:rPr>
                      <w:rFonts w:hint="eastAsia" w:cs="宋体"/>
                      <w:color w:val="auto"/>
                      <w:kern w:val="0"/>
                      <w:szCs w:val="21"/>
                    </w:rPr>
                    <w:t>产出量（</w:t>
                  </w:r>
                  <w:r>
                    <w:rPr>
                      <w:color w:val="auto"/>
                      <w:kern w:val="0"/>
                      <w:szCs w:val="21"/>
                    </w:rPr>
                    <w:t>t/a</w:t>
                  </w:r>
                  <w:r>
                    <w:rPr>
                      <w:rFonts w:hint="eastAsia" w:cs="宋体"/>
                      <w:color w:val="auto"/>
                      <w:kern w:val="0"/>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82" w:hRule="atLeast"/>
              </w:trPr>
              <w:tc>
                <w:tcPr>
                  <w:tcW w:w="847" w:type="pct"/>
                  <w:vMerge w:val="restart"/>
                  <w:shd w:val="clear" w:color="auto" w:fill="auto"/>
                  <w:noWrap/>
                  <w:vAlign w:val="center"/>
                </w:tcPr>
                <w:p>
                  <w:pPr>
                    <w:widowControl/>
                    <w:jc w:val="center"/>
                    <w:rPr>
                      <w:rFonts w:cs="宋体"/>
                      <w:color w:val="auto"/>
                      <w:kern w:val="0"/>
                      <w:szCs w:val="21"/>
                    </w:rPr>
                  </w:pPr>
                  <w:r>
                    <w:rPr>
                      <w:rFonts w:hint="eastAsia" w:cs="宋体"/>
                      <w:color w:val="auto"/>
                      <w:kern w:val="0"/>
                      <w:szCs w:val="21"/>
                    </w:rPr>
                    <w:t>PVC拖鞋</w:t>
                  </w:r>
                </w:p>
              </w:tc>
              <w:tc>
                <w:tcPr>
                  <w:tcW w:w="890" w:type="pct"/>
                  <w:vMerge w:val="restart"/>
                  <w:shd w:val="clear" w:color="auto" w:fill="auto"/>
                  <w:noWrap/>
                  <w:vAlign w:val="center"/>
                </w:tcPr>
                <w:p>
                  <w:pPr>
                    <w:widowControl/>
                    <w:jc w:val="center"/>
                    <w:rPr>
                      <w:rFonts w:cs="宋体"/>
                      <w:color w:val="auto"/>
                      <w:kern w:val="0"/>
                      <w:szCs w:val="21"/>
                    </w:rPr>
                  </w:pPr>
                  <w:r>
                    <w:rPr>
                      <w:rFonts w:hint="eastAsia" w:cs="宋体"/>
                      <w:color w:val="auto"/>
                      <w:kern w:val="0"/>
                      <w:szCs w:val="21"/>
                    </w:rPr>
                    <w:t>PVC塑料颗粒</w:t>
                  </w:r>
                </w:p>
              </w:tc>
              <w:tc>
                <w:tcPr>
                  <w:tcW w:w="1142" w:type="pct"/>
                  <w:vMerge w:val="restart"/>
                  <w:shd w:val="clear" w:color="auto" w:fill="auto"/>
                  <w:vAlign w:val="center"/>
                </w:tcPr>
                <w:p>
                  <w:pPr>
                    <w:jc w:val="center"/>
                    <w:rPr>
                      <w:color w:val="auto"/>
                      <w:szCs w:val="21"/>
                    </w:rPr>
                  </w:pPr>
                  <w:r>
                    <w:rPr>
                      <w:rFonts w:hint="eastAsia"/>
                      <w:color w:val="auto"/>
                      <w:szCs w:val="21"/>
                    </w:rPr>
                    <w:t>50</w:t>
                  </w:r>
                </w:p>
              </w:tc>
              <w:tc>
                <w:tcPr>
                  <w:tcW w:w="978" w:type="pct"/>
                  <w:shd w:val="clear" w:color="auto" w:fill="auto"/>
                  <w:noWrap/>
                  <w:vAlign w:val="center"/>
                </w:tcPr>
                <w:p>
                  <w:pPr>
                    <w:widowControl/>
                    <w:jc w:val="center"/>
                    <w:rPr>
                      <w:rFonts w:cs="宋体"/>
                      <w:color w:val="auto"/>
                      <w:kern w:val="0"/>
                      <w:szCs w:val="21"/>
                    </w:rPr>
                  </w:pPr>
                  <w:r>
                    <w:rPr>
                      <w:rFonts w:hint="eastAsia" w:cs="宋体"/>
                      <w:color w:val="auto"/>
                      <w:kern w:val="0"/>
                      <w:szCs w:val="21"/>
                    </w:rPr>
                    <w:t>非甲烷总烃</w:t>
                  </w:r>
                </w:p>
              </w:tc>
              <w:tc>
                <w:tcPr>
                  <w:tcW w:w="1141" w:type="pct"/>
                  <w:shd w:val="clear" w:color="auto" w:fill="auto"/>
                  <w:vAlign w:val="center"/>
                </w:tcPr>
                <w:p>
                  <w:pPr>
                    <w:jc w:val="center"/>
                    <w:rPr>
                      <w:rFonts w:cs="宋体"/>
                      <w:color w:val="auto"/>
                      <w:szCs w:val="21"/>
                    </w:rPr>
                  </w:pPr>
                  <w:r>
                    <w:rPr>
                      <w:rFonts w:hint="eastAsia" w:cs="宋体"/>
                      <w:color w:val="auto"/>
                      <w:szCs w:val="21"/>
                    </w:rPr>
                    <w:t>3.1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17" w:hRule="atLeast"/>
              </w:trPr>
              <w:tc>
                <w:tcPr>
                  <w:tcW w:w="847" w:type="pct"/>
                  <w:vMerge w:val="continue"/>
                  <w:vAlign w:val="center"/>
                </w:tcPr>
                <w:p>
                  <w:pPr>
                    <w:widowControl/>
                    <w:jc w:val="center"/>
                    <w:rPr>
                      <w:rFonts w:cs="宋体"/>
                      <w:color w:val="auto"/>
                      <w:kern w:val="0"/>
                      <w:szCs w:val="21"/>
                    </w:rPr>
                  </w:pPr>
                </w:p>
              </w:tc>
              <w:tc>
                <w:tcPr>
                  <w:tcW w:w="890" w:type="pct"/>
                  <w:vMerge w:val="continue"/>
                  <w:shd w:val="clear" w:color="auto" w:fill="auto"/>
                  <w:noWrap/>
                  <w:vAlign w:val="center"/>
                </w:tcPr>
                <w:p>
                  <w:pPr>
                    <w:widowControl/>
                    <w:jc w:val="center"/>
                    <w:rPr>
                      <w:rFonts w:cs="宋体"/>
                      <w:color w:val="auto"/>
                      <w:kern w:val="0"/>
                      <w:szCs w:val="21"/>
                    </w:rPr>
                  </w:pPr>
                </w:p>
              </w:tc>
              <w:tc>
                <w:tcPr>
                  <w:tcW w:w="1142" w:type="pct"/>
                  <w:vMerge w:val="continue"/>
                  <w:shd w:val="clear" w:color="auto" w:fill="auto"/>
                  <w:vAlign w:val="center"/>
                </w:tcPr>
                <w:p>
                  <w:pPr>
                    <w:jc w:val="center"/>
                    <w:rPr>
                      <w:color w:val="auto"/>
                      <w:szCs w:val="21"/>
                    </w:rPr>
                  </w:pPr>
                </w:p>
              </w:tc>
              <w:tc>
                <w:tcPr>
                  <w:tcW w:w="978" w:type="pct"/>
                  <w:shd w:val="clear" w:color="auto" w:fill="auto"/>
                  <w:vAlign w:val="center"/>
                </w:tcPr>
                <w:p>
                  <w:pPr>
                    <w:widowControl/>
                    <w:jc w:val="center"/>
                    <w:rPr>
                      <w:rFonts w:cs="宋体"/>
                      <w:color w:val="auto"/>
                      <w:kern w:val="0"/>
                      <w:szCs w:val="21"/>
                    </w:rPr>
                  </w:pPr>
                  <w:r>
                    <w:rPr>
                      <w:rFonts w:hint="eastAsia" w:cs="宋体"/>
                      <w:color w:val="auto"/>
                      <w:kern w:val="0"/>
                      <w:szCs w:val="21"/>
                    </w:rPr>
                    <w:t>PVC拖鞋</w:t>
                  </w:r>
                </w:p>
              </w:tc>
              <w:tc>
                <w:tcPr>
                  <w:tcW w:w="1141" w:type="pct"/>
                  <w:shd w:val="clear" w:color="auto" w:fill="auto"/>
                  <w:vAlign w:val="center"/>
                </w:tcPr>
                <w:p>
                  <w:pPr>
                    <w:jc w:val="center"/>
                    <w:rPr>
                      <w:rFonts w:cs="宋体"/>
                      <w:color w:val="auto"/>
                      <w:szCs w:val="21"/>
                    </w:rPr>
                  </w:pPr>
                  <w:r>
                    <w:rPr>
                      <w:rFonts w:hint="eastAsia" w:cs="宋体"/>
                      <w:color w:val="auto"/>
                      <w:szCs w:val="21"/>
                    </w:rPr>
                    <w:t>45.9</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17" w:hRule="atLeast"/>
              </w:trPr>
              <w:tc>
                <w:tcPr>
                  <w:tcW w:w="847" w:type="pct"/>
                  <w:vMerge w:val="continue"/>
                  <w:tcBorders>
                    <w:bottom w:val="single" w:color="auto" w:sz="4" w:space="0"/>
                  </w:tcBorders>
                  <w:vAlign w:val="center"/>
                </w:tcPr>
                <w:p>
                  <w:pPr>
                    <w:widowControl/>
                    <w:jc w:val="center"/>
                    <w:rPr>
                      <w:rFonts w:cs="宋体"/>
                      <w:color w:val="auto"/>
                      <w:kern w:val="0"/>
                      <w:szCs w:val="21"/>
                    </w:rPr>
                  </w:pPr>
                </w:p>
              </w:tc>
              <w:tc>
                <w:tcPr>
                  <w:tcW w:w="890" w:type="pct"/>
                  <w:vMerge w:val="continue"/>
                  <w:shd w:val="clear" w:color="auto" w:fill="auto"/>
                  <w:noWrap/>
                  <w:vAlign w:val="center"/>
                </w:tcPr>
                <w:p>
                  <w:pPr>
                    <w:widowControl/>
                    <w:jc w:val="center"/>
                    <w:rPr>
                      <w:rFonts w:cs="宋体"/>
                      <w:color w:val="auto"/>
                      <w:kern w:val="0"/>
                      <w:szCs w:val="21"/>
                    </w:rPr>
                  </w:pPr>
                </w:p>
              </w:tc>
              <w:tc>
                <w:tcPr>
                  <w:tcW w:w="1142" w:type="pct"/>
                  <w:vMerge w:val="continue"/>
                  <w:shd w:val="clear" w:color="auto" w:fill="auto"/>
                  <w:vAlign w:val="center"/>
                </w:tcPr>
                <w:p>
                  <w:pPr>
                    <w:jc w:val="center"/>
                    <w:rPr>
                      <w:color w:val="auto"/>
                      <w:szCs w:val="21"/>
                    </w:rPr>
                  </w:pPr>
                </w:p>
              </w:tc>
              <w:tc>
                <w:tcPr>
                  <w:tcW w:w="978" w:type="pct"/>
                  <w:shd w:val="clear" w:color="auto" w:fill="auto"/>
                  <w:vAlign w:val="center"/>
                </w:tcPr>
                <w:p>
                  <w:pPr>
                    <w:widowControl/>
                    <w:jc w:val="center"/>
                    <w:rPr>
                      <w:rFonts w:cs="宋体"/>
                      <w:color w:val="auto"/>
                      <w:kern w:val="0"/>
                      <w:szCs w:val="21"/>
                    </w:rPr>
                  </w:pPr>
                  <w:r>
                    <w:rPr>
                      <w:rFonts w:hint="eastAsia" w:cs="宋体"/>
                      <w:color w:val="auto"/>
                      <w:kern w:val="0"/>
                      <w:szCs w:val="21"/>
                    </w:rPr>
                    <w:t>边角料、残次品</w:t>
                  </w:r>
                </w:p>
              </w:tc>
              <w:tc>
                <w:tcPr>
                  <w:tcW w:w="1141" w:type="pct"/>
                  <w:shd w:val="clear" w:color="auto" w:fill="auto"/>
                  <w:vAlign w:val="center"/>
                </w:tcPr>
                <w:p>
                  <w:pPr>
                    <w:jc w:val="center"/>
                    <w:rPr>
                      <w:rFonts w:cs="宋体"/>
                      <w:color w:val="auto"/>
                      <w:szCs w:val="21"/>
                    </w:rPr>
                  </w:pPr>
                  <w:r>
                    <w:rPr>
                      <w:rFonts w:hint="eastAsia" w:cs="宋体"/>
                      <w:color w:val="auto"/>
                      <w:szCs w:val="21"/>
                    </w:rPr>
                    <w:t>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737" w:type="pct"/>
                  <w:gridSpan w:val="2"/>
                  <w:tcBorders>
                    <w:bottom w:val="single" w:color="auto" w:sz="4" w:space="0"/>
                  </w:tcBorders>
                  <w:vAlign w:val="center"/>
                </w:tcPr>
                <w:p>
                  <w:pPr>
                    <w:widowControl/>
                    <w:jc w:val="center"/>
                    <w:rPr>
                      <w:rFonts w:cs="宋体"/>
                      <w:b/>
                      <w:color w:val="auto"/>
                      <w:kern w:val="0"/>
                      <w:szCs w:val="21"/>
                    </w:rPr>
                  </w:pPr>
                  <w:r>
                    <w:rPr>
                      <w:rFonts w:hint="eastAsia" w:cs="宋体"/>
                      <w:b/>
                      <w:color w:val="auto"/>
                      <w:kern w:val="0"/>
                      <w:szCs w:val="21"/>
                    </w:rPr>
                    <w:t>小计</w:t>
                  </w:r>
                </w:p>
              </w:tc>
              <w:tc>
                <w:tcPr>
                  <w:tcW w:w="1142" w:type="pct"/>
                  <w:shd w:val="clear" w:color="auto" w:fill="auto"/>
                  <w:vAlign w:val="center"/>
                </w:tcPr>
                <w:p>
                  <w:pPr>
                    <w:jc w:val="center"/>
                    <w:rPr>
                      <w:b/>
                      <w:color w:val="auto"/>
                      <w:szCs w:val="21"/>
                    </w:rPr>
                  </w:pPr>
                  <w:r>
                    <w:rPr>
                      <w:rFonts w:hint="eastAsia"/>
                      <w:b/>
                      <w:color w:val="auto"/>
                      <w:szCs w:val="21"/>
                    </w:rPr>
                    <w:t>50</w:t>
                  </w:r>
                </w:p>
              </w:tc>
              <w:tc>
                <w:tcPr>
                  <w:tcW w:w="978" w:type="pct"/>
                  <w:shd w:val="clear" w:color="auto" w:fill="auto"/>
                  <w:vAlign w:val="center"/>
                </w:tcPr>
                <w:p>
                  <w:pPr>
                    <w:widowControl/>
                    <w:jc w:val="center"/>
                    <w:rPr>
                      <w:rFonts w:cs="宋体"/>
                      <w:b/>
                      <w:color w:val="auto"/>
                      <w:kern w:val="0"/>
                      <w:szCs w:val="21"/>
                    </w:rPr>
                  </w:pPr>
                  <w:r>
                    <w:rPr>
                      <w:rFonts w:hint="eastAsia" w:cs="宋体"/>
                      <w:b/>
                      <w:color w:val="auto"/>
                      <w:kern w:val="0"/>
                      <w:szCs w:val="21"/>
                    </w:rPr>
                    <w:t>/</w:t>
                  </w:r>
                </w:p>
              </w:tc>
              <w:tc>
                <w:tcPr>
                  <w:tcW w:w="1141" w:type="pct"/>
                  <w:shd w:val="clear" w:color="auto" w:fill="auto"/>
                  <w:vAlign w:val="center"/>
                </w:tcPr>
                <w:p>
                  <w:pPr>
                    <w:jc w:val="center"/>
                    <w:rPr>
                      <w:rFonts w:cs="宋体"/>
                      <w:b/>
                      <w:color w:val="auto"/>
                      <w:szCs w:val="21"/>
                    </w:rPr>
                  </w:pPr>
                  <w:r>
                    <w:rPr>
                      <w:rFonts w:hint="eastAsia" w:cs="宋体"/>
                      <w:b/>
                      <w:color w:val="auto"/>
                      <w:szCs w:val="21"/>
                    </w:rPr>
                    <w:t>50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87" w:hRule="atLeast"/>
              </w:trPr>
              <w:tc>
                <w:tcPr>
                  <w:tcW w:w="847" w:type="pct"/>
                  <w:vMerge w:val="restart"/>
                  <w:tcBorders>
                    <w:top w:val="single" w:color="auto" w:sz="4" w:space="0"/>
                  </w:tcBorders>
                  <w:vAlign w:val="center"/>
                </w:tcPr>
                <w:p>
                  <w:pPr>
                    <w:jc w:val="center"/>
                    <w:rPr>
                      <w:rFonts w:cs="宋体"/>
                      <w:color w:val="auto"/>
                      <w:kern w:val="0"/>
                      <w:szCs w:val="21"/>
                    </w:rPr>
                  </w:pPr>
                  <w:r>
                    <w:rPr>
                      <w:rFonts w:hint="eastAsia" w:cs="宋体"/>
                      <w:color w:val="auto"/>
                      <w:kern w:val="0"/>
                      <w:szCs w:val="21"/>
                    </w:rPr>
                    <w:t>EVA一次成型拖鞋/组装拖鞋</w:t>
                  </w:r>
                </w:p>
              </w:tc>
              <w:tc>
                <w:tcPr>
                  <w:tcW w:w="890" w:type="pct"/>
                  <w:vMerge w:val="restart"/>
                  <w:shd w:val="clear" w:color="auto" w:fill="auto"/>
                  <w:noWrap/>
                  <w:vAlign w:val="center"/>
                </w:tcPr>
                <w:p>
                  <w:pPr>
                    <w:widowControl/>
                    <w:jc w:val="center"/>
                    <w:rPr>
                      <w:rFonts w:cs="宋体"/>
                      <w:color w:val="auto"/>
                      <w:kern w:val="0"/>
                      <w:szCs w:val="21"/>
                    </w:rPr>
                  </w:pPr>
                  <w:r>
                    <w:rPr>
                      <w:rFonts w:hint="eastAsia" w:cs="宋体"/>
                      <w:color w:val="auto"/>
                      <w:kern w:val="0"/>
                      <w:szCs w:val="21"/>
                    </w:rPr>
                    <w:t>EVA塑料颗粒</w:t>
                  </w:r>
                </w:p>
              </w:tc>
              <w:tc>
                <w:tcPr>
                  <w:tcW w:w="1142" w:type="pct"/>
                  <w:vMerge w:val="restart"/>
                  <w:shd w:val="clear" w:color="auto" w:fill="auto"/>
                  <w:vAlign w:val="center"/>
                </w:tcPr>
                <w:p>
                  <w:pPr>
                    <w:jc w:val="center"/>
                    <w:rPr>
                      <w:color w:val="auto"/>
                      <w:szCs w:val="21"/>
                    </w:rPr>
                  </w:pPr>
                  <w:r>
                    <w:rPr>
                      <w:rFonts w:hint="eastAsia"/>
                      <w:color w:val="auto"/>
                      <w:szCs w:val="21"/>
                    </w:rPr>
                    <w:t>50</w:t>
                  </w:r>
                </w:p>
              </w:tc>
              <w:tc>
                <w:tcPr>
                  <w:tcW w:w="978" w:type="pct"/>
                  <w:shd w:val="clear" w:color="auto" w:fill="auto"/>
                  <w:vAlign w:val="center"/>
                </w:tcPr>
                <w:p>
                  <w:pPr>
                    <w:widowControl/>
                    <w:jc w:val="center"/>
                    <w:rPr>
                      <w:color w:val="auto"/>
                      <w:kern w:val="0"/>
                      <w:szCs w:val="21"/>
                    </w:rPr>
                  </w:pPr>
                  <w:r>
                    <w:rPr>
                      <w:rFonts w:hint="eastAsia" w:cs="宋体"/>
                      <w:color w:val="auto"/>
                      <w:kern w:val="0"/>
                      <w:szCs w:val="21"/>
                    </w:rPr>
                    <w:t>非甲烷总烃</w:t>
                  </w:r>
                </w:p>
              </w:tc>
              <w:tc>
                <w:tcPr>
                  <w:tcW w:w="1141" w:type="pct"/>
                  <w:shd w:val="clear" w:color="auto" w:fill="auto"/>
                  <w:vAlign w:val="center"/>
                </w:tcPr>
                <w:p>
                  <w:pPr>
                    <w:jc w:val="center"/>
                    <w:rPr>
                      <w:color w:val="auto"/>
                      <w:kern w:val="0"/>
                      <w:szCs w:val="21"/>
                    </w:rPr>
                  </w:pPr>
                  <w:r>
                    <w:rPr>
                      <w:rFonts w:hint="eastAsia" w:cs="宋体"/>
                      <w:color w:val="auto"/>
                      <w:szCs w:val="21"/>
                    </w:rPr>
                    <w:t>3.1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847" w:type="pct"/>
                  <w:vMerge w:val="continue"/>
                  <w:vAlign w:val="center"/>
                </w:tcPr>
                <w:p>
                  <w:pPr>
                    <w:jc w:val="center"/>
                    <w:rPr>
                      <w:rFonts w:cs="宋体"/>
                      <w:color w:val="auto"/>
                      <w:kern w:val="0"/>
                      <w:szCs w:val="21"/>
                    </w:rPr>
                  </w:pPr>
                </w:p>
              </w:tc>
              <w:tc>
                <w:tcPr>
                  <w:tcW w:w="890" w:type="pct"/>
                  <w:vMerge w:val="continue"/>
                  <w:shd w:val="clear" w:color="auto" w:fill="auto"/>
                  <w:noWrap/>
                  <w:vAlign w:val="center"/>
                </w:tcPr>
                <w:p>
                  <w:pPr>
                    <w:widowControl/>
                    <w:jc w:val="center"/>
                    <w:rPr>
                      <w:rFonts w:cs="宋体"/>
                      <w:color w:val="auto"/>
                      <w:kern w:val="0"/>
                      <w:szCs w:val="21"/>
                    </w:rPr>
                  </w:pPr>
                </w:p>
              </w:tc>
              <w:tc>
                <w:tcPr>
                  <w:tcW w:w="1142" w:type="pct"/>
                  <w:vMerge w:val="continue"/>
                  <w:shd w:val="clear" w:color="auto" w:fill="auto"/>
                  <w:vAlign w:val="center"/>
                </w:tcPr>
                <w:p>
                  <w:pPr>
                    <w:jc w:val="center"/>
                    <w:rPr>
                      <w:color w:val="auto"/>
                      <w:szCs w:val="21"/>
                    </w:rPr>
                  </w:pPr>
                </w:p>
              </w:tc>
              <w:tc>
                <w:tcPr>
                  <w:tcW w:w="978" w:type="pct"/>
                  <w:shd w:val="clear" w:color="auto" w:fill="auto"/>
                  <w:vAlign w:val="center"/>
                </w:tcPr>
                <w:p>
                  <w:pPr>
                    <w:widowControl/>
                    <w:jc w:val="center"/>
                    <w:rPr>
                      <w:rFonts w:cs="宋体"/>
                      <w:color w:val="auto"/>
                      <w:kern w:val="0"/>
                      <w:szCs w:val="21"/>
                    </w:rPr>
                  </w:pPr>
                  <w:r>
                    <w:rPr>
                      <w:rFonts w:hint="eastAsia"/>
                      <w:color w:val="auto"/>
                      <w:kern w:val="0"/>
                      <w:szCs w:val="21"/>
                    </w:rPr>
                    <w:t>EVA拖鞋/鞋底</w:t>
                  </w:r>
                </w:p>
              </w:tc>
              <w:tc>
                <w:tcPr>
                  <w:tcW w:w="1141" w:type="pct"/>
                  <w:shd w:val="clear" w:color="auto" w:fill="auto"/>
                  <w:vAlign w:val="center"/>
                </w:tcPr>
                <w:p>
                  <w:pPr>
                    <w:widowControl/>
                    <w:jc w:val="center"/>
                    <w:rPr>
                      <w:color w:val="auto"/>
                      <w:kern w:val="0"/>
                      <w:szCs w:val="21"/>
                    </w:rPr>
                  </w:pPr>
                  <w:r>
                    <w:rPr>
                      <w:rFonts w:hint="eastAsia"/>
                      <w:color w:val="auto"/>
                      <w:kern w:val="0"/>
                      <w:szCs w:val="21"/>
                    </w:rPr>
                    <w:t>46.9</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7" w:type="pct"/>
                  <w:vMerge w:val="continue"/>
                  <w:vAlign w:val="center"/>
                </w:tcPr>
                <w:p>
                  <w:pPr>
                    <w:jc w:val="center"/>
                    <w:rPr>
                      <w:rFonts w:cs="宋体"/>
                      <w:color w:val="auto"/>
                      <w:kern w:val="0"/>
                      <w:szCs w:val="21"/>
                    </w:rPr>
                  </w:pPr>
                </w:p>
              </w:tc>
              <w:tc>
                <w:tcPr>
                  <w:tcW w:w="890" w:type="pct"/>
                  <w:shd w:val="clear" w:color="auto" w:fill="auto"/>
                  <w:noWrap/>
                  <w:vAlign w:val="center"/>
                </w:tcPr>
                <w:p>
                  <w:pPr>
                    <w:widowControl/>
                    <w:jc w:val="center"/>
                    <w:rPr>
                      <w:rFonts w:cs="宋体"/>
                      <w:color w:val="auto"/>
                      <w:kern w:val="0"/>
                      <w:szCs w:val="21"/>
                    </w:rPr>
                  </w:pPr>
                  <w:r>
                    <w:rPr>
                      <w:rFonts w:hint="eastAsia" w:cs="宋体"/>
                      <w:color w:val="auto"/>
                      <w:kern w:val="0"/>
                      <w:szCs w:val="21"/>
                    </w:rPr>
                    <w:t>色粉</w:t>
                  </w:r>
                </w:p>
              </w:tc>
              <w:tc>
                <w:tcPr>
                  <w:tcW w:w="1142" w:type="pct"/>
                  <w:shd w:val="clear" w:color="auto" w:fill="auto"/>
                  <w:vAlign w:val="center"/>
                </w:tcPr>
                <w:p>
                  <w:pPr>
                    <w:jc w:val="center"/>
                    <w:rPr>
                      <w:color w:val="auto"/>
                      <w:szCs w:val="21"/>
                    </w:rPr>
                  </w:pPr>
                  <w:r>
                    <w:rPr>
                      <w:rFonts w:hint="eastAsia"/>
                      <w:color w:val="auto"/>
                      <w:szCs w:val="21"/>
                    </w:rPr>
                    <w:t>1</w:t>
                  </w:r>
                </w:p>
              </w:tc>
              <w:tc>
                <w:tcPr>
                  <w:tcW w:w="978" w:type="pct"/>
                  <w:shd w:val="clear" w:color="auto" w:fill="auto"/>
                  <w:vAlign w:val="center"/>
                </w:tcPr>
                <w:p>
                  <w:pPr>
                    <w:widowControl/>
                    <w:jc w:val="center"/>
                    <w:rPr>
                      <w:rFonts w:cs="宋体"/>
                      <w:color w:val="auto"/>
                      <w:kern w:val="0"/>
                      <w:szCs w:val="21"/>
                    </w:rPr>
                  </w:pPr>
                  <w:r>
                    <w:rPr>
                      <w:rFonts w:hint="eastAsia" w:cs="宋体"/>
                      <w:color w:val="auto"/>
                      <w:kern w:val="0"/>
                      <w:szCs w:val="21"/>
                    </w:rPr>
                    <w:t>边角料、残次品</w:t>
                  </w:r>
                </w:p>
              </w:tc>
              <w:tc>
                <w:tcPr>
                  <w:tcW w:w="1141" w:type="pct"/>
                  <w:shd w:val="clear" w:color="auto" w:fill="auto"/>
                  <w:vAlign w:val="center"/>
                </w:tcPr>
                <w:p>
                  <w:pPr>
                    <w:widowControl/>
                    <w:jc w:val="center"/>
                    <w:rPr>
                      <w:color w:val="auto"/>
                      <w:kern w:val="0"/>
                      <w:szCs w:val="21"/>
                    </w:rPr>
                  </w:pPr>
                  <w:r>
                    <w:rPr>
                      <w:rFonts w:hint="eastAsia"/>
                      <w:color w:val="auto"/>
                      <w:kern w:val="0"/>
                      <w:szCs w:val="21"/>
                    </w:rPr>
                    <w:t>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737" w:type="pct"/>
                  <w:gridSpan w:val="2"/>
                  <w:tcBorders>
                    <w:top w:val="single" w:color="auto" w:sz="4" w:space="0"/>
                  </w:tcBorders>
                  <w:vAlign w:val="center"/>
                </w:tcPr>
                <w:p>
                  <w:pPr>
                    <w:widowControl/>
                    <w:jc w:val="center"/>
                    <w:rPr>
                      <w:rFonts w:cs="宋体"/>
                      <w:b/>
                      <w:color w:val="auto"/>
                      <w:kern w:val="0"/>
                      <w:szCs w:val="21"/>
                    </w:rPr>
                  </w:pPr>
                  <w:r>
                    <w:rPr>
                      <w:rFonts w:hint="eastAsia" w:cs="宋体"/>
                      <w:b/>
                      <w:color w:val="auto"/>
                      <w:kern w:val="0"/>
                      <w:szCs w:val="21"/>
                    </w:rPr>
                    <w:t>小计</w:t>
                  </w:r>
                </w:p>
              </w:tc>
              <w:tc>
                <w:tcPr>
                  <w:tcW w:w="1142" w:type="pct"/>
                  <w:shd w:val="clear" w:color="auto" w:fill="auto"/>
                  <w:vAlign w:val="center"/>
                </w:tcPr>
                <w:p>
                  <w:pPr>
                    <w:jc w:val="center"/>
                    <w:rPr>
                      <w:b/>
                      <w:color w:val="auto"/>
                      <w:szCs w:val="21"/>
                    </w:rPr>
                  </w:pPr>
                  <w:r>
                    <w:rPr>
                      <w:rFonts w:hint="eastAsia"/>
                      <w:b/>
                      <w:color w:val="auto"/>
                      <w:szCs w:val="21"/>
                    </w:rPr>
                    <w:t>51</w:t>
                  </w:r>
                </w:p>
              </w:tc>
              <w:tc>
                <w:tcPr>
                  <w:tcW w:w="978" w:type="pct"/>
                  <w:shd w:val="clear" w:color="auto" w:fill="auto"/>
                  <w:vAlign w:val="center"/>
                </w:tcPr>
                <w:p>
                  <w:pPr>
                    <w:widowControl/>
                    <w:jc w:val="center"/>
                    <w:rPr>
                      <w:rFonts w:cs="宋体"/>
                      <w:b/>
                      <w:color w:val="auto"/>
                      <w:kern w:val="0"/>
                      <w:szCs w:val="21"/>
                    </w:rPr>
                  </w:pPr>
                  <w:r>
                    <w:rPr>
                      <w:rFonts w:hint="eastAsia" w:cs="宋体"/>
                      <w:b/>
                      <w:color w:val="auto"/>
                      <w:kern w:val="0"/>
                      <w:szCs w:val="21"/>
                    </w:rPr>
                    <w:t>/</w:t>
                  </w:r>
                </w:p>
              </w:tc>
              <w:tc>
                <w:tcPr>
                  <w:tcW w:w="1141" w:type="pct"/>
                  <w:shd w:val="clear" w:color="auto" w:fill="auto"/>
                  <w:vAlign w:val="center"/>
                </w:tcPr>
                <w:p>
                  <w:pPr>
                    <w:jc w:val="center"/>
                    <w:rPr>
                      <w:rFonts w:cs="宋体"/>
                      <w:b/>
                      <w:color w:val="auto"/>
                      <w:szCs w:val="21"/>
                    </w:rPr>
                  </w:pPr>
                  <w:r>
                    <w:rPr>
                      <w:rFonts w:hint="eastAsia"/>
                      <w:b/>
                      <w:color w:val="auto"/>
                      <w:szCs w:val="21"/>
                    </w:rPr>
                    <w:t>51</w:t>
                  </w:r>
                </w:p>
              </w:tc>
            </w:tr>
          </w:tbl>
          <w:p>
            <w:pPr>
              <w:spacing w:line="520" w:lineRule="exact"/>
              <w:rPr>
                <w:rFonts w:eastAsia="黑体"/>
                <w:bCs/>
                <w:color w:val="auto"/>
                <w:sz w:val="32"/>
                <w:szCs w:val="32"/>
              </w:rPr>
            </w:pPr>
            <w:r>
              <w:rPr>
                <w:rFonts w:eastAsia="黑体"/>
                <w:bCs/>
                <w:color w:val="auto"/>
                <w:sz w:val="32"/>
                <w:szCs w:val="32"/>
              </w:rPr>
              <w:br w:type="textWrapping"/>
            </w: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p>
          <w:p>
            <w:pPr>
              <w:spacing w:line="520" w:lineRule="exact"/>
              <w:rPr>
                <w:rFonts w:eastAsia="黑体"/>
                <w:bCs/>
                <w:color w:val="auto"/>
                <w:sz w:val="32"/>
                <w:szCs w:val="32"/>
              </w:rPr>
            </w:pPr>
            <w:r>
              <w:rPr>
                <w:rFonts w:eastAsia="黑体"/>
                <w:bCs/>
                <w:color w:val="auto"/>
                <w:sz w:val="32"/>
                <w:szCs w:val="32"/>
              </w:rPr>
              <w:t>主要污染工序:</w:t>
            </w:r>
          </w:p>
          <w:p>
            <w:pPr>
              <w:pStyle w:val="5"/>
              <w:jc w:val="both"/>
              <w:rPr>
                <w:color w:val="auto"/>
              </w:rPr>
            </w:pPr>
            <w:r>
              <w:rPr>
                <w:rFonts w:hint="eastAsia"/>
                <w:color w:val="auto"/>
              </w:rPr>
              <w:t>1</w:t>
            </w:r>
            <w:r>
              <w:rPr>
                <w:color w:val="auto"/>
              </w:rPr>
              <w:t>施工期污染工序</w:t>
            </w:r>
          </w:p>
          <w:p>
            <w:pPr>
              <w:spacing w:line="520" w:lineRule="exact"/>
              <w:ind w:firstLine="560" w:firstLineChars="200"/>
              <w:rPr>
                <w:color w:val="auto"/>
                <w:sz w:val="28"/>
                <w:szCs w:val="28"/>
              </w:rPr>
            </w:pPr>
            <w:r>
              <w:rPr>
                <w:rFonts w:hint="eastAsia"/>
                <w:color w:val="auto"/>
                <w:sz w:val="28"/>
                <w:szCs w:val="28"/>
              </w:rPr>
              <w:t>本项目租赁巩留县众帮苯板厂已建库房进行生产活动，仅对生产设备和厂房进行了整备，</w:t>
            </w:r>
            <w:r>
              <w:rPr>
                <w:color w:val="auto"/>
                <w:sz w:val="28"/>
                <w:szCs w:val="28"/>
              </w:rPr>
              <w:t>安装</w:t>
            </w:r>
            <w:r>
              <w:rPr>
                <w:rFonts w:hint="eastAsia"/>
                <w:color w:val="auto"/>
                <w:sz w:val="28"/>
                <w:szCs w:val="28"/>
              </w:rPr>
              <w:t>和布置环保设施的工作，因此本报告中不再对施工期进行环境影响分析。</w:t>
            </w:r>
          </w:p>
          <w:p>
            <w:pPr>
              <w:pStyle w:val="5"/>
              <w:jc w:val="both"/>
              <w:rPr>
                <w:color w:val="auto"/>
              </w:rPr>
            </w:pPr>
            <w:r>
              <w:rPr>
                <w:color w:val="auto"/>
              </w:rPr>
              <w:t>2运营期主要污染工序</w:t>
            </w:r>
          </w:p>
          <w:p>
            <w:pPr>
              <w:spacing w:line="520" w:lineRule="exact"/>
              <w:ind w:firstLine="560" w:firstLineChars="200"/>
              <w:rPr>
                <w:color w:val="auto"/>
                <w:sz w:val="28"/>
                <w:szCs w:val="28"/>
              </w:rPr>
            </w:pPr>
            <w:r>
              <w:rPr>
                <w:color w:val="auto"/>
                <w:sz w:val="28"/>
                <w:szCs w:val="28"/>
              </w:rPr>
              <w:t>本项目运营期的主要污染工序有：废气、废水、固废</w:t>
            </w:r>
            <w:r>
              <w:rPr>
                <w:rFonts w:hint="eastAsia"/>
                <w:color w:val="auto"/>
                <w:sz w:val="28"/>
                <w:szCs w:val="28"/>
              </w:rPr>
              <w:t>及噪声，本项目运营期环境影响分析如下。</w:t>
            </w:r>
          </w:p>
          <w:p>
            <w:pPr>
              <w:spacing w:line="520" w:lineRule="exact"/>
              <w:rPr>
                <w:b/>
                <w:color w:val="auto"/>
                <w:sz w:val="28"/>
                <w:szCs w:val="28"/>
              </w:rPr>
            </w:pPr>
            <w:r>
              <w:rPr>
                <w:b/>
                <w:color w:val="auto"/>
                <w:sz w:val="28"/>
                <w:szCs w:val="28"/>
              </w:rPr>
              <w:t>2.1废气</w:t>
            </w:r>
          </w:p>
          <w:p>
            <w:pPr>
              <w:spacing w:line="520" w:lineRule="exact"/>
              <w:ind w:firstLine="560" w:firstLineChars="200"/>
              <w:rPr>
                <w:color w:val="auto"/>
                <w:sz w:val="28"/>
                <w:szCs w:val="28"/>
              </w:rPr>
            </w:pPr>
            <w:r>
              <w:rPr>
                <w:rFonts w:hint="eastAsia"/>
                <w:color w:val="auto"/>
                <w:sz w:val="28"/>
                <w:szCs w:val="28"/>
              </w:rPr>
              <w:t>项目生产运行期间产生的废气主要为非甲烷总烃、厨房油烟废气。</w:t>
            </w:r>
          </w:p>
          <w:p>
            <w:pPr>
              <w:spacing w:line="520" w:lineRule="exact"/>
              <w:rPr>
                <w:b/>
                <w:bCs/>
                <w:color w:val="auto"/>
                <w:kern w:val="44"/>
                <w:sz w:val="28"/>
                <w:szCs w:val="44"/>
              </w:rPr>
            </w:pPr>
            <w:r>
              <w:rPr>
                <w:rFonts w:hint="eastAsia"/>
                <w:b/>
                <w:bCs/>
                <w:color w:val="auto"/>
                <w:kern w:val="44"/>
                <w:sz w:val="28"/>
                <w:szCs w:val="44"/>
              </w:rPr>
              <w:t>2.1.1非甲烷总烃</w:t>
            </w:r>
          </w:p>
          <w:p>
            <w:pPr>
              <w:spacing w:line="520" w:lineRule="exact"/>
              <w:ind w:firstLine="560" w:firstLineChars="200"/>
              <w:rPr>
                <w:color w:val="auto"/>
                <w:sz w:val="28"/>
                <w:szCs w:val="28"/>
              </w:rPr>
            </w:pPr>
            <w:r>
              <w:rPr>
                <w:rFonts w:hint="eastAsia"/>
                <w:color w:val="auto"/>
                <w:sz w:val="28"/>
                <w:szCs w:val="28"/>
              </w:rPr>
              <w:t>参考《排污许可证申请与核发技术规范 制鞋工业》（HJ1123-2020）中“E.1.1挥发性有机物排放量计算，单位产品污染物排放量为6.2×10</w:t>
            </w:r>
            <w:r>
              <w:rPr>
                <w:rFonts w:hint="eastAsia"/>
                <w:color w:val="auto"/>
                <w:sz w:val="28"/>
                <w:szCs w:val="28"/>
                <w:vertAlign w:val="superscript"/>
              </w:rPr>
              <w:t>-6</w:t>
            </w:r>
            <w:r>
              <w:rPr>
                <w:rFonts w:hint="eastAsia"/>
                <w:color w:val="auto"/>
                <w:sz w:val="28"/>
                <w:szCs w:val="28"/>
              </w:rPr>
              <w:t>t/双”；本项目年产塑料拖鞋100万双，本项目年工作时间为2160h。根据上述参数可知，塑料拖鞋注塑工艺产生非甲烷总烃量为6.2t/a。</w:t>
            </w:r>
          </w:p>
          <w:p>
            <w:pPr>
              <w:spacing w:line="520" w:lineRule="exact"/>
              <w:rPr>
                <w:b/>
                <w:color w:val="auto"/>
                <w:sz w:val="28"/>
                <w:szCs w:val="28"/>
              </w:rPr>
            </w:pPr>
            <w:r>
              <w:rPr>
                <w:rFonts w:hint="eastAsia"/>
                <w:b/>
                <w:color w:val="auto"/>
                <w:sz w:val="28"/>
                <w:szCs w:val="28"/>
              </w:rPr>
              <w:t>2.1.2油烟</w:t>
            </w:r>
          </w:p>
          <w:p>
            <w:pPr>
              <w:spacing w:line="520" w:lineRule="exact"/>
              <w:ind w:firstLine="560" w:firstLineChars="200"/>
              <w:rPr>
                <w:color w:val="auto"/>
                <w:sz w:val="28"/>
                <w:szCs w:val="28"/>
              </w:rPr>
            </w:pPr>
            <w:r>
              <w:rPr>
                <w:rFonts w:hint="eastAsia"/>
                <w:bCs/>
                <w:color w:val="auto"/>
                <w:sz w:val="28"/>
                <w:szCs w:val="28"/>
              </w:rPr>
              <w:t>本项目设职工食堂，以瓶装石油液化气为燃料，每日供给20名职工供给餐饮。石油液化气完全燃烧产物为CO</w:t>
            </w:r>
            <w:r>
              <w:rPr>
                <w:rFonts w:hint="eastAsia"/>
                <w:bCs/>
                <w:color w:val="auto"/>
                <w:sz w:val="28"/>
                <w:szCs w:val="28"/>
                <w:vertAlign w:val="subscript"/>
              </w:rPr>
              <w:t>2</w:t>
            </w:r>
            <w:r>
              <w:rPr>
                <w:rFonts w:hint="eastAsia"/>
                <w:bCs/>
                <w:color w:val="auto"/>
                <w:sz w:val="28"/>
                <w:szCs w:val="28"/>
              </w:rPr>
              <w:t>和H</w:t>
            </w:r>
            <w:r>
              <w:rPr>
                <w:rFonts w:hint="eastAsia"/>
                <w:bCs/>
                <w:color w:val="auto"/>
                <w:sz w:val="28"/>
                <w:szCs w:val="28"/>
                <w:vertAlign w:val="subscript"/>
              </w:rPr>
              <w:t>2</w:t>
            </w:r>
            <w:r>
              <w:rPr>
                <w:rFonts w:hint="eastAsia"/>
                <w:bCs/>
                <w:color w:val="auto"/>
                <w:sz w:val="28"/>
                <w:szCs w:val="28"/>
              </w:rPr>
              <w:t>O，对环境的影响较小。根据类比分析，每人食用油消耗量按40g/d计，则食用油消耗量为0.8kg/d。食用油的挥发比例一般为2%～4%，本项目按3%计，则项目油烟产生量为0.024kg/d。</w:t>
            </w:r>
          </w:p>
          <w:p>
            <w:pPr>
              <w:spacing w:line="520" w:lineRule="exact"/>
              <w:rPr>
                <w:b/>
                <w:bCs/>
                <w:color w:val="auto"/>
                <w:kern w:val="44"/>
                <w:sz w:val="28"/>
                <w:szCs w:val="44"/>
              </w:rPr>
            </w:pPr>
            <w:r>
              <w:rPr>
                <w:b/>
                <w:bCs/>
                <w:color w:val="auto"/>
                <w:kern w:val="44"/>
                <w:sz w:val="28"/>
                <w:szCs w:val="44"/>
              </w:rPr>
              <w:t>2.2废水</w:t>
            </w:r>
          </w:p>
          <w:p>
            <w:pPr>
              <w:spacing w:line="520" w:lineRule="exact"/>
              <w:rPr>
                <w:b/>
                <w:bCs/>
                <w:color w:val="auto"/>
                <w:kern w:val="44"/>
                <w:sz w:val="28"/>
                <w:szCs w:val="44"/>
              </w:rPr>
            </w:pPr>
            <w:r>
              <w:rPr>
                <w:rFonts w:hint="eastAsia"/>
                <w:b/>
                <w:bCs/>
                <w:color w:val="auto"/>
                <w:kern w:val="44"/>
                <w:sz w:val="28"/>
                <w:szCs w:val="44"/>
              </w:rPr>
              <w:t>2.2.1生产废水</w:t>
            </w:r>
          </w:p>
          <w:p>
            <w:pPr>
              <w:adjustRightInd w:val="0"/>
              <w:snapToGrid w:val="0"/>
              <w:spacing w:line="520" w:lineRule="exact"/>
              <w:ind w:firstLine="560" w:firstLineChars="200"/>
              <w:rPr>
                <w:color w:val="auto"/>
                <w:sz w:val="28"/>
                <w:szCs w:val="28"/>
              </w:rPr>
            </w:pPr>
            <w:r>
              <w:rPr>
                <w:rFonts w:hint="eastAsia"/>
                <w:color w:val="auto"/>
                <w:sz w:val="28"/>
                <w:szCs w:val="28"/>
              </w:rPr>
              <w:t>项目射出成型工序中机械设备需冷却，防止设备温度过高，冷却塔中冷却水循环使用，不外排，只需补充因蒸发等损耗的水量。</w:t>
            </w:r>
            <w:r>
              <w:rPr>
                <w:rFonts w:hint="eastAsia"/>
                <w:color w:val="auto"/>
                <w:sz w:val="28"/>
                <w:szCs w:val="28"/>
              </w:rPr>
              <w:t>项目区设1座冷却塔，冷却塔循环水量为1t/d，冷却系统补充水量按循环量的3%估算，则项目冷却塔补充新鲜水为0.03t/d，年补充新鲜水8.1t/a。</w:t>
            </w:r>
          </w:p>
          <w:p>
            <w:pPr>
              <w:spacing w:line="520" w:lineRule="exact"/>
              <w:rPr>
                <w:b/>
                <w:bCs/>
                <w:color w:val="auto"/>
                <w:kern w:val="44"/>
                <w:sz w:val="28"/>
                <w:szCs w:val="44"/>
              </w:rPr>
            </w:pPr>
            <w:r>
              <w:rPr>
                <w:rFonts w:hint="eastAsia"/>
                <w:b/>
                <w:bCs/>
                <w:color w:val="auto"/>
                <w:kern w:val="44"/>
                <w:sz w:val="28"/>
                <w:szCs w:val="44"/>
              </w:rPr>
              <w:t>2.2.2生活污水</w:t>
            </w:r>
          </w:p>
          <w:p>
            <w:pPr>
              <w:adjustRightInd w:val="0"/>
              <w:snapToGrid w:val="0"/>
              <w:spacing w:line="520" w:lineRule="exact"/>
              <w:ind w:firstLine="560" w:firstLineChars="200"/>
              <w:rPr>
                <w:color w:val="auto"/>
                <w:sz w:val="28"/>
                <w:szCs w:val="28"/>
              </w:rPr>
            </w:pPr>
            <w:r>
              <w:rPr>
                <w:rFonts w:hint="eastAsia"/>
                <w:color w:val="auto"/>
                <w:sz w:val="28"/>
                <w:szCs w:val="28"/>
              </w:rPr>
              <w:t>项目运营期间每天生产职工20人，生活用水量为1.1m</w:t>
            </w:r>
            <w:r>
              <w:rPr>
                <w:rFonts w:hint="eastAsia"/>
                <w:color w:val="auto"/>
                <w:sz w:val="28"/>
                <w:szCs w:val="28"/>
                <w:vertAlign w:val="superscript"/>
              </w:rPr>
              <w:t>3</w:t>
            </w:r>
            <w:r>
              <w:rPr>
                <w:rFonts w:hint="eastAsia"/>
                <w:color w:val="auto"/>
                <w:sz w:val="28"/>
                <w:szCs w:val="28"/>
              </w:rPr>
              <w:t>/d，污水排放量按用水量的0.8计算，则生活污水排放量为0.88m</w:t>
            </w:r>
            <w:r>
              <w:rPr>
                <w:rFonts w:hint="eastAsia"/>
                <w:color w:val="auto"/>
                <w:sz w:val="28"/>
                <w:szCs w:val="28"/>
                <w:vertAlign w:val="superscript"/>
              </w:rPr>
              <w:t>3</w:t>
            </w:r>
            <w:r>
              <w:rPr>
                <w:rFonts w:hint="eastAsia"/>
                <w:color w:val="auto"/>
                <w:sz w:val="28"/>
                <w:szCs w:val="28"/>
              </w:rPr>
              <w:t>/d，厂区所在位置敷设有市政污水管网，本项目生活污水可直接排入管网中，由污水处理厂处理。</w:t>
            </w:r>
          </w:p>
          <w:p>
            <w:pPr>
              <w:spacing w:line="520" w:lineRule="exact"/>
              <w:rPr>
                <w:b/>
                <w:bCs/>
                <w:color w:val="auto"/>
                <w:kern w:val="44"/>
                <w:sz w:val="28"/>
                <w:szCs w:val="44"/>
              </w:rPr>
            </w:pPr>
            <w:r>
              <w:rPr>
                <w:rFonts w:hint="eastAsia"/>
                <w:b/>
                <w:bCs/>
                <w:color w:val="auto"/>
                <w:kern w:val="44"/>
                <w:sz w:val="28"/>
                <w:szCs w:val="44"/>
              </w:rPr>
              <w:t>2.2.3食堂废水</w:t>
            </w:r>
          </w:p>
          <w:p>
            <w:pPr>
              <w:pStyle w:val="107"/>
              <w:ind w:firstLine="560"/>
              <w:rPr>
                <w:color w:val="auto"/>
              </w:rPr>
            </w:pPr>
            <w:r>
              <w:rPr>
                <w:rFonts w:hint="eastAsia"/>
                <w:color w:val="auto"/>
              </w:rPr>
              <w:t>根据用水定额规定，职工食堂用水定额为10L/人·餐，厂区每天提供20人的中餐，则职工食堂用水量为0.2m</w:t>
            </w:r>
            <w:r>
              <w:rPr>
                <w:rFonts w:hint="eastAsia"/>
                <w:color w:val="auto"/>
                <w:vertAlign w:val="superscript"/>
              </w:rPr>
              <w:t>3</w:t>
            </w:r>
            <w:r>
              <w:rPr>
                <w:rFonts w:hint="eastAsia"/>
                <w:color w:val="auto"/>
              </w:rPr>
              <w:t>/d（54m</w:t>
            </w:r>
            <w:r>
              <w:rPr>
                <w:rFonts w:hint="eastAsia"/>
                <w:color w:val="auto"/>
                <w:vertAlign w:val="superscript"/>
              </w:rPr>
              <w:t>3</w:t>
            </w:r>
            <w:r>
              <w:rPr>
                <w:rFonts w:hint="eastAsia"/>
                <w:color w:val="auto"/>
              </w:rPr>
              <w:t>/a），按照排水率0.8计算，排水量为0.16m</w:t>
            </w:r>
            <w:r>
              <w:rPr>
                <w:rFonts w:hint="eastAsia"/>
                <w:color w:val="auto"/>
                <w:vertAlign w:val="superscript"/>
              </w:rPr>
              <w:t>3</w:t>
            </w:r>
            <w:r>
              <w:rPr>
                <w:rFonts w:hint="eastAsia"/>
                <w:color w:val="auto"/>
              </w:rPr>
              <w:t>/d，（4.32m</w:t>
            </w:r>
            <w:r>
              <w:rPr>
                <w:rFonts w:hint="eastAsia"/>
                <w:color w:val="auto"/>
                <w:vertAlign w:val="superscript"/>
              </w:rPr>
              <w:t>3</w:t>
            </w:r>
            <w:r>
              <w:rPr>
                <w:rFonts w:hint="eastAsia"/>
                <w:color w:val="auto"/>
              </w:rPr>
              <w:t>/a）。本项目食堂废水与生活污水一起排入管网中，由污水处理厂处理。</w:t>
            </w:r>
          </w:p>
          <w:p>
            <w:pPr>
              <w:pStyle w:val="6"/>
              <w:spacing w:before="0" w:after="0" w:line="520" w:lineRule="exact"/>
              <w:jc w:val="both"/>
              <w:rPr>
                <w:color w:val="auto"/>
                <w:kern w:val="2"/>
              </w:rPr>
            </w:pPr>
            <w:r>
              <w:rPr>
                <w:color w:val="auto"/>
                <w:kern w:val="2"/>
              </w:rPr>
              <w:t>2.</w:t>
            </w:r>
            <w:r>
              <w:rPr>
                <w:rFonts w:hint="eastAsia"/>
                <w:color w:val="auto"/>
                <w:kern w:val="2"/>
              </w:rPr>
              <w:t>3</w:t>
            </w:r>
            <w:r>
              <w:rPr>
                <w:color w:val="auto"/>
                <w:kern w:val="2"/>
              </w:rPr>
              <w:t>固体废弃物</w:t>
            </w:r>
          </w:p>
          <w:p>
            <w:pPr>
              <w:spacing w:line="520" w:lineRule="exact"/>
              <w:ind w:firstLine="560" w:firstLineChars="200"/>
              <w:rPr>
                <w:color w:val="auto"/>
                <w:sz w:val="28"/>
                <w:szCs w:val="28"/>
              </w:rPr>
            </w:pPr>
            <w:r>
              <w:rPr>
                <w:rFonts w:hint="eastAsia"/>
                <w:color w:val="auto"/>
                <w:sz w:val="28"/>
                <w:szCs w:val="28"/>
              </w:rPr>
              <w:t>本项目产生的一般固废主要为不合格产品、废包装袋及包装箱、废弃原料袋及职工生活垃圾；危险废物为废活性炭、废灯管和废机油。</w:t>
            </w:r>
          </w:p>
          <w:p>
            <w:pPr>
              <w:spacing w:line="520" w:lineRule="exact"/>
              <w:rPr>
                <w:b/>
                <w:color w:val="auto"/>
                <w:sz w:val="28"/>
                <w:szCs w:val="28"/>
              </w:rPr>
            </w:pPr>
            <w:r>
              <w:rPr>
                <w:rFonts w:hint="eastAsia"/>
                <w:b/>
                <w:color w:val="auto"/>
                <w:sz w:val="28"/>
                <w:szCs w:val="28"/>
              </w:rPr>
              <w:t>2.3.1不合格产品</w:t>
            </w:r>
          </w:p>
          <w:p>
            <w:pPr>
              <w:spacing w:line="520" w:lineRule="exact"/>
              <w:ind w:firstLine="560" w:firstLineChars="200"/>
              <w:rPr>
                <w:color w:val="auto"/>
                <w:sz w:val="28"/>
                <w:szCs w:val="28"/>
              </w:rPr>
            </w:pPr>
            <w:r>
              <w:rPr>
                <w:rFonts w:hint="eastAsia"/>
                <w:color w:val="auto"/>
                <w:sz w:val="28"/>
                <w:szCs w:val="28"/>
              </w:rPr>
              <w:t>根据业主提供信息，PVC、EVA拖鞋产出的不合格产品率约占产品总量的2%，则生产过程产生的不合格PVC拖鞋、EVA拖鞋/鞋底及边角料</w:t>
            </w:r>
            <w:r>
              <w:rPr>
                <w:rFonts w:hint="eastAsia"/>
                <w:color w:val="auto"/>
                <w:sz w:val="28"/>
                <w:szCs w:val="28"/>
                <w:lang w:eastAsia="zh-CN"/>
              </w:rPr>
              <w:t>各</w:t>
            </w:r>
            <w:r>
              <w:rPr>
                <w:rFonts w:hint="eastAsia"/>
                <w:color w:val="auto"/>
                <w:sz w:val="28"/>
                <w:szCs w:val="28"/>
              </w:rPr>
              <w:t>为1t</w:t>
            </w:r>
            <w:r>
              <w:rPr>
                <w:rFonts w:hint="eastAsia"/>
                <w:color w:val="auto"/>
                <w:sz w:val="28"/>
                <w:szCs w:val="28"/>
                <w:lang w:eastAsia="zh-CN"/>
              </w:rPr>
              <w:t>，共计</w:t>
            </w:r>
            <w:r>
              <w:rPr>
                <w:rFonts w:hint="eastAsia"/>
                <w:color w:val="auto"/>
                <w:sz w:val="28"/>
                <w:szCs w:val="28"/>
                <w:lang w:val="en-US" w:eastAsia="zh-CN"/>
              </w:rPr>
              <w:t>2t</w:t>
            </w:r>
            <w:r>
              <w:rPr>
                <w:rFonts w:hint="eastAsia"/>
                <w:color w:val="auto"/>
                <w:sz w:val="28"/>
                <w:szCs w:val="28"/>
              </w:rPr>
              <w:t>。</w:t>
            </w:r>
          </w:p>
          <w:p>
            <w:pPr>
              <w:spacing w:line="520" w:lineRule="exact"/>
              <w:rPr>
                <w:b/>
                <w:color w:val="auto"/>
                <w:sz w:val="28"/>
                <w:szCs w:val="28"/>
              </w:rPr>
            </w:pPr>
            <w:r>
              <w:rPr>
                <w:rFonts w:hint="eastAsia"/>
                <w:b/>
                <w:color w:val="auto"/>
                <w:sz w:val="28"/>
                <w:szCs w:val="28"/>
              </w:rPr>
              <w:t>2.3.2废包装</w:t>
            </w:r>
          </w:p>
          <w:p>
            <w:pPr>
              <w:pStyle w:val="107"/>
              <w:ind w:firstLine="560"/>
              <w:rPr>
                <w:color w:val="auto"/>
              </w:rPr>
            </w:pPr>
            <w:r>
              <w:rPr>
                <w:rFonts w:hint="eastAsia"/>
                <w:color w:val="auto"/>
              </w:rPr>
              <w:t>（1）废包装</w:t>
            </w:r>
          </w:p>
          <w:p>
            <w:pPr>
              <w:pStyle w:val="107"/>
              <w:ind w:firstLine="560"/>
              <w:rPr>
                <w:color w:val="auto"/>
              </w:rPr>
            </w:pPr>
            <w:r>
              <w:rPr>
                <w:rFonts w:hint="eastAsia"/>
                <w:color w:val="auto"/>
              </w:rPr>
              <w:t>本项目成品拖鞋由工人手工包装，会产生部分废包装袋及包装箱，产生量约占使用量的2%，则产生的废包装袋及包装箱约为0.06t。</w:t>
            </w:r>
          </w:p>
          <w:p>
            <w:pPr>
              <w:spacing w:line="520" w:lineRule="exact"/>
              <w:ind w:firstLine="560" w:firstLineChars="200"/>
              <w:rPr>
                <w:color w:val="auto"/>
                <w:sz w:val="28"/>
              </w:rPr>
            </w:pPr>
            <w:r>
              <w:rPr>
                <w:rFonts w:hint="eastAsia"/>
                <w:color w:val="auto"/>
                <w:sz w:val="28"/>
              </w:rPr>
              <w:t>（2）废原料袋</w:t>
            </w:r>
          </w:p>
          <w:p>
            <w:pPr>
              <w:pStyle w:val="107"/>
              <w:ind w:firstLine="560"/>
              <w:rPr>
                <w:color w:val="auto"/>
              </w:rPr>
            </w:pPr>
            <w:r>
              <w:rPr>
                <w:rFonts w:hint="eastAsia"/>
                <w:color w:val="auto"/>
              </w:rPr>
              <w:t>本项目使用的原料为PVC、EVA塑料颗粒，原料用于生产后，装原料的包装袋收集后可外售给废品收购站，产生量约为0.8t。</w:t>
            </w:r>
          </w:p>
          <w:p>
            <w:pPr>
              <w:spacing w:line="520" w:lineRule="exact"/>
              <w:rPr>
                <w:color w:val="auto"/>
                <w:sz w:val="28"/>
                <w:szCs w:val="28"/>
              </w:rPr>
            </w:pPr>
            <w:r>
              <w:rPr>
                <w:rFonts w:hint="eastAsia"/>
                <w:b/>
                <w:color w:val="auto"/>
                <w:sz w:val="28"/>
                <w:szCs w:val="28"/>
              </w:rPr>
              <w:t>2.3.3生活垃圾</w:t>
            </w:r>
          </w:p>
          <w:p>
            <w:pPr>
              <w:spacing w:line="520" w:lineRule="exact"/>
              <w:ind w:firstLine="560" w:firstLineChars="200"/>
              <w:rPr>
                <w:color w:val="auto"/>
                <w:sz w:val="28"/>
                <w:szCs w:val="28"/>
              </w:rPr>
            </w:pPr>
            <w:r>
              <w:rPr>
                <w:rFonts w:hint="eastAsia"/>
                <w:color w:val="auto"/>
                <w:sz w:val="28"/>
                <w:szCs w:val="28"/>
              </w:rPr>
              <w:t>本项目劳动定员20人，每天在厂职工20人，根据《环境统计手册》提供的系数，每人生活垃圾按照1kg/d·人计算，产生的垃圾量为20kg/d，5.4t/a。</w:t>
            </w:r>
          </w:p>
          <w:p>
            <w:pPr>
              <w:spacing w:line="520" w:lineRule="exact"/>
              <w:rPr>
                <w:b/>
                <w:color w:val="auto"/>
                <w:sz w:val="28"/>
                <w:szCs w:val="28"/>
              </w:rPr>
            </w:pPr>
            <w:r>
              <w:rPr>
                <w:rFonts w:hint="eastAsia"/>
                <w:b/>
                <w:color w:val="auto"/>
                <w:sz w:val="28"/>
                <w:szCs w:val="28"/>
              </w:rPr>
              <w:t>2.3.4危险废物</w:t>
            </w:r>
          </w:p>
          <w:p>
            <w:pPr>
              <w:tabs>
                <w:tab w:val="left" w:pos="720"/>
              </w:tabs>
              <w:spacing w:line="520" w:lineRule="exact"/>
              <w:ind w:firstLine="560" w:firstLineChars="200"/>
              <w:rPr>
                <w:color w:val="auto"/>
                <w:sz w:val="28"/>
                <w:szCs w:val="28"/>
              </w:rPr>
            </w:pPr>
            <w:r>
              <w:rPr>
                <w:rFonts w:hint="eastAsia"/>
                <w:color w:val="auto"/>
                <w:sz w:val="28"/>
                <w:szCs w:val="28"/>
              </w:rPr>
              <w:t>（1）废灯管</w:t>
            </w:r>
          </w:p>
          <w:p>
            <w:pPr>
              <w:tabs>
                <w:tab w:val="left" w:pos="720"/>
              </w:tabs>
              <w:spacing w:line="520" w:lineRule="exact"/>
              <w:ind w:firstLine="560" w:firstLineChars="200"/>
              <w:rPr>
                <w:color w:val="auto"/>
                <w:sz w:val="28"/>
                <w:szCs w:val="28"/>
              </w:rPr>
            </w:pPr>
            <w:r>
              <w:rPr>
                <w:rFonts w:hint="eastAsia"/>
                <w:color w:val="auto"/>
                <w:sz w:val="28"/>
                <w:szCs w:val="28"/>
              </w:rPr>
              <w:t>光氧净化装置使用过程中需定期对其灯管进行更换，以保障装置的处理效果，装置年更换灯管数量20支。</w:t>
            </w:r>
          </w:p>
          <w:p>
            <w:pPr>
              <w:tabs>
                <w:tab w:val="left" w:pos="720"/>
              </w:tabs>
              <w:spacing w:line="520" w:lineRule="exact"/>
              <w:ind w:firstLine="560" w:firstLineChars="200"/>
              <w:rPr>
                <w:color w:val="auto"/>
                <w:sz w:val="28"/>
                <w:szCs w:val="28"/>
              </w:rPr>
            </w:pPr>
            <w:r>
              <w:rPr>
                <w:rFonts w:hint="eastAsia"/>
                <w:color w:val="auto"/>
                <w:sz w:val="28"/>
                <w:szCs w:val="28"/>
              </w:rPr>
              <w:t>（2）废活性炭</w:t>
            </w:r>
          </w:p>
          <w:p>
            <w:pPr>
              <w:tabs>
                <w:tab w:val="left" w:pos="720"/>
              </w:tabs>
              <w:spacing w:line="520" w:lineRule="exact"/>
              <w:ind w:firstLine="560" w:firstLineChars="200"/>
              <w:rPr>
                <w:color w:val="auto"/>
                <w:sz w:val="28"/>
                <w:szCs w:val="28"/>
                <w:highlight w:val="yellow"/>
              </w:rPr>
            </w:pPr>
            <w:r>
              <w:rPr>
                <w:rFonts w:hint="eastAsia"/>
                <w:color w:val="auto"/>
                <w:sz w:val="28"/>
                <w:szCs w:val="28"/>
              </w:rPr>
              <w:t>项目产生的非甲烷总烃废气量共计6.2t/a，集气罩收集效率为90%，光催化氧化装置对非甲烷总烃去除效率为50%，处理后非甲烷总烃余量为2.79t/a，活性炭吸附效率按60%，吸附量为1.674t，活性炭对有机废气吸附容量为0.3～0.4kg/kg，取吸附容量0.3kg/kg计算得年产生废弃活性炭5.58t/a。</w:t>
            </w:r>
          </w:p>
          <w:p>
            <w:pPr>
              <w:spacing w:line="520" w:lineRule="exact"/>
              <w:ind w:firstLine="560" w:firstLineChars="200"/>
              <w:rPr>
                <w:color w:val="auto"/>
                <w:sz w:val="28"/>
                <w:szCs w:val="28"/>
              </w:rPr>
            </w:pPr>
            <w:r>
              <w:rPr>
                <w:rFonts w:hint="eastAsia"/>
                <w:color w:val="auto"/>
                <w:sz w:val="28"/>
                <w:szCs w:val="28"/>
              </w:rPr>
              <w:t>（3）废机油</w:t>
            </w:r>
          </w:p>
          <w:p>
            <w:pPr>
              <w:spacing w:line="520" w:lineRule="exact"/>
              <w:ind w:firstLine="560" w:firstLineChars="200"/>
              <w:rPr>
                <w:color w:val="auto"/>
                <w:sz w:val="28"/>
                <w:szCs w:val="28"/>
              </w:rPr>
            </w:pPr>
            <w:r>
              <w:rPr>
                <w:rFonts w:hint="eastAsia"/>
                <w:color w:val="auto"/>
                <w:sz w:val="28"/>
                <w:szCs w:val="28"/>
              </w:rPr>
              <w:t>各生产机械每年进行一次检修，每台设备检修过程中使用机油按0.5kg计量，厂区各类机械合计10台，则产生废机油量为5kg。</w:t>
            </w:r>
          </w:p>
          <w:p>
            <w:pPr>
              <w:widowControl/>
              <w:spacing w:line="520" w:lineRule="exact"/>
              <w:ind w:firstLine="560" w:firstLineChars="200"/>
              <w:rPr>
                <w:color w:val="auto"/>
                <w:sz w:val="28"/>
                <w:szCs w:val="28"/>
              </w:rPr>
            </w:pPr>
            <w:r>
              <w:rPr>
                <w:rFonts w:hint="eastAsia"/>
                <w:color w:val="auto"/>
                <w:sz w:val="28"/>
                <w:szCs w:val="28"/>
              </w:rPr>
              <w:t>根据《国家危险废物名录》（2021版），危险废物信息，见表12。</w:t>
            </w:r>
          </w:p>
          <w:p>
            <w:pPr>
              <w:pStyle w:val="104"/>
              <w:ind w:firstLine="480"/>
              <w:rPr>
                <w:color w:val="auto"/>
                <w:sz w:val="21"/>
              </w:rPr>
            </w:pPr>
            <w:r>
              <w:rPr>
                <w:rFonts w:hint="eastAsia"/>
                <w:color w:val="auto"/>
              </w:rPr>
              <w:t xml:space="preserve">表12  </w:t>
            </w:r>
            <w:r>
              <w:rPr>
                <w:color w:val="auto"/>
              </w:rPr>
              <w:t xml:space="preserve">     </w:t>
            </w:r>
            <w:r>
              <w:rPr>
                <w:rFonts w:hint="eastAsia"/>
                <w:color w:val="auto"/>
              </w:rPr>
              <w:t xml:space="preserve">   </w:t>
            </w:r>
            <w:r>
              <w:rPr>
                <w:color w:val="auto"/>
              </w:rPr>
              <w:t xml:space="preserve"> </w:t>
            </w:r>
            <w:r>
              <w:rPr>
                <w:rFonts w:hint="eastAsia"/>
                <w:color w:val="auto"/>
              </w:rPr>
              <w:t xml:space="preserve">  </w:t>
            </w:r>
            <w:r>
              <w:rPr>
                <w:color w:val="auto"/>
              </w:rPr>
              <w:t xml:space="preserve">  </w:t>
            </w:r>
            <w:r>
              <w:rPr>
                <w:rFonts w:hint="eastAsia"/>
                <w:color w:val="auto"/>
              </w:rPr>
              <w:t xml:space="preserve">  危险废物基本信息表</w:t>
            </w:r>
          </w:p>
          <w:tbl>
            <w:tblPr>
              <w:tblStyle w:val="24"/>
              <w:tblW w:w="0" w:type="auto"/>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851"/>
              <w:gridCol w:w="1559"/>
              <w:gridCol w:w="1276"/>
              <w:gridCol w:w="1417"/>
              <w:gridCol w:w="2537"/>
              <w:gridCol w:w="709"/>
              <w:gridCol w:w="68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51"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名  称</w:t>
                  </w:r>
                </w:p>
              </w:tc>
              <w:tc>
                <w:tcPr>
                  <w:tcW w:w="1559"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危废类别</w:t>
                  </w:r>
                </w:p>
              </w:tc>
              <w:tc>
                <w:tcPr>
                  <w:tcW w:w="1276"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行业来源</w:t>
                  </w:r>
                </w:p>
              </w:tc>
              <w:tc>
                <w:tcPr>
                  <w:tcW w:w="1417"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废物代码</w:t>
                  </w:r>
                </w:p>
              </w:tc>
              <w:tc>
                <w:tcPr>
                  <w:tcW w:w="2537" w:type="dxa"/>
                  <w:vAlign w:val="center"/>
                </w:tcPr>
                <w:p>
                  <w:pPr>
                    <w:pStyle w:val="103"/>
                    <w:rPr>
                      <w:rFonts w:ascii="Times New Roman" w:hAnsi="Times New Roman"/>
                      <w:color w:val="auto"/>
                    </w:rPr>
                  </w:pPr>
                  <w:r>
                    <w:rPr>
                      <w:rFonts w:hint="eastAsia" w:ascii="Times New Roman" w:hAnsi="Times New Roman"/>
                      <w:color w:val="auto"/>
                    </w:rPr>
                    <w:t>危险废物</w:t>
                  </w:r>
                </w:p>
              </w:tc>
              <w:tc>
                <w:tcPr>
                  <w:tcW w:w="709"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危险特性</w:t>
                  </w:r>
                </w:p>
              </w:tc>
              <w:tc>
                <w:tcPr>
                  <w:tcW w:w="584"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产生量t/a</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51"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废机油</w:t>
                  </w:r>
                </w:p>
              </w:tc>
              <w:tc>
                <w:tcPr>
                  <w:tcW w:w="1559"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HW08废矿物油与含矿物油的油废物</w:t>
                  </w:r>
                </w:p>
              </w:tc>
              <w:tc>
                <w:tcPr>
                  <w:tcW w:w="1276"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非特定行业</w:t>
                  </w:r>
                </w:p>
              </w:tc>
              <w:tc>
                <w:tcPr>
                  <w:tcW w:w="1417"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900-217-08</w:t>
                  </w:r>
                </w:p>
              </w:tc>
              <w:tc>
                <w:tcPr>
                  <w:tcW w:w="2537" w:type="dxa"/>
                  <w:vAlign w:val="center"/>
                </w:tcPr>
                <w:p>
                  <w:pPr>
                    <w:pStyle w:val="103"/>
                    <w:rPr>
                      <w:rFonts w:ascii="Times New Roman" w:hAnsi="Times New Roman"/>
                      <w:color w:val="auto"/>
                    </w:rPr>
                  </w:pPr>
                  <w:r>
                    <w:rPr>
                      <w:rFonts w:hint="eastAsia" w:ascii="Times New Roman" w:hAnsi="Times New Roman"/>
                      <w:color w:val="auto"/>
                    </w:rPr>
                    <w:t>使用工业齿轮油进行机械设备润滑过程中产生的废润滑油</w:t>
                  </w:r>
                </w:p>
              </w:tc>
              <w:tc>
                <w:tcPr>
                  <w:tcW w:w="709"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T，I</w:t>
                  </w:r>
                </w:p>
              </w:tc>
              <w:tc>
                <w:tcPr>
                  <w:tcW w:w="584"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0.005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51"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废灯管</w:t>
                  </w:r>
                </w:p>
              </w:tc>
              <w:tc>
                <w:tcPr>
                  <w:tcW w:w="1559"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HW29含汞废物</w:t>
                  </w:r>
                </w:p>
              </w:tc>
              <w:tc>
                <w:tcPr>
                  <w:tcW w:w="1276"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非特定行业</w:t>
                  </w:r>
                </w:p>
              </w:tc>
              <w:tc>
                <w:tcPr>
                  <w:tcW w:w="1417"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900-023-29</w:t>
                  </w:r>
                </w:p>
              </w:tc>
              <w:tc>
                <w:tcPr>
                  <w:tcW w:w="2537" w:type="dxa"/>
                  <w:vAlign w:val="center"/>
                </w:tcPr>
                <w:p>
                  <w:pPr>
                    <w:pStyle w:val="103"/>
                    <w:rPr>
                      <w:rFonts w:ascii="Times New Roman" w:hAnsi="Times New Roman"/>
                      <w:color w:val="auto"/>
                    </w:rPr>
                  </w:pPr>
                  <w:r>
                    <w:rPr>
                      <w:rFonts w:hint="eastAsia" w:ascii="Times New Roman" w:hAnsi="Times New Roman"/>
                      <w:color w:val="auto"/>
                    </w:rPr>
                    <w:t>生产、销售及使用过程中产生的废含汞荧光灯管及其他废含汞电光源</w:t>
                  </w:r>
                </w:p>
              </w:tc>
              <w:tc>
                <w:tcPr>
                  <w:tcW w:w="709"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T</w:t>
                  </w:r>
                </w:p>
              </w:tc>
              <w:tc>
                <w:tcPr>
                  <w:tcW w:w="584"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20支</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51"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废活</w:t>
                  </w:r>
                </w:p>
                <w:p>
                  <w:pPr>
                    <w:pStyle w:val="103"/>
                    <w:rPr>
                      <w:rFonts w:ascii="Times New Roman" w:hAnsi="Times New Roman"/>
                      <w:color w:val="auto"/>
                    </w:rPr>
                  </w:pPr>
                  <w:r>
                    <w:rPr>
                      <w:rFonts w:hint="eastAsia" w:ascii="Times New Roman" w:hAnsi="Times New Roman"/>
                      <w:color w:val="auto"/>
                    </w:rPr>
                    <w:t>性炭</w:t>
                  </w:r>
                </w:p>
              </w:tc>
              <w:tc>
                <w:tcPr>
                  <w:tcW w:w="1559"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HW49其他废物</w:t>
                  </w:r>
                </w:p>
              </w:tc>
              <w:tc>
                <w:tcPr>
                  <w:tcW w:w="1276"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非特定行业</w:t>
                  </w:r>
                </w:p>
              </w:tc>
              <w:tc>
                <w:tcPr>
                  <w:tcW w:w="1417" w:type="dxa"/>
                  <w:shd w:val="clear" w:color="auto" w:fill="auto"/>
                  <w:noWrap/>
                  <w:vAlign w:val="center"/>
                </w:tcPr>
                <w:p>
                  <w:pPr>
                    <w:pStyle w:val="103"/>
                    <w:rPr>
                      <w:rFonts w:ascii="Times New Roman" w:hAnsi="Times New Roman"/>
                      <w:color w:val="auto"/>
                    </w:rPr>
                  </w:pPr>
                  <w:r>
                    <w:rPr>
                      <w:rFonts w:ascii="Times New Roman" w:hAnsi="Times New Roman" w:cs="TimesNewRomanPSMT"/>
                      <w:color w:val="auto"/>
                      <w:kern w:val="0"/>
                    </w:rPr>
                    <w:t>900-0</w:t>
                  </w:r>
                  <w:r>
                    <w:rPr>
                      <w:rFonts w:hint="eastAsia" w:ascii="Times New Roman" w:hAnsi="Times New Roman" w:cs="TimesNewRomanPSMT"/>
                      <w:color w:val="auto"/>
                      <w:kern w:val="0"/>
                    </w:rPr>
                    <w:t>39</w:t>
                  </w:r>
                  <w:r>
                    <w:rPr>
                      <w:rFonts w:ascii="Times New Roman" w:hAnsi="Times New Roman" w:cs="TimesNewRomanPSMT"/>
                      <w:color w:val="auto"/>
                      <w:kern w:val="0"/>
                    </w:rPr>
                    <w:t>49</w:t>
                  </w:r>
                </w:p>
              </w:tc>
              <w:tc>
                <w:tcPr>
                  <w:tcW w:w="2537" w:type="dxa"/>
                  <w:vAlign w:val="center"/>
                </w:tcPr>
                <w:p>
                  <w:pPr>
                    <w:pStyle w:val="103"/>
                    <w:rPr>
                      <w:rFonts w:ascii="Times New Roman" w:hAnsi="Times New Roman"/>
                      <w:color w:val="auto"/>
                    </w:rPr>
                  </w:pPr>
                  <w:r>
                    <w:rPr>
                      <w:rFonts w:hint="eastAsia" w:ascii="Times New Roman" w:hAnsi="Times New Roman"/>
                      <w:color w:val="auto"/>
                    </w:rPr>
                    <w:t>烟气、VOCs治理过程（不包括餐饮行业油烟治理过程）产生的废活性炭</w:t>
                  </w:r>
                </w:p>
              </w:tc>
              <w:tc>
                <w:tcPr>
                  <w:tcW w:w="709" w:type="dxa"/>
                  <w:shd w:val="clear" w:color="auto" w:fill="auto"/>
                  <w:noWrap/>
                  <w:vAlign w:val="center"/>
                </w:tcPr>
                <w:p>
                  <w:pPr>
                    <w:pStyle w:val="103"/>
                    <w:rPr>
                      <w:rFonts w:ascii="Times New Roman" w:hAnsi="Times New Roman"/>
                      <w:color w:val="auto"/>
                    </w:rPr>
                  </w:pPr>
                  <w:r>
                    <w:rPr>
                      <w:rFonts w:ascii="Times New Roman" w:hAnsi="Times New Roman"/>
                      <w:color w:val="auto"/>
                    </w:rPr>
                    <w:t>T</w:t>
                  </w:r>
                </w:p>
              </w:tc>
              <w:tc>
                <w:tcPr>
                  <w:tcW w:w="584" w:type="dxa"/>
                  <w:shd w:val="clear" w:color="auto" w:fill="auto"/>
                  <w:noWrap/>
                  <w:vAlign w:val="center"/>
                </w:tcPr>
                <w:p>
                  <w:pPr>
                    <w:pStyle w:val="103"/>
                    <w:rPr>
                      <w:rFonts w:ascii="Times New Roman" w:hAnsi="Times New Roman"/>
                      <w:color w:val="auto"/>
                    </w:rPr>
                  </w:pPr>
                  <w:r>
                    <w:rPr>
                      <w:rFonts w:hint="eastAsia" w:ascii="Times New Roman" w:hAnsi="Times New Roman"/>
                      <w:color w:val="auto"/>
                    </w:rPr>
                    <w:t>5.58</w:t>
                  </w:r>
                </w:p>
              </w:tc>
            </w:tr>
          </w:tbl>
          <w:p>
            <w:pPr>
              <w:pStyle w:val="6"/>
              <w:spacing w:line="520" w:lineRule="exact"/>
              <w:jc w:val="both"/>
              <w:rPr>
                <w:color w:val="auto"/>
                <w:kern w:val="2"/>
              </w:rPr>
            </w:pPr>
            <w:r>
              <w:rPr>
                <w:color w:val="auto"/>
                <w:kern w:val="2"/>
              </w:rPr>
              <w:t>2.</w:t>
            </w:r>
            <w:r>
              <w:rPr>
                <w:rFonts w:hint="eastAsia"/>
                <w:color w:val="auto"/>
                <w:kern w:val="2"/>
              </w:rPr>
              <w:t>4</w:t>
            </w:r>
            <w:r>
              <w:rPr>
                <w:color w:val="auto"/>
                <w:kern w:val="2"/>
              </w:rPr>
              <w:t>噪声</w:t>
            </w:r>
          </w:p>
          <w:p>
            <w:pPr>
              <w:spacing w:line="520" w:lineRule="exact"/>
              <w:ind w:firstLine="560" w:firstLineChars="200"/>
              <w:rPr>
                <w:color w:val="auto"/>
                <w:sz w:val="28"/>
              </w:rPr>
            </w:pPr>
            <w:r>
              <w:rPr>
                <w:rFonts w:hint="eastAsia"/>
                <w:color w:val="auto"/>
                <w:sz w:val="28"/>
              </w:rPr>
              <w:t>本项目主要噪声声源为破碎机、PVC一次注射成型机、EVA一次成型注塑机、混色机、空压机等，等效声级70～82</w:t>
            </w:r>
            <w:r>
              <w:rPr>
                <w:color w:val="auto"/>
                <w:sz w:val="28"/>
              </w:rPr>
              <w:t>d</w:t>
            </w:r>
            <w:r>
              <w:rPr>
                <w:rFonts w:hint="eastAsia"/>
                <w:color w:val="auto"/>
                <w:sz w:val="28"/>
              </w:rPr>
              <w:t>B（A）。本项目劳动制度为每天8小时，产生的噪声为昼间连续性噪声。</w:t>
            </w:r>
            <w:r>
              <w:rPr>
                <w:color w:val="auto"/>
                <w:sz w:val="28"/>
                <w:szCs w:val="28"/>
              </w:rPr>
              <w:t>项目主要噪声源的噪声级情况见表</w:t>
            </w:r>
            <w:r>
              <w:rPr>
                <w:rFonts w:hint="eastAsia"/>
                <w:color w:val="auto"/>
                <w:sz w:val="28"/>
                <w:szCs w:val="28"/>
              </w:rPr>
              <w:t>13</w:t>
            </w:r>
            <w:r>
              <w:rPr>
                <w:color w:val="auto"/>
                <w:sz w:val="28"/>
                <w:szCs w:val="28"/>
              </w:rPr>
              <w:t>。</w:t>
            </w:r>
          </w:p>
          <w:p>
            <w:pPr>
              <w:ind w:firstLine="480" w:firstLineChars="200"/>
              <w:rPr>
                <w:rFonts w:eastAsia="黑体"/>
                <w:color w:val="auto"/>
                <w:kern w:val="0"/>
                <w:sz w:val="24"/>
              </w:rPr>
            </w:pPr>
            <w:r>
              <w:rPr>
                <w:rFonts w:eastAsia="黑体"/>
                <w:color w:val="auto"/>
                <w:kern w:val="0"/>
                <w:sz w:val="24"/>
              </w:rPr>
              <w:t>表</w:t>
            </w:r>
            <w:r>
              <w:rPr>
                <w:rFonts w:hint="eastAsia" w:eastAsia="黑体"/>
                <w:color w:val="auto"/>
                <w:kern w:val="0"/>
                <w:sz w:val="24"/>
              </w:rPr>
              <w:t>13</w:t>
            </w:r>
            <w:r>
              <w:rPr>
                <w:rFonts w:eastAsia="黑体"/>
                <w:color w:val="auto"/>
                <w:kern w:val="0"/>
                <w:sz w:val="24"/>
              </w:rPr>
              <w:t xml:space="preserve">                项目主要噪声源的声压级</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684"/>
              <w:gridCol w:w="2721"/>
              <w:gridCol w:w="1138"/>
              <w:gridCol w:w="1115"/>
              <w:gridCol w:w="1138"/>
              <w:gridCol w:w="911"/>
              <w:gridCol w:w="1364"/>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77"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序号</w:t>
                  </w:r>
                </w:p>
              </w:tc>
              <w:tc>
                <w:tcPr>
                  <w:tcW w:w="1499"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噪声源</w:t>
                  </w:r>
                </w:p>
              </w:tc>
              <w:tc>
                <w:tcPr>
                  <w:tcW w:w="627"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设备数量</w:t>
                  </w:r>
                </w:p>
              </w:tc>
              <w:tc>
                <w:tcPr>
                  <w:tcW w:w="614" w:type="pct"/>
                  <w:shd w:val="clear" w:color="auto" w:fill="auto"/>
                  <w:vAlign w:val="center"/>
                </w:tcPr>
                <w:p>
                  <w:pPr>
                    <w:widowControl/>
                    <w:jc w:val="center"/>
                    <w:rPr>
                      <w:color w:val="auto"/>
                      <w:kern w:val="0"/>
                      <w:szCs w:val="21"/>
                    </w:rPr>
                  </w:pPr>
                  <w:r>
                    <w:rPr>
                      <w:color w:val="auto"/>
                      <w:kern w:val="0"/>
                      <w:szCs w:val="21"/>
                    </w:rPr>
                    <w:t>dB</w:t>
                  </w:r>
                  <w:r>
                    <w:rPr>
                      <w:rFonts w:hint="eastAsia"/>
                      <w:color w:val="auto"/>
                      <w:kern w:val="0"/>
                      <w:szCs w:val="21"/>
                    </w:rPr>
                    <w:t>（A）</w:t>
                  </w:r>
                </w:p>
              </w:tc>
              <w:tc>
                <w:tcPr>
                  <w:tcW w:w="627"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检测距离</w:t>
                  </w:r>
                </w:p>
              </w:tc>
              <w:tc>
                <w:tcPr>
                  <w:tcW w:w="502"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位置</w:t>
                  </w:r>
                </w:p>
              </w:tc>
              <w:tc>
                <w:tcPr>
                  <w:tcW w:w="751"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声源性质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77" w:type="pct"/>
                  <w:shd w:val="clear" w:color="auto" w:fill="auto"/>
                  <w:noWrap/>
                  <w:vAlign w:val="center"/>
                </w:tcPr>
                <w:p>
                  <w:pPr>
                    <w:widowControl/>
                    <w:jc w:val="center"/>
                    <w:rPr>
                      <w:color w:val="auto"/>
                      <w:kern w:val="0"/>
                      <w:szCs w:val="21"/>
                    </w:rPr>
                  </w:pPr>
                  <w:r>
                    <w:rPr>
                      <w:rFonts w:hint="eastAsia"/>
                      <w:color w:val="auto"/>
                      <w:kern w:val="0"/>
                      <w:szCs w:val="21"/>
                    </w:rPr>
                    <w:t>1</w:t>
                  </w:r>
                </w:p>
              </w:tc>
              <w:tc>
                <w:tcPr>
                  <w:tcW w:w="2721" w:type="dxa"/>
                  <w:shd w:val="clear" w:color="auto" w:fill="auto"/>
                  <w:noWrap/>
                  <w:vAlign w:val="center"/>
                </w:tcPr>
                <w:p>
                  <w:pPr>
                    <w:jc w:val="center"/>
                    <w:rPr>
                      <w:rFonts w:ascii="宋体" w:hAnsi="宋体" w:cs="宋体"/>
                      <w:color w:val="auto"/>
                      <w:kern w:val="0"/>
                      <w:szCs w:val="21"/>
                    </w:rPr>
                  </w:pPr>
                  <w:r>
                    <w:rPr>
                      <w:rFonts w:hint="eastAsia"/>
                      <w:color w:val="auto"/>
                      <w:szCs w:val="21"/>
                    </w:rPr>
                    <w:t>EVA一次注射成型机</w:t>
                  </w:r>
                </w:p>
              </w:tc>
              <w:tc>
                <w:tcPr>
                  <w:tcW w:w="627" w:type="pct"/>
                  <w:shd w:val="clear" w:color="auto" w:fill="auto"/>
                  <w:noWrap/>
                  <w:vAlign w:val="center"/>
                </w:tcPr>
                <w:p>
                  <w:pPr>
                    <w:widowControl/>
                    <w:jc w:val="center"/>
                    <w:rPr>
                      <w:color w:val="auto"/>
                      <w:kern w:val="0"/>
                      <w:szCs w:val="21"/>
                    </w:rPr>
                  </w:pPr>
                  <w:r>
                    <w:rPr>
                      <w:rFonts w:hint="eastAsia"/>
                      <w:color w:val="auto"/>
                      <w:kern w:val="0"/>
                      <w:szCs w:val="21"/>
                    </w:rPr>
                    <w:t>1</w:t>
                  </w:r>
                </w:p>
              </w:tc>
              <w:tc>
                <w:tcPr>
                  <w:tcW w:w="614" w:type="pct"/>
                  <w:shd w:val="clear" w:color="auto" w:fill="auto"/>
                  <w:noWrap/>
                  <w:vAlign w:val="center"/>
                </w:tcPr>
                <w:p>
                  <w:pPr>
                    <w:jc w:val="center"/>
                    <w:rPr>
                      <w:color w:val="auto"/>
                      <w:szCs w:val="21"/>
                    </w:rPr>
                  </w:pPr>
                  <w:r>
                    <w:rPr>
                      <w:color w:val="auto"/>
                      <w:szCs w:val="21"/>
                    </w:rPr>
                    <w:t>75</w:t>
                  </w:r>
                </w:p>
              </w:tc>
              <w:tc>
                <w:tcPr>
                  <w:tcW w:w="627" w:type="pct"/>
                  <w:vMerge w:val="restart"/>
                  <w:vAlign w:val="center"/>
                </w:tcPr>
                <w:p>
                  <w:pPr>
                    <w:widowControl/>
                    <w:jc w:val="center"/>
                    <w:rPr>
                      <w:color w:val="auto"/>
                      <w:kern w:val="0"/>
                      <w:szCs w:val="21"/>
                    </w:rPr>
                  </w:pPr>
                  <w:r>
                    <w:rPr>
                      <w:rFonts w:hint="eastAsia"/>
                      <w:color w:val="auto"/>
                      <w:kern w:val="0"/>
                      <w:szCs w:val="21"/>
                    </w:rPr>
                    <w:t>1m</w:t>
                  </w:r>
                </w:p>
              </w:tc>
              <w:tc>
                <w:tcPr>
                  <w:tcW w:w="502" w:type="pct"/>
                  <w:vMerge w:val="restart"/>
                  <w:vAlign w:val="center"/>
                </w:tcPr>
                <w:p>
                  <w:pPr>
                    <w:widowControl/>
                    <w:jc w:val="center"/>
                    <w:rPr>
                      <w:rFonts w:ascii="宋体" w:hAnsi="宋体" w:cs="宋体"/>
                      <w:color w:val="auto"/>
                      <w:kern w:val="0"/>
                      <w:szCs w:val="21"/>
                    </w:rPr>
                  </w:pPr>
                  <w:r>
                    <w:rPr>
                      <w:rFonts w:hint="eastAsia" w:ascii="宋体" w:hAnsi="宋体" w:cs="宋体"/>
                      <w:color w:val="auto"/>
                      <w:kern w:val="0"/>
                      <w:szCs w:val="21"/>
                    </w:rPr>
                    <w:t>厂房内</w:t>
                  </w:r>
                </w:p>
              </w:tc>
              <w:tc>
                <w:tcPr>
                  <w:tcW w:w="751" w:type="pct"/>
                  <w:vMerge w:val="restart"/>
                  <w:vAlign w:val="center"/>
                </w:tcPr>
                <w:p>
                  <w:pPr>
                    <w:widowControl/>
                    <w:jc w:val="center"/>
                    <w:rPr>
                      <w:rFonts w:ascii="宋体" w:hAnsi="宋体" w:cs="宋体"/>
                      <w:color w:val="auto"/>
                      <w:kern w:val="0"/>
                      <w:szCs w:val="21"/>
                    </w:rPr>
                  </w:pPr>
                  <w:r>
                    <w:rPr>
                      <w:rFonts w:hint="eastAsia" w:ascii="宋体" w:hAnsi="宋体" w:cs="宋体"/>
                      <w:color w:val="auto"/>
                      <w:kern w:val="0"/>
                      <w:szCs w:val="21"/>
                    </w:rPr>
                    <w:t>连续声源</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77" w:type="pct"/>
                  <w:shd w:val="clear" w:color="auto" w:fill="auto"/>
                  <w:noWrap/>
                  <w:vAlign w:val="center"/>
                </w:tcPr>
                <w:p>
                  <w:pPr>
                    <w:widowControl/>
                    <w:jc w:val="center"/>
                    <w:rPr>
                      <w:color w:val="auto"/>
                      <w:kern w:val="0"/>
                      <w:szCs w:val="21"/>
                    </w:rPr>
                  </w:pPr>
                  <w:r>
                    <w:rPr>
                      <w:rFonts w:hint="eastAsia"/>
                      <w:color w:val="auto"/>
                      <w:kern w:val="0"/>
                      <w:szCs w:val="21"/>
                    </w:rPr>
                    <w:t>2</w:t>
                  </w:r>
                </w:p>
              </w:tc>
              <w:tc>
                <w:tcPr>
                  <w:tcW w:w="2721" w:type="dxa"/>
                  <w:shd w:val="clear" w:color="auto" w:fill="auto"/>
                  <w:noWrap/>
                  <w:vAlign w:val="center"/>
                </w:tcPr>
                <w:p>
                  <w:pPr>
                    <w:jc w:val="center"/>
                    <w:rPr>
                      <w:rFonts w:ascii="宋体" w:hAnsi="宋体" w:cs="宋体"/>
                      <w:color w:val="auto"/>
                      <w:kern w:val="0"/>
                      <w:szCs w:val="21"/>
                    </w:rPr>
                  </w:pPr>
                  <w:r>
                    <w:rPr>
                      <w:rFonts w:hint="eastAsia"/>
                      <w:color w:val="auto"/>
                      <w:szCs w:val="21"/>
                    </w:rPr>
                    <w:t>PVC一次注射成型机</w:t>
                  </w:r>
                </w:p>
              </w:tc>
              <w:tc>
                <w:tcPr>
                  <w:tcW w:w="627" w:type="pct"/>
                  <w:shd w:val="clear" w:color="auto" w:fill="auto"/>
                  <w:noWrap/>
                  <w:vAlign w:val="center"/>
                </w:tcPr>
                <w:p>
                  <w:pPr>
                    <w:widowControl/>
                    <w:jc w:val="center"/>
                    <w:rPr>
                      <w:color w:val="auto"/>
                      <w:kern w:val="0"/>
                      <w:szCs w:val="21"/>
                    </w:rPr>
                  </w:pPr>
                  <w:r>
                    <w:rPr>
                      <w:rFonts w:hint="eastAsia"/>
                      <w:color w:val="auto"/>
                      <w:kern w:val="0"/>
                      <w:szCs w:val="21"/>
                    </w:rPr>
                    <w:t>1</w:t>
                  </w:r>
                </w:p>
              </w:tc>
              <w:tc>
                <w:tcPr>
                  <w:tcW w:w="614" w:type="pct"/>
                  <w:shd w:val="clear" w:color="auto" w:fill="auto"/>
                  <w:noWrap/>
                  <w:vAlign w:val="center"/>
                </w:tcPr>
                <w:p>
                  <w:pPr>
                    <w:jc w:val="center"/>
                    <w:rPr>
                      <w:color w:val="auto"/>
                      <w:szCs w:val="21"/>
                    </w:rPr>
                  </w:pPr>
                  <w:r>
                    <w:rPr>
                      <w:rFonts w:hint="eastAsia"/>
                      <w:color w:val="auto"/>
                      <w:szCs w:val="21"/>
                    </w:rPr>
                    <w:t>72</w:t>
                  </w:r>
                </w:p>
              </w:tc>
              <w:tc>
                <w:tcPr>
                  <w:tcW w:w="627" w:type="pct"/>
                  <w:vMerge w:val="continue"/>
                  <w:vAlign w:val="center"/>
                </w:tcPr>
                <w:p>
                  <w:pPr>
                    <w:widowControl/>
                    <w:jc w:val="center"/>
                    <w:rPr>
                      <w:color w:val="auto"/>
                      <w:kern w:val="0"/>
                      <w:szCs w:val="21"/>
                    </w:rPr>
                  </w:pPr>
                </w:p>
              </w:tc>
              <w:tc>
                <w:tcPr>
                  <w:tcW w:w="502" w:type="pct"/>
                  <w:vMerge w:val="continue"/>
                  <w:vAlign w:val="center"/>
                </w:tcPr>
                <w:p>
                  <w:pPr>
                    <w:widowControl/>
                    <w:jc w:val="center"/>
                    <w:rPr>
                      <w:rFonts w:ascii="宋体" w:hAnsi="宋体" w:cs="宋体"/>
                      <w:color w:val="auto"/>
                      <w:kern w:val="0"/>
                      <w:szCs w:val="21"/>
                    </w:rPr>
                  </w:pPr>
                </w:p>
              </w:tc>
              <w:tc>
                <w:tcPr>
                  <w:tcW w:w="751" w:type="pct"/>
                  <w:vMerge w:val="continue"/>
                  <w:vAlign w:val="center"/>
                </w:tcPr>
                <w:p>
                  <w:pPr>
                    <w:widowControl/>
                    <w:jc w:val="center"/>
                    <w:rPr>
                      <w:rFonts w:ascii="宋体" w:hAnsi="宋体" w:cs="宋体"/>
                      <w:color w:val="auto"/>
                      <w:kern w:val="0"/>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77" w:type="pct"/>
                  <w:shd w:val="clear" w:color="auto" w:fill="auto"/>
                  <w:noWrap/>
                  <w:vAlign w:val="center"/>
                </w:tcPr>
                <w:p>
                  <w:pPr>
                    <w:widowControl/>
                    <w:jc w:val="center"/>
                    <w:rPr>
                      <w:color w:val="auto"/>
                      <w:kern w:val="0"/>
                      <w:szCs w:val="21"/>
                    </w:rPr>
                  </w:pPr>
                  <w:r>
                    <w:rPr>
                      <w:rFonts w:hint="eastAsia"/>
                      <w:color w:val="auto"/>
                      <w:kern w:val="0"/>
                      <w:szCs w:val="21"/>
                    </w:rPr>
                    <w:t>3</w:t>
                  </w:r>
                </w:p>
              </w:tc>
              <w:tc>
                <w:tcPr>
                  <w:tcW w:w="2721" w:type="dxa"/>
                  <w:shd w:val="clear" w:color="auto" w:fill="auto"/>
                  <w:noWrap/>
                  <w:vAlign w:val="center"/>
                </w:tcPr>
                <w:p>
                  <w:pPr>
                    <w:jc w:val="center"/>
                    <w:rPr>
                      <w:rFonts w:ascii="宋体" w:hAnsi="宋体" w:cs="宋体"/>
                      <w:color w:val="auto"/>
                      <w:kern w:val="0"/>
                      <w:szCs w:val="21"/>
                    </w:rPr>
                  </w:pPr>
                  <w:r>
                    <w:rPr>
                      <w:rFonts w:hint="eastAsia"/>
                      <w:color w:val="auto"/>
                      <w:szCs w:val="21"/>
                    </w:rPr>
                    <w:t>破碎机</w:t>
                  </w:r>
                </w:p>
              </w:tc>
              <w:tc>
                <w:tcPr>
                  <w:tcW w:w="627" w:type="pct"/>
                  <w:shd w:val="clear" w:color="auto" w:fill="auto"/>
                  <w:noWrap/>
                  <w:vAlign w:val="center"/>
                </w:tcPr>
                <w:p>
                  <w:pPr>
                    <w:widowControl/>
                    <w:jc w:val="center"/>
                    <w:rPr>
                      <w:color w:val="auto"/>
                      <w:kern w:val="0"/>
                      <w:szCs w:val="21"/>
                    </w:rPr>
                  </w:pPr>
                  <w:r>
                    <w:rPr>
                      <w:rFonts w:hint="eastAsia"/>
                      <w:color w:val="auto"/>
                      <w:kern w:val="0"/>
                      <w:szCs w:val="21"/>
                    </w:rPr>
                    <w:t>1</w:t>
                  </w:r>
                </w:p>
              </w:tc>
              <w:tc>
                <w:tcPr>
                  <w:tcW w:w="614" w:type="pct"/>
                  <w:shd w:val="clear" w:color="auto" w:fill="auto"/>
                  <w:noWrap/>
                  <w:vAlign w:val="center"/>
                </w:tcPr>
                <w:p>
                  <w:pPr>
                    <w:jc w:val="center"/>
                    <w:rPr>
                      <w:color w:val="auto"/>
                      <w:szCs w:val="21"/>
                    </w:rPr>
                  </w:pPr>
                  <w:r>
                    <w:rPr>
                      <w:rFonts w:hint="eastAsia"/>
                      <w:color w:val="auto"/>
                      <w:szCs w:val="21"/>
                    </w:rPr>
                    <w:t>82</w:t>
                  </w:r>
                </w:p>
              </w:tc>
              <w:tc>
                <w:tcPr>
                  <w:tcW w:w="627" w:type="pct"/>
                  <w:vMerge w:val="continue"/>
                  <w:vAlign w:val="center"/>
                </w:tcPr>
                <w:p>
                  <w:pPr>
                    <w:widowControl/>
                    <w:jc w:val="center"/>
                    <w:rPr>
                      <w:color w:val="auto"/>
                      <w:kern w:val="0"/>
                      <w:szCs w:val="21"/>
                    </w:rPr>
                  </w:pPr>
                </w:p>
              </w:tc>
              <w:tc>
                <w:tcPr>
                  <w:tcW w:w="502" w:type="pct"/>
                  <w:vMerge w:val="continue"/>
                  <w:vAlign w:val="center"/>
                </w:tcPr>
                <w:p>
                  <w:pPr>
                    <w:widowControl/>
                    <w:jc w:val="center"/>
                    <w:rPr>
                      <w:rFonts w:ascii="宋体" w:hAnsi="宋体" w:cs="宋体"/>
                      <w:color w:val="auto"/>
                      <w:kern w:val="0"/>
                      <w:szCs w:val="21"/>
                    </w:rPr>
                  </w:pPr>
                </w:p>
              </w:tc>
              <w:tc>
                <w:tcPr>
                  <w:tcW w:w="751" w:type="pct"/>
                  <w:vMerge w:val="continue"/>
                  <w:vAlign w:val="center"/>
                </w:tcPr>
                <w:p>
                  <w:pPr>
                    <w:widowControl/>
                    <w:jc w:val="center"/>
                    <w:rPr>
                      <w:rFonts w:ascii="宋体" w:hAnsi="宋体" w:cs="宋体"/>
                      <w:color w:val="auto"/>
                      <w:kern w:val="0"/>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77" w:type="pct"/>
                  <w:shd w:val="clear" w:color="auto" w:fill="auto"/>
                  <w:noWrap/>
                  <w:vAlign w:val="center"/>
                </w:tcPr>
                <w:p>
                  <w:pPr>
                    <w:widowControl/>
                    <w:jc w:val="center"/>
                    <w:rPr>
                      <w:color w:val="auto"/>
                      <w:kern w:val="0"/>
                      <w:szCs w:val="21"/>
                    </w:rPr>
                  </w:pPr>
                  <w:r>
                    <w:rPr>
                      <w:rFonts w:hint="eastAsia"/>
                      <w:color w:val="auto"/>
                      <w:kern w:val="0"/>
                      <w:szCs w:val="21"/>
                    </w:rPr>
                    <w:t>4</w:t>
                  </w:r>
                </w:p>
              </w:tc>
              <w:tc>
                <w:tcPr>
                  <w:tcW w:w="2721" w:type="dxa"/>
                  <w:shd w:val="clear" w:color="auto" w:fill="auto"/>
                  <w:noWrap/>
                  <w:vAlign w:val="center"/>
                </w:tcPr>
                <w:p>
                  <w:pPr>
                    <w:jc w:val="center"/>
                    <w:rPr>
                      <w:rFonts w:ascii="宋体" w:hAnsi="宋体" w:cs="宋体"/>
                      <w:color w:val="auto"/>
                      <w:kern w:val="0"/>
                      <w:szCs w:val="21"/>
                    </w:rPr>
                  </w:pPr>
                  <w:r>
                    <w:rPr>
                      <w:rFonts w:hint="eastAsia"/>
                      <w:color w:val="auto"/>
                      <w:szCs w:val="21"/>
                    </w:rPr>
                    <w:t>空压机</w:t>
                  </w:r>
                </w:p>
              </w:tc>
              <w:tc>
                <w:tcPr>
                  <w:tcW w:w="627" w:type="pct"/>
                  <w:shd w:val="clear" w:color="auto" w:fill="auto"/>
                  <w:noWrap/>
                  <w:vAlign w:val="center"/>
                </w:tcPr>
                <w:p>
                  <w:pPr>
                    <w:widowControl/>
                    <w:jc w:val="center"/>
                    <w:rPr>
                      <w:color w:val="auto"/>
                      <w:kern w:val="0"/>
                      <w:szCs w:val="21"/>
                    </w:rPr>
                  </w:pPr>
                  <w:r>
                    <w:rPr>
                      <w:color w:val="auto"/>
                      <w:kern w:val="0"/>
                      <w:szCs w:val="21"/>
                    </w:rPr>
                    <w:t>1</w:t>
                  </w:r>
                </w:p>
              </w:tc>
              <w:tc>
                <w:tcPr>
                  <w:tcW w:w="614" w:type="pct"/>
                  <w:shd w:val="clear" w:color="auto" w:fill="auto"/>
                  <w:noWrap/>
                  <w:vAlign w:val="center"/>
                </w:tcPr>
                <w:p>
                  <w:pPr>
                    <w:jc w:val="center"/>
                    <w:rPr>
                      <w:color w:val="auto"/>
                      <w:szCs w:val="21"/>
                    </w:rPr>
                  </w:pPr>
                  <w:r>
                    <w:rPr>
                      <w:color w:val="auto"/>
                      <w:szCs w:val="21"/>
                    </w:rPr>
                    <w:t>77</w:t>
                  </w:r>
                </w:p>
              </w:tc>
              <w:tc>
                <w:tcPr>
                  <w:tcW w:w="627" w:type="pct"/>
                  <w:vMerge w:val="continue"/>
                  <w:vAlign w:val="center"/>
                </w:tcPr>
                <w:p>
                  <w:pPr>
                    <w:widowControl/>
                    <w:jc w:val="center"/>
                    <w:rPr>
                      <w:color w:val="auto"/>
                      <w:kern w:val="0"/>
                      <w:szCs w:val="21"/>
                    </w:rPr>
                  </w:pPr>
                </w:p>
              </w:tc>
              <w:tc>
                <w:tcPr>
                  <w:tcW w:w="502" w:type="pct"/>
                  <w:vMerge w:val="continue"/>
                  <w:vAlign w:val="center"/>
                </w:tcPr>
                <w:p>
                  <w:pPr>
                    <w:widowControl/>
                    <w:jc w:val="center"/>
                    <w:rPr>
                      <w:rFonts w:ascii="宋体" w:hAnsi="宋体" w:cs="宋体"/>
                      <w:color w:val="auto"/>
                      <w:kern w:val="0"/>
                      <w:szCs w:val="21"/>
                    </w:rPr>
                  </w:pPr>
                </w:p>
              </w:tc>
              <w:tc>
                <w:tcPr>
                  <w:tcW w:w="751" w:type="pct"/>
                  <w:vMerge w:val="continue"/>
                  <w:vAlign w:val="center"/>
                </w:tcPr>
                <w:p>
                  <w:pPr>
                    <w:widowControl/>
                    <w:jc w:val="center"/>
                    <w:rPr>
                      <w:rFonts w:ascii="宋体" w:hAnsi="宋体" w:cs="宋体"/>
                      <w:color w:val="auto"/>
                      <w:kern w:val="0"/>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77" w:type="pct"/>
                  <w:shd w:val="clear" w:color="auto" w:fill="auto"/>
                  <w:noWrap/>
                  <w:vAlign w:val="center"/>
                </w:tcPr>
                <w:p>
                  <w:pPr>
                    <w:widowControl/>
                    <w:jc w:val="center"/>
                    <w:rPr>
                      <w:color w:val="auto"/>
                      <w:kern w:val="0"/>
                      <w:szCs w:val="21"/>
                    </w:rPr>
                  </w:pPr>
                  <w:r>
                    <w:rPr>
                      <w:rFonts w:hint="eastAsia"/>
                      <w:color w:val="auto"/>
                      <w:kern w:val="0"/>
                      <w:szCs w:val="21"/>
                    </w:rPr>
                    <w:t>5</w:t>
                  </w:r>
                </w:p>
              </w:tc>
              <w:tc>
                <w:tcPr>
                  <w:tcW w:w="2721" w:type="dxa"/>
                  <w:shd w:val="clear" w:color="auto" w:fill="auto"/>
                  <w:noWrap/>
                  <w:vAlign w:val="center"/>
                </w:tcPr>
                <w:p>
                  <w:pPr>
                    <w:jc w:val="center"/>
                    <w:rPr>
                      <w:rFonts w:ascii="宋体" w:hAnsi="宋体" w:cs="宋体"/>
                      <w:color w:val="auto"/>
                      <w:kern w:val="0"/>
                      <w:szCs w:val="21"/>
                    </w:rPr>
                  </w:pPr>
                  <w:r>
                    <w:rPr>
                      <w:rFonts w:hint="eastAsia"/>
                      <w:color w:val="auto"/>
                      <w:szCs w:val="21"/>
                    </w:rPr>
                    <w:t>混色机</w:t>
                  </w:r>
                </w:p>
              </w:tc>
              <w:tc>
                <w:tcPr>
                  <w:tcW w:w="627" w:type="pct"/>
                  <w:shd w:val="clear" w:color="auto" w:fill="auto"/>
                  <w:noWrap/>
                  <w:vAlign w:val="center"/>
                </w:tcPr>
                <w:p>
                  <w:pPr>
                    <w:widowControl/>
                    <w:jc w:val="center"/>
                    <w:rPr>
                      <w:color w:val="auto"/>
                      <w:kern w:val="0"/>
                      <w:szCs w:val="21"/>
                    </w:rPr>
                  </w:pPr>
                  <w:r>
                    <w:rPr>
                      <w:rFonts w:hint="eastAsia"/>
                      <w:color w:val="auto"/>
                      <w:kern w:val="0"/>
                      <w:szCs w:val="21"/>
                    </w:rPr>
                    <w:t>1</w:t>
                  </w:r>
                </w:p>
              </w:tc>
              <w:tc>
                <w:tcPr>
                  <w:tcW w:w="614" w:type="pct"/>
                  <w:shd w:val="clear" w:color="auto" w:fill="auto"/>
                  <w:noWrap/>
                  <w:vAlign w:val="center"/>
                </w:tcPr>
                <w:p>
                  <w:pPr>
                    <w:jc w:val="center"/>
                    <w:rPr>
                      <w:color w:val="auto"/>
                      <w:szCs w:val="21"/>
                    </w:rPr>
                  </w:pPr>
                  <w:r>
                    <w:rPr>
                      <w:rFonts w:hint="eastAsia"/>
                      <w:color w:val="auto"/>
                      <w:szCs w:val="21"/>
                    </w:rPr>
                    <w:t>73</w:t>
                  </w:r>
                </w:p>
              </w:tc>
              <w:tc>
                <w:tcPr>
                  <w:tcW w:w="627" w:type="pct"/>
                  <w:vMerge w:val="continue"/>
                  <w:vAlign w:val="center"/>
                </w:tcPr>
                <w:p>
                  <w:pPr>
                    <w:widowControl/>
                    <w:jc w:val="center"/>
                    <w:rPr>
                      <w:color w:val="auto"/>
                      <w:kern w:val="0"/>
                      <w:szCs w:val="21"/>
                    </w:rPr>
                  </w:pPr>
                </w:p>
              </w:tc>
              <w:tc>
                <w:tcPr>
                  <w:tcW w:w="502" w:type="pct"/>
                  <w:vMerge w:val="continue"/>
                  <w:vAlign w:val="center"/>
                </w:tcPr>
                <w:p>
                  <w:pPr>
                    <w:widowControl/>
                    <w:jc w:val="center"/>
                    <w:rPr>
                      <w:rFonts w:ascii="宋体" w:hAnsi="宋体" w:cs="宋体"/>
                      <w:color w:val="auto"/>
                      <w:kern w:val="0"/>
                      <w:szCs w:val="21"/>
                    </w:rPr>
                  </w:pPr>
                </w:p>
              </w:tc>
              <w:tc>
                <w:tcPr>
                  <w:tcW w:w="751" w:type="pct"/>
                  <w:vMerge w:val="continue"/>
                  <w:vAlign w:val="center"/>
                </w:tcPr>
                <w:p>
                  <w:pPr>
                    <w:widowControl/>
                    <w:jc w:val="center"/>
                    <w:rPr>
                      <w:rFonts w:ascii="宋体" w:hAnsi="宋体" w:cs="宋体"/>
                      <w:color w:val="auto"/>
                      <w:kern w:val="0"/>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77" w:type="pct"/>
                  <w:shd w:val="clear" w:color="auto" w:fill="auto"/>
                  <w:noWrap/>
                  <w:vAlign w:val="center"/>
                </w:tcPr>
                <w:p>
                  <w:pPr>
                    <w:widowControl/>
                    <w:jc w:val="center"/>
                    <w:rPr>
                      <w:color w:val="auto"/>
                      <w:kern w:val="0"/>
                      <w:szCs w:val="21"/>
                    </w:rPr>
                  </w:pPr>
                  <w:r>
                    <w:rPr>
                      <w:rFonts w:hint="eastAsia"/>
                      <w:color w:val="auto"/>
                      <w:kern w:val="0"/>
                      <w:szCs w:val="21"/>
                    </w:rPr>
                    <w:t>6</w:t>
                  </w:r>
                </w:p>
              </w:tc>
              <w:tc>
                <w:tcPr>
                  <w:tcW w:w="2721" w:type="dxa"/>
                  <w:shd w:val="clear" w:color="auto" w:fill="auto"/>
                  <w:noWrap/>
                  <w:vAlign w:val="center"/>
                </w:tcPr>
                <w:p>
                  <w:pPr>
                    <w:jc w:val="center"/>
                    <w:rPr>
                      <w:rFonts w:ascii="宋体" w:hAnsi="宋体" w:cs="宋体"/>
                      <w:color w:val="auto"/>
                      <w:kern w:val="0"/>
                      <w:sz w:val="22"/>
                      <w:szCs w:val="22"/>
                    </w:rPr>
                  </w:pPr>
                  <w:r>
                    <w:rPr>
                      <w:rFonts w:hint="eastAsia"/>
                      <w:color w:val="auto"/>
                      <w:szCs w:val="21"/>
                    </w:rPr>
                    <w:t>冷却塔</w:t>
                  </w:r>
                </w:p>
              </w:tc>
              <w:tc>
                <w:tcPr>
                  <w:tcW w:w="627" w:type="pct"/>
                  <w:shd w:val="clear" w:color="auto" w:fill="auto"/>
                  <w:noWrap/>
                  <w:vAlign w:val="center"/>
                </w:tcPr>
                <w:p>
                  <w:pPr>
                    <w:widowControl/>
                    <w:jc w:val="center"/>
                    <w:rPr>
                      <w:color w:val="auto"/>
                      <w:kern w:val="0"/>
                      <w:szCs w:val="21"/>
                    </w:rPr>
                  </w:pPr>
                  <w:r>
                    <w:rPr>
                      <w:rFonts w:hint="eastAsia"/>
                      <w:color w:val="auto"/>
                      <w:kern w:val="0"/>
                      <w:szCs w:val="21"/>
                    </w:rPr>
                    <w:t>1</w:t>
                  </w:r>
                </w:p>
              </w:tc>
              <w:tc>
                <w:tcPr>
                  <w:tcW w:w="614" w:type="pct"/>
                  <w:shd w:val="clear" w:color="auto" w:fill="auto"/>
                  <w:noWrap/>
                  <w:vAlign w:val="center"/>
                </w:tcPr>
                <w:p>
                  <w:pPr>
                    <w:jc w:val="center"/>
                    <w:rPr>
                      <w:color w:val="auto"/>
                      <w:szCs w:val="21"/>
                    </w:rPr>
                  </w:pPr>
                  <w:r>
                    <w:rPr>
                      <w:rFonts w:hint="eastAsia"/>
                      <w:color w:val="auto"/>
                      <w:szCs w:val="21"/>
                    </w:rPr>
                    <w:t>70</w:t>
                  </w:r>
                </w:p>
              </w:tc>
              <w:tc>
                <w:tcPr>
                  <w:tcW w:w="627" w:type="pct"/>
                  <w:vMerge w:val="continue"/>
                  <w:shd w:val="clear" w:color="auto" w:fill="auto"/>
                  <w:noWrap/>
                  <w:vAlign w:val="center"/>
                </w:tcPr>
                <w:p>
                  <w:pPr>
                    <w:widowControl/>
                    <w:jc w:val="center"/>
                    <w:rPr>
                      <w:rFonts w:ascii="宋体" w:hAnsi="宋体" w:cs="宋体"/>
                      <w:color w:val="auto"/>
                      <w:kern w:val="0"/>
                      <w:sz w:val="22"/>
                      <w:szCs w:val="22"/>
                    </w:rPr>
                  </w:pPr>
                </w:p>
              </w:tc>
              <w:tc>
                <w:tcPr>
                  <w:tcW w:w="502" w:type="pct"/>
                  <w:vMerge w:val="continue"/>
                  <w:shd w:val="clear" w:color="auto" w:fill="auto"/>
                  <w:noWrap/>
                  <w:vAlign w:val="center"/>
                </w:tcPr>
                <w:p>
                  <w:pPr>
                    <w:widowControl/>
                    <w:jc w:val="center"/>
                    <w:rPr>
                      <w:rFonts w:ascii="宋体" w:hAnsi="宋体" w:cs="宋体"/>
                      <w:color w:val="auto"/>
                      <w:kern w:val="0"/>
                      <w:sz w:val="22"/>
                      <w:szCs w:val="22"/>
                    </w:rPr>
                  </w:pPr>
                </w:p>
              </w:tc>
              <w:tc>
                <w:tcPr>
                  <w:tcW w:w="751" w:type="pct"/>
                  <w:vMerge w:val="continue"/>
                  <w:vAlign w:val="center"/>
                </w:tcPr>
                <w:p>
                  <w:pPr>
                    <w:widowControl/>
                    <w:jc w:val="center"/>
                    <w:rPr>
                      <w:rFonts w:ascii="宋体" w:hAnsi="宋体" w:cs="宋体"/>
                      <w:color w:val="auto"/>
                      <w:kern w:val="0"/>
                      <w:szCs w:val="21"/>
                    </w:rPr>
                  </w:pPr>
                </w:p>
              </w:tc>
            </w:tr>
          </w:tbl>
          <w:p>
            <w:pPr>
              <w:spacing w:line="520" w:lineRule="exact"/>
              <w:ind w:firstLine="560" w:firstLineChars="200"/>
              <w:rPr>
                <w:color w:val="auto"/>
                <w:sz w:val="28"/>
                <w:szCs w:val="28"/>
              </w:rPr>
            </w:pPr>
            <w:r>
              <w:rPr>
                <w:rFonts w:hint="eastAsia"/>
                <w:color w:val="auto"/>
                <w:sz w:val="28"/>
                <w:szCs w:val="28"/>
              </w:rPr>
              <w:t>噪声叠加</w:t>
            </w:r>
            <w:r>
              <w:rPr>
                <w:color w:val="auto"/>
                <w:sz w:val="28"/>
                <w:szCs w:val="28"/>
              </w:rPr>
              <w:t>的计算公式为：</w:t>
            </w:r>
          </w:p>
          <w:p>
            <w:pPr>
              <w:jc w:val="center"/>
              <w:rPr>
                <w:color w:val="auto"/>
                <w:sz w:val="24"/>
              </w:rPr>
            </w:pPr>
            <w:r>
              <w:rPr>
                <w:color w:val="auto"/>
                <w:position w:val="-30"/>
                <w:sz w:val="24"/>
              </w:rPr>
              <w:object>
                <v:shape id="_x0000_i1029" o:spt="75" type="#_x0000_t75" style="height:43.2pt;width:125.85pt;" o:ole="t" filled="f" o:preferrelative="t" stroked="f" coordsize="21600,21600">
                  <v:path/>
                  <v:fill on="f" focussize="0,0"/>
                  <v:stroke on="f" joinstyle="miter"/>
                  <v:imagedata r:id="rId21" embosscolor="#FFFFFF" o:title=""/>
                  <o:lock v:ext="edit" aspectratio="t"/>
                  <w10:wrap type="none"/>
                  <w10:anchorlock/>
                </v:shape>
                <o:OLEObject Type="Embed" ProgID="Equation.3" ShapeID="_x0000_i1029" DrawAspect="Content" ObjectID="_1468075729" r:id="rId20">
                  <o:LockedField>false</o:LockedField>
                </o:OLEObject>
              </w:object>
            </w:r>
          </w:p>
          <w:p>
            <w:pPr>
              <w:spacing w:line="520" w:lineRule="exact"/>
              <w:ind w:firstLine="560" w:firstLineChars="200"/>
              <w:rPr>
                <w:color w:val="auto"/>
                <w:sz w:val="28"/>
                <w:szCs w:val="28"/>
              </w:rPr>
            </w:pPr>
            <w:r>
              <w:rPr>
                <w:color w:val="auto"/>
                <w:sz w:val="28"/>
                <w:szCs w:val="28"/>
              </w:rPr>
              <w:t>式中：</w:t>
            </w:r>
            <w:r>
              <w:rPr>
                <w:color w:val="auto"/>
                <w:sz w:val="28"/>
                <w:szCs w:val="28"/>
              </w:rPr>
              <w:object>
                <v:shape id="_x0000_i1030" o:spt="75" type="#_x0000_t75" style="height:16.9pt;width:16.3pt;" o:ole="t" filled="f" o:preferrelative="t" stroked="f" coordsize="21600,21600">
                  <v:path/>
                  <v:fill on="f" focussize="0,0"/>
                  <v:stroke on="f" joinstyle="miter"/>
                  <v:imagedata r:id="rId23" embosscolor="#FFFFFF" o:title=""/>
                  <o:lock v:ext="edit" aspectratio="t"/>
                  <w10:wrap type="none"/>
                  <w10:anchorlock/>
                </v:shape>
                <o:OLEObject Type="Embed" ProgID="Equation.3" ShapeID="_x0000_i1030" DrawAspect="Content" ObjectID="_1468075730" r:id="rId22">
                  <o:LockedField>false</o:LockedField>
                </o:OLEObject>
              </w:object>
            </w:r>
            <w:r>
              <w:rPr>
                <w:color w:val="auto"/>
                <w:sz w:val="28"/>
                <w:szCs w:val="28"/>
              </w:rPr>
              <w:t>—多个噪声源叠加的综合噪声声</w:t>
            </w:r>
            <w:r>
              <w:rPr>
                <w:rFonts w:hint="eastAsia"/>
                <w:color w:val="auto"/>
                <w:sz w:val="28"/>
                <w:szCs w:val="28"/>
              </w:rPr>
              <w:t>压</w:t>
            </w:r>
            <w:r>
              <w:rPr>
                <w:color w:val="auto"/>
                <w:sz w:val="28"/>
                <w:szCs w:val="28"/>
              </w:rPr>
              <w:t>级，dB（A）；</w:t>
            </w:r>
          </w:p>
          <w:p>
            <w:pPr>
              <w:spacing w:line="520" w:lineRule="exact"/>
              <w:ind w:firstLine="1400" w:firstLineChars="500"/>
              <w:rPr>
                <w:color w:val="auto"/>
                <w:sz w:val="28"/>
                <w:szCs w:val="28"/>
              </w:rPr>
            </w:pPr>
            <w:r>
              <w:rPr>
                <w:color w:val="auto"/>
                <w:sz w:val="28"/>
                <w:szCs w:val="28"/>
              </w:rPr>
              <w:object>
                <v:shape id="_x0000_i1031" o:spt="75" type="#_x0000_t75" style="height:18.15pt;width:11.9pt;" o:ole="t" filled="f" o:preferrelative="t" stroked="f" coordsize="21600,21600">
                  <v:path/>
                  <v:fill on="f" focussize="0,0"/>
                  <v:stroke on="f" joinstyle="miter"/>
                  <v:imagedata r:id="rId25" embosscolor="#FFFFFF" o:title=""/>
                  <o:lock v:ext="edit" aspectratio="t"/>
                  <w10:wrap type="none"/>
                  <w10:anchorlock/>
                </v:shape>
                <o:OLEObject Type="Embed" ProgID="Equation.3" ShapeID="_x0000_i1031" DrawAspect="Content" ObjectID="_1468075731" r:id="rId24">
                  <o:LockedField>false</o:LockedField>
                </o:OLEObject>
              </w:object>
            </w:r>
            <w:r>
              <w:rPr>
                <w:color w:val="auto"/>
                <w:sz w:val="28"/>
                <w:szCs w:val="28"/>
              </w:rPr>
              <w:t>—第i个噪声源的声</w:t>
            </w:r>
            <w:r>
              <w:rPr>
                <w:rFonts w:hint="eastAsia"/>
                <w:color w:val="auto"/>
                <w:sz w:val="28"/>
                <w:szCs w:val="28"/>
              </w:rPr>
              <w:t>压</w:t>
            </w:r>
            <w:r>
              <w:rPr>
                <w:color w:val="auto"/>
                <w:sz w:val="28"/>
                <w:szCs w:val="28"/>
              </w:rPr>
              <w:t>级，dB（A）；</w:t>
            </w:r>
          </w:p>
          <w:p>
            <w:pPr>
              <w:widowControl/>
              <w:spacing w:line="520" w:lineRule="exact"/>
              <w:ind w:firstLine="1400" w:firstLineChars="500"/>
              <w:rPr>
                <w:color w:val="auto"/>
                <w:sz w:val="28"/>
                <w:szCs w:val="28"/>
              </w:rPr>
            </w:pPr>
            <w:r>
              <w:rPr>
                <w:color w:val="auto"/>
                <w:sz w:val="28"/>
                <w:szCs w:val="28"/>
              </w:rPr>
              <w:object>
                <v:shape id="_x0000_i1032" o:spt="75" type="#_x0000_t75" style="height:11.9pt;width:10.65pt;" o:ole="t" filled="f" o:preferrelative="t" stroked="f" coordsize="21600,21600">
                  <v:path/>
                  <v:fill on="f" focussize="0,0"/>
                  <v:stroke on="f" joinstyle="miter"/>
                  <v:imagedata r:id="rId27" embosscolor="#FFFFFF" o:title=""/>
                  <o:lock v:ext="edit" aspectratio="t"/>
                  <w10:wrap type="none"/>
                  <w10:anchorlock/>
                </v:shape>
                <o:OLEObject Type="Embed" ProgID="Equation.3" ShapeID="_x0000_i1032" DrawAspect="Content" ObjectID="_1468075732" r:id="rId26">
                  <o:LockedField>false</o:LockedField>
                </o:OLEObject>
              </w:object>
            </w:r>
            <w:r>
              <w:rPr>
                <w:color w:val="auto"/>
                <w:sz w:val="28"/>
                <w:szCs w:val="28"/>
              </w:rPr>
              <w:t>—噪声源的个数。</w:t>
            </w:r>
          </w:p>
          <w:p>
            <w:pPr>
              <w:spacing w:line="520" w:lineRule="exact"/>
              <w:ind w:firstLine="560" w:firstLineChars="200"/>
              <w:rPr>
                <w:color w:val="auto"/>
                <w:sz w:val="28"/>
                <w:szCs w:val="28"/>
              </w:rPr>
            </w:pPr>
            <w:r>
              <w:rPr>
                <w:rFonts w:hint="eastAsia"/>
                <w:color w:val="auto"/>
                <w:sz w:val="28"/>
                <w:szCs w:val="28"/>
              </w:rPr>
              <w:t>经计算，本项目各生产设备噪声叠加值为84.56</w:t>
            </w:r>
            <w:r>
              <w:rPr>
                <w:color w:val="auto"/>
                <w:sz w:val="28"/>
                <w:szCs w:val="28"/>
              </w:rPr>
              <w:t>dB（A）</w:t>
            </w:r>
            <w:r>
              <w:rPr>
                <w:rFonts w:hint="eastAsia"/>
                <w:color w:val="auto"/>
                <w:sz w:val="28"/>
                <w:szCs w:val="28"/>
              </w:rPr>
              <w:t>。</w:t>
            </w:r>
          </w:p>
          <w:p>
            <w:pPr>
              <w:widowControl/>
              <w:spacing w:line="520" w:lineRule="exact"/>
              <w:ind w:firstLine="420" w:firstLineChars="200"/>
              <w:jc w:val="left"/>
              <w:rPr>
                <w:color w:val="auto"/>
              </w:rPr>
            </w:pPr>
          </w:p>
        </w:tc>
      </w:tr>
    </w:tbl>
    <w:p>
      <w:pPr>
        <w:pStyle w:val="6"/>
        <w:rPr>
          <w:color w:val="auto"/>
        </w:rPr>
      </w:pPr>
      <w:r>
        <w:rPr>
          <w:b w:val="0"/>
          <w:color w:val="auto"/>
        </w:rPr>
        <w:br w:type="page"/>
      </w:r>
      <w:r>
        <w:rPr>
          <w:color w:val="auto"/>
        </w:rPr>
        <w:t>项目主要污染物产生及预计排放情况</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7"/>
        <w:gridCol w:w="1486"/>
        <w:gridCol w:w="1752"/>
        <w:gridCol w:w="2272"/>
        <w:gridCol w:w="25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61" w:type="pct"/>
            <w:tcBorders>
              <w:top w:val="single" w:color="auto" w:sz="12" w:space="0"/>
              <w:left w:val="single" w:color="auto" w:sz="4" w:space="0"/>
              <w:tl2br w:val="single" w:color="auto" w:sz="4" w:space="0"/>
            </w:tcBorders>
            <w:vAlign w:val="center"/>
          </w:tcPr>
          <w:p>
            <w:pPr>
              <w:spacing w:line="288" w:lineRule="auto"/>
              <w:jc w:val="right"/>
              <w:rPr>
                <w:color w:val="auto"/>
                <w:sz w:val="24"/>
              </w:rPr>
            </w:pPr>
            <w:r>
              <w:rPr>
                <w:color w:val="auto"/>
                <w:sz w:val="24"/>
              </w:rPr>
              <w:t>内容</w:t>
            </w:r>
          </w:p>
          <w:p>
            <w:pPr>
              <w:spacing w:line="288" w:lineRule="auto"/>
              <w:jc w:val="left"/>
              <w:rPr>
                <w:color w:val="auto"/>
                <w:sz w:val="24"/>
              </w:rPr>
            </w:pPr>
            <w:r>
              <w:rPr>
                <w:color w:val="auto"/>
                <w:sz w:val="24"/>
              </w:rPr>
              <w:t>类型</w:t>
            </w:r>
          </w:p>
        </w:tc>
        <w:tc>
          <w:tcPr>
            <w:tcW w:w="800" w:type="pct"/>
            <w:tcBorders>
              <w:top w:val="single" w:color="auto" w:sz="12" w:space="0"/>
              <w:bottom w:val="single" w:color="auto" w:sz="4" w:space="0"/>
            </w:tcBorders>
            <w:vAlign w:val="center"/>
          </w:tcPr>
          <w:p>
            <w:pPr>
              <w:spacing w:line="288" w:lineRule="auto"/>
              <w:jc w:val="center"/>
              <w:rPr>
                <w:color w:val="auto"/>
                <w:sz w:val="24"/>
              </w:rPr>
            </w:pPr>
            <w:r>
              <w:rPr>
                <w:color w:val="auto"/>
                <w:sz w:val="24"/>
              </w:rPr>
              <w:t>排放源</w:t>
            </w:r>
          </w:p>
          <w:p>
            <w:pPr>
              <w:spacing w:line="288" w:lineRule="auto"/>
              <w:jc w:val="center"/>
              <w:rPr>
                <w:color w:val="auto"/>
                <w:sz w:val="24"/>
              </w:rPr>
            </w:pPr>
            <w:r>
              <w:rPr>
                <w:color w:val="auto"/>
                <w:sz w:val="24"/>
              </w:rPr>
              <w:t>（编号）</w:t>
            </w:r>
          </w:p>
        </w:tc>
        <w:tc>
          <w:tcPr>
            <w:tcW w:w="943" w:type="pct"/>
            <w:tcBorders>
              <w:top w:val="single" w:color="auto" w:sz="12" w:space="0"/>
              <w:bottom w:val="single" w:color="auto" w:sz="4" w:space="0"/>
            </w:tcBorders>
            <w:vAlign w:val="center"/>
          </w:tcPr>
          <w:p>
            <w:pPr>
              <w:spacing w:line="288" w:lineRule="auto"/>
              <w:jc w:val="center"/>
              <w:rPr>
                <w:color w:val="auto"/>
                <w:sz w:val="24"/>
              </w:rPr>
            </w:pPr>
            <w:r>
              <w:rPr>
                <w:color w:val="auto"/>
                <w:sz w:val="24"/>
              </w:rPr>
              <w:t>污染物名称</w:t>
            </w:r>
          </w:p>
        </w:tc>
        <w:tc>
          <w:tcPr>
            <w:tcW w:w="1223" w:type="pct"/>
            <w:tcBorders>
              <w:top w:val="single" w:color="auto" w:sz="12" w:space="0"/>
              <w:bottom w:val="single" w:color="auto" w:sz="4" w:space="0"/>
            </w:tcBorders>
            <w:vAlign w:val="center"/>
          </w:tcPr>
          <w:p>
            <w:pPr>
              <w:spacing w:line="288" w:lineRule="auto"/>
              <w:jc w:val="center"/>
              <w:rPr>
                <w:color w:val="auto"/>
                <w:sz w:val="24"/>
              </w:rPr>
            </w:pPr>
            <w:r>
              <w:rPr>
                <w:color w:val="auto"/>
                <w:sz w:val="24"/>
              </w:rPr>
              <w:t>处理前产生浓度及产生量（单位）</w:t>
            </w:r>
          </w:p>
        </w:tc>
        <w:tc>
          <w:tcPr>
            <w:tcW w:w="1371" w:type="pct"/>
            <w:tcBorders>
              <w:top w:val="single" w:color="auto" w:sz="12" w:space="0"/>
              <w:bottom w:val="single" w:color="auto" w:sz="4" w:space="0"/>
              <w:right w:val="single" w:color="auto" w:sz="12" w:space="0"/>
            </w:tcBorders>
            <w:vAlign w:val="center"/>
          </w:tcPr>
          <w:p>
            <w:pPr>
              <w:spacing w:line="288" w:lineRule="auto"/>
              <w:jc w:val="center"/>
              <w:rPr>
                <w:color w:val="auto"/>
                <w:sz w:val="24"/>
              </w:rPr>
            </w:pPr>
            <w:r>
              <w:rPr>
                <w:color w:val="auto"/>
                <w:sz w:val="24"/>
              </w:rPr>
              <w:t>排放浓度及排放量（单位）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61" w:type="pct"/>
            <w:vMerge w:val="restart"/>
            <w:tcBorders>
              <w:left w:val="single" w:color="auto" w:sz="4" w:space="0"/>
            </w:tcBorders>
            <w:vAlign w:val="center"/>
          </w:tcPr>
          <w:p>
            <w:pPr>
              <w:spacing w:line="288" w:lineRule="auto"/>
              <w:jc w:val="center"/>
              <w:rPr>
                <w:color w:val="auto"/>
                <w:sz w:val="24"/>
              </w:rPr>
            </w:pPr>
            <w:r>
              <w:rPr>
                <w:color w:val="auto"/>
                <w:sz w:val="24"/>
              </w:rPr>
              <w:t>大气污染物</w:t>
            </w:r>
          </w:p>
        </w:tc>
        <w:tc>
          <w:tcPr>
            <w:tcW w:w="800" w:type="pct"/>
            <w:tcBorders>
              <w:top w:val="single" w:color="auto" w:sz="4" w:space="0"/>
              <w:bottom w:val="single" w:color="auto" w:sz="6" w:space="0"/>
              <w:right w:val="single" w:color="auto" w:sz="6" w:space="0"/>
            </w:tcBorders>
            <w:vAlign w:val="center"/>
          </w:tcPr>
          <w:p>
            <w:pPr>
              <w:spacing w:line="288" w:lineRule="auto"/>
              <w:jc w:val="center"/>
              <w:rPr>
                <w:color w:val="auto"/>
                <w:sz w:val="24"/>
              </w:rPr>
            </w:pPr>
            <w:r>
              <w:rPr>
                <w:rFonts w:hint="eastAsia"/>
                <w:color w:val="auto"/>
                <w:sz w:val="24"/>
              </w:rPr>
              <w:t>生产过程</w:t>
            </w:r>
          </w:p>
        </w:tc>
        <w:tc>
          <w:tcPr>
            <w:tcW w:w="943" w:type="pct"/>
            <w:tcBorders>
              <w:top w:val="single" w:color="auto" w:sz="4" w:space="0"/>
              <w:left w:val="single" w:color="auto" w:sz="6" w:space="0"/>
              <w:bottom w:val="single" w:color="auto" w:sz="6" w:space="0"/>
            </w:tcBorders>
            <w:vAlign w:val="center"/>
          </w:tcPr>
          <w:p>
            <w:pPr>
              <w:spacing w:line="288" w:lineRule="auto"/>
              <w:jc w:val="center"/>
              <w:rPr>
                <w:color w:val="auto"/>
                <w:sz w:val="24"/>
              </w:rPr>
            </w:pPr>
            <w:r>
              <w:rPr>
                <w:rFonts w:hint="eastAsia"/>
                <w:color w:val="auto"/>
                <w:sz w:val="24"/>
              </w:rPr>
              <w:t>非甲烷总烃</w:t>
            </w:r>
          </w:p>
        </w:tc>
        <w:tc>
          <w:tcPr>
            <w:tcW w:w="1223" w:type="pct"/>
            <w:tcBorders>
              <w:top w:val="single" w:color="auto" w:sz="4" w:space="0"/>
              <w:bottom w:val="single" w:color="auto" w:sz="4" w:space="0"/>
            </w:tcBorders>
            <w:vAlign w:val="center"/>
          </w:tcPr>
          <w:p>
            <w:pPr>
              <w:spacing w:line="288" w:lineRule="auto"/>
              <w:jc w:val="center"/>
              <w:rPr>
                <w:color w:val="auto"/>
                <w:sz w:val="24"/>
              </w:rPr>
            </w:pPr>
            <w:r>
              <w:rPr>
                <w:rFonts w:hint="eastAsia"/>
                <w:color w:val="auto"/>
                <w:sz w:val="24"/>
              </w:rPr>
              <w:t>287mg/m</w:t>
            </w:r>
            <w:r>
              <w:rPr>
                <w:rFonts w:hint="eastAsia"/>
                <w:color w:val="auto"/>
                <w:sz w:val="24"/>
                <w:vertAlign w:val="superscript"/>
              </w:rPr>
              <w:t>3</w:t>
            </w:r>
            <w:r>
              <w:rPr>
                <w:rFonts w:hint="eastAsia"/>
                <w:color w:val="auto"/>
                <w:sz w:val="24"/>
              </w:rPr>
              <w:t>，6.2t/a</w:t>
            </w:r>
          </w:p>
        </w:tc>
        <w:tc>
          <w:tcPr>
            <w:tcW w:w="1371" w:type="pct"/>
            <w:tcBorders>
              <w:top w:val="single" w:color="auto" w:sz="4" w:space="0"/>
              <w:bottom w:val="single" w:color="auto" w:sz="4" w:space="0"/>
              <w:right w:val="single" w:color="auto" w:sz="12" w:space="0"/>
            </w:tcBorders>
            <w:vAlign w:val="center"/>
          </w:tcPr>
          <w:p>
            <w:pPr>
              <w:spacing w:line="288" w:lineRule="auto"/>
              <w:jc w:val="center"/>
              <w:rPr>
                <w:color w:val="auto"/>
              </w:rPr>
            </w:pPr>
            <w:r>
              <w:rPr>
                <w:rFonts w:hint="eastAsia"/>
                <w:color w:val="auto"/>
                <w:sz w:val="24"/>
              </w:rPr>
              <w:t>52mg/m</w:t>
            </w:r>
            <w:r>
              <w:rPr>
                <w:rFonts w:hint="eastAsia"/>
                <w:color w:val="auto"/>
                <w:sz w:val="24"/>
                <w:vertAlign w:val="superscript"/>
              </w:rPr>
              <w:t>3</w:t>
            </w:r>
            <w:r>
              <w:rPr>
                <w:rFonts w:hint="eastAsia"/>
                <w:color w:val="auto"/>
                <w:sz w:val="24"/>
              </w:rPr>
              <w:t>，1.116t/a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vMerge w:val="continue"/>
            <w:tcBorders>
              <w:left w:val="single" w:color="auto" w:sz="4" w:space="0"/>
            </w:tcBorders>
            <w:textDirection w:val="tbRlV"/>
            <w:vAlign w:val="center"/>
          </w:tcPr>
          <w:p>
            <w:pPr>
              <w:spacing w:line="288" w:lineRule="auto"/>
              <w:ind w:left="113" w:right="113"/>
              <w:jc w:val="center"/>
              <w:rPr>
                <w:color w:val="auto"/>
                <w:sz w:val="24"/>
              </w:rPr>
            </w:pPr>
          </w:p>
        </w:tc>
        <w:tc>
          <w:tcPr>
            <w:tcW w:w="800" w:type="pct"/>
            <w:tcBorders>
              <w:top w:val="single" w:color="auto" w:sz="6" w:space="0"/>
              <w:right w:val="single" w:color="auto" w:sz="6" w:space="0"/>
            </w:tcBorders>
            <w:vAlign w:val="center"/>
          </w:tcPr>
          <w:p>
            <w:pPr>
              <w:spacing w:line="288" w:lineRule="auto"/>
              <w:jc w:val="center"/>
              <w:rPr>
                <w:color w:val="auto"/>
                <w:sz w:val="24"/>
              </w:rPr>
            </w:pPr>
            <w:r>
              <w:rPr>
                <w:rFonts w:hint="eastAsia"/>
                <w:color w:val="auto"/>
                <w:sz w:val="24"/>
              </w:rPr>
              <w:t>厨房</w:t>
            </w:r>
          </w:p>
        </w:tc>
        <w:tc>
          <w:tcPr>
            <w:tcW w:w="943" w:type="pct"/>
            <w:tcBorders>
              <w:top w:val="single" w:color="auto" w:sz="6" w:space="0"/>
              <w:left w:val="single" w:color="auto" w:sz="6" w:space="0"/>
            </w:tcBorders>
            <w:vAlign w:val="center"/>
          </w:tcPr>
          <w:p>
            <w:pPr>
              <w:spacing w:line="288" w:lineRule="auto"/>
              <w:jc w:val="center"/>
              <w:rPr>
                <w:color w:val="auto"/>
                <w:sz w:val="24"/>
              </w:rPr>
            </w:pPr>
            <w:r>
              <w:rPr>
                <w:rFonts w:hint="eastAsia"/>
                <w:color w:val="auto"/>
                <w:sz w:val="24"/>
              </w:rPr>
              <w:t>油烟</w:t>
            </w:r>
          </w:p>
        </w:tc>
        <w:tc>
          <w:tcPr>
            <w:tcW w:w="1223" w:type="pct"/>
            <w:tcBorders>
              <w:top w:val="single" w:color="auto" w:sz="4" w:space="0"/>
            </w:tcBorders>
            <w:vAlign w:val="center"/>
          </w:tcPr>
          <w:p>
            <w:pPr>
              <w:spacing w:line="288" w:lineRule="auto"/>
              <w:jc w:val="center"/>
              <w:rPr>
                <w:color w:val="auto"/>
              </w:rPr>
            </w:pPr>
            <w:r>
              <w:rPr>
                <w:rFonts w:hint="eastAsia"/>
                <w:color w:val="auto"/>
                <w:sz w:val="24"/>
              </w:rPr>
              <w:t>4mg/m</w:t>
            </w:r>
            <w:r>
              <w:rPr>
                <w:rFonts w:hint="eastAsia"/>
                <w:color w:val="auto"/>
                <w:sz w:val="24"/>
                <w:vertAlign w:val="superscript"/>
              </w:rPr>
              <w:t>3</w:t>
            </w:r>
            <w:r>
              <w:rPr>
                <w:rFonts w:hint="eastAsia"/>
                <w:color w:val="auto"/>
                <w:sz w:val="24"/>
              </w:rPr>
              <w:t>，0.024kg/d</w:t>
            </w:r>
          </w:p>
        </w:tc>
        <w:tc>
          <w:tcPr>
            <w:tcW w:w="1371" w:type="pct"/>
            <w:tcBorders>
              <w:top w:val="single" w:color="auto" w:sz="4" w:space="0"/>
              <w:right w:val="single" w:color="auto" w:sz="12" w:space="0"/>
            </w:tcBorders>
            <w:vAlign w:val="center"/>
          </w:tcPr>
          <w:p>
            <w:pPr>
              <w:spacing w:line="288" w:lineRule="auto"/>
              <w:jc w:val="center"/>
              <w:rPr>
                <w:color w:val="auto"/>
              </w:rPr>
            </w:pPr>
            <w:r>
              <w:rPr>
                <w:rFonts w:hint="eastAsia"/>
                <w:color w:val="auto"/>
                <w:sz w:val="24"/>
              </w:rPr>
              <w:t>1mg/m</w:t>
            </w:r>
            <w:r>
              <w:rPr>
                <w:rFonts w:hint="eastAsia"/>
                <w:color w:val="auto"/>
                <w:sz w:val="24"/>
                <w:vertAlign w:val="superscript"/>
              </w:rPr>
              <w:t>3</w:t>
            </w:r>
            <w:r>
              <w:rPr>
                <w:rFonts w:hint="eastAsia"/>
                <w:color w:val="auto"/>
                <w:sz w:val="24"/>
              </w:rPr>
              <w:t>，0.006kg/d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vMerge w:val="restart"/>
            <w:tcBorders>
              <w:left w:val="single" w:color="auto" w:sz="4" w:space="0"/>
            </w:tcBorders>
            <w:vAlign w:val="center"/>
          </w:tcPr>
          <w:p>
            <w:pPr>
              <w:spacing w:line="288" w:lineRule="auto"/>
              <w:jc w:val="center"/>
              <w:rPr>
                <w:color w:val="auto"/>
                <w:sz w:val="24"/>
              </w:rPr>
            </w:pPr>
            <w:r>
              <w:rPr>
                <w:color w:val="auto"/>
                <w:sz w:val="24"/>
              </w:rPr>
              <w:t>水污染物</w:t>
            </w:r>
          </w:p>
        </w:tc>
        <w:tc>
          <w:tcPr>
            <w:tcW w:w="800" w:type="pct"/>
            <w:vAlign w:val="center"/>
          </w:tcPr>
          <w:p>
            <w:pPr>
              <w:spacing w:line="288" w:lineRule="auto"/>
              <w:jc w:val="center"/>
              <w:rPr>
                <w:color w:val="auto"/>
                <w:sz w:val="24"/>
              </w:rPr>
            </w:pPr>
            <w:r>
              <w:rPr>
                <w:rFonts w:hint="eastAsia"/>
                <w:color w:val="auto"/>
                <w:sz w:val="24"/>
              </w:rPr>
              <w:t>办公生活</w:t>
            </w:r>
          </w:p>
        </w:tc>
        <w:tc>
          <w:tcPr>
            <w:tcW w:w="943" w:type="pct"/>
            <w:vAlign w:val="center"/>
          </w:tcPr>
          <w:p>
            <w:pPr>
              <w:spacing w:line="288" w:lineRule="auto"/>
              <w:jc w:val="center"/>
              <w:rPr>
                <w:color w:val="auto"/>
                <w:sz w:val="24"/>
                <w:vertAlign w:val="subscript"/>
              </w:rPr>
            </w:pPr>
            <w:r>
              <w:rPr>
                <w:rFonts w:hint="eastAsia"/>
                <w:color w:val="auto"/>
                <w:sz w:val="24"/>
              </w:rPr>
              <w:t>生活污水（含餐饮废水）</w:t>
            </w:r>
          </w:p>
        </w:tc>
        <w:tc>
          <w:tcPr>
            <w:tcW w:w="1223" w:type="pct"/>
            <w:tcBorders>
              <w:top w:val="single" w:color="auto" w:sz="4" w:space="0"/>
            </w:tcBorders>
            <w:vAlign w:val="center"/>
          </w:tcPr>
          <w:p>
            <w:pPr>
              <w:spacing w:line="288" w:lineRule="auto"/>
              <w:ind w:left="960" w:hanging="960" w:hangingChars="400"/>
              <w:jc w:val="center"/>
              <w:rPr>
                <w:color w:val="auto"/>
                <w:sz w:val="24"/>
              </w:rPr>
            </w:pPr>
            <w:r>
              <w:rPr>
                <w:rFonts w:hint="eastAsia"/>
                <w:color w:val="auto"/>
                <w:sz w:val="24"/>
              </w:rPr>
              <w:t>1.04m</w:t>
            </w:r>
            <w:r>
              <w:rPr>
                <w:rFonts w:hint="eastAsia"/>
                <w:color w:val="auto"/>
                <w:sz w:val="24"/>
                <w:vertAlign w:val="superscript"/>
              </w:rPr>
              <w:t>3</w:t>
            </w:r>
            <w:r>
              <w:rPr>
                <w:rFonts w:hint="eastAsia"/>
                <w:color w:val="auto"/>
                <w:sz w:val="24"/>
              </w:rPr>
              <w:t>/d</w:t>
            </w:r>
          </w:p>
        </w:tc>
        <w:tc>
          <w:tcPr>
            <w:tcW w:w="1371" w:type="pct"/>
            <w:tcBorders>
              <w:top w:val="single" w:color="auto" w:sz="4" w:space="0"/>
              <w:right w:val="single" w:color="auto" w:sz="12" w:space="0"/>
            </w:tcBorders>
            <w:vAlign w:val="center"/>
          </w:tcPr>
          <w:p>
            <w:pPr>
              <w:spacing w:line="288" w:lineRule="auto"/>
              <w:jc w:val="center"/>
              <w:rPr>
                <w:color w:val="auto"/>
                <w:sz w:val="24"/>
              </w:rPr>
            </w:pPr>
            <w:r>
              <w:rPr>
                <w:rFonts w:hint="eastAsia"/>
                <w:color w:val="auto"/>
                <w:sz w:val="24"/>
              </w:rPr>
              <w:t>1.04m</w:t>
            </w:r>
            <w:r>
              <w:rPr>
                <w:rFonts w:hint="eastAsia"/>
                <w:color w:val="auto"/>
                <w:sz w:val="24"/>
                <w:vertAlign w:val="superscript"/>
              </w:rPr>
              <w:t>3</w:t>
            </w:r>
            <w:r>
              <w:rPr>
                <w:rFonts w:hint="eastAsia"/>
                <w:color w:val="auto"/>
                <w:sz w:val="24"/>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vMerge w:val="continue"/>
            <w:tcBorders>
              <w:left w:val="single" w:color="auto" w:sz="4" w:space="0"/>
            </w:tcBorders>
            <w:textDirection w:val="tbRlV"/>
            <w:vAlign w:val="center"/>
          </w:tcPr>
          <w:p>
            <w:pPr>
              <w:spacing w:line="288" w:lineRule="auto"/>
              <w:ind w:left="113" w:right="113"/>
              <w:jc w:val="center"/>
              <w:rPr>
                <w:color w:val="auto"/>
                <w:sz w:val="24"/>
              </w:rPr>
            </w:pPr>
          </w:p>
        </w:tc>
        <w:tc>
          <w:tcPr>
            <w:tcW w:w="800" w:type="pct"/>
            <w:vAlign w:val="center"/>
          </w:tcPr>
          <w:p>
            <w:pPr>
              <w:spacing w:line="288" w:lineRule="auto"/>
              <w:jc w:val="center"/>
              <w:rPr>
                <w:color w:val="auto"/>
                <w:sz w:val="24"/>
              </w:rPr>
            </w:pPr>
            <w:r>
              <w:rPr>
                <w:rFonts w:hint="eastAsia"/>
                <w:color w:val="auto"/>
                <w:sz w:val="24"/>
              </w:rPr>
              <w:t>生产过程</w:t>
            </w:r>
          </w:p>
        </w:tc>
        <w:tc>
          <w:tcPr>
            <w:tcW w:w="943" w:type="pct"/>
            <w:vAlign w:val="center"/>
          </w:tcPr>
          <w:p>
            <w:pPr>
              <w:spacing w:line="288" w:lineRule="auto"/>
              <w:jc w:val="center"/>
              <w:rPr>
                <w:color w:val="auto"/>
                <w:sz w:val="24"/>
              </w:rPr>
            </w:pPr>
            <w:r>
              <w:rPr>
                <w:rFonts w:hint="eastAsia"/>
                <w:color w:val="auto"/>
                <w:sz w:val="24"/>
              </w:rPr>
              <w:t>冷却废水</w:t>
            </w:r>
          </w:p>
        </w:tc>
        <w:tc>
          <w:tcPr>
            <w:tcW w:w="1223" w:type="pct"/>
            <w:tcBorders>
              <w:top w:val="single" w:color="auto" w:sz="4" w:space="0"/>
            </w:tcBorders>
            <w:vAlign w:val="center"/>
          </w:tcPr>
          <w:p>
            <w:pPr>
              <w:spacing w:line="288" w:lineRule="auto"/>
              <w:ind w:left="960" w:hanging="960" w:hangingChars="400"/>
              <w:jc w:val="center"/>
              <w:rPr>
                <w:color w:val="auto"/>
                <w:sz w:val="24"/>
              </w:rPr>
            </w:pPr>
            <w:r>
              <w:rPr>
                <w:rFonts w:hint="eastAsia"/>
                <w:color w:val="auto"/>
                <w:sz w:val="24"/>
              </w:rPr>
              <w:t>循环使用</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0" w:hRule="atLeast"/>
        </w:trPr>
        <w:tc>
          <w:tcPr>
            <w:tcW w:w="661" w:type="pct"/>
            <w:vMerge w:val="restart"/>
            <w:tcBorders>
              <w:left w:val="single" w:color="auto" w:sz="4" w:space="0"/>
            </w:tcBorders>
            <w:vAlign w:val="center"/>
          </w:tcPr>
          <w:p>
            <w:pPr>
              <w:spacing w:line="288" w:lineRule="auto"/>
              <w:jc w:val="center"/>
              <w:rPr>
                <w:color w:val="auto"/>
                <w:sz w:val="24"/>
              </w:rPr>
            </w:pPr>
            <w:r>
              <w:rPr>
                <w:color w:val="auto"/>
                <w:sz w:val="24"/>
              </w:rPr>
              <w:t>固体废弃物</w:t>
            </w:r>
          </w:p>
        </w:tc>
        <w:tc>
          <w:tcPr>
            <w:tcW w:w="800" w:type="pct"/>
            <w:vMerge w:val="restart"/>
            <w:vAlign w:val="center"/>
          </w:tcPr>
          <w:p>
            <w:pPr>
              <w:spacing w:line="288" w:lineRule="auto"/>
              <w:jc w:val="center"/>
              <w:rPr>
                <w:color w:val="auto"/>
                <w:sz w:val="24"/>
              </w:rPr>
            </w:pPr>
            <w:r>
              <w:rPr>
                <w:rFonts w:hint="eastAsia"/>
                <w:color w:val="auto"/>
                <w:sz w:val="24"/>
              </w:rPr>
              <w:t>不合格产品</w:t>
            </w:r>
          </w:p>
        </w:tc>
        <w:tc>
          <w:tcPr>
            <w:tcW w:w="943" w:type="pct"/>
            <w:vAlign w:val="center"/>
          </w:tcPr>
          <w:p>
            <w:pPr>
              <w:spacing w:line="288" w:lineRule="auto"/>
              <w:jc w:val="center"/>
              <w:rPr>
                <w:color w:val="auto"/>
                <w:sz w:val="24"/>
              </w:rPr>
            </w:pPr>
            <w:r>
              <w:rPr>
                <w:rFonts w:hint="eastAsia"/>
                <w:color w:val="auto"/>
                <w:sz w:val="24"/>
              </w:rPr>
              <w:t>边角料及不合格产品</w:t>
            </w:r>
          </w:p>
        </w:tc>
        <w:tc>
          <w:tcPr>
            <w:tcW w:w="1223" w:type="pct"/>
            <w:vAlign w:val="center"/>
          </w:tcPr>
          <w:p>
            <w:pPr>
              <w:spacing w:line="288" w:lineRule="auto"/>
              <w:jc w:val="center"/>
              <w:rPr>
                <w:color w:val="auto"/>
                <w:sz w:val="24"/>
              </w:rPr>
            </w:pPr>
            <w:r>
              <w:rPr>
                <w:rFonts w:hint="eastAsia"/>
                <w:color w:val="auto"/>
                <w:sz w:val="24"/>
              </w:rPr>
              <w:t>2t/a</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661" w:type="pct"/>
            <w:vMerge w:val="continue"/>
            <w:tcBorders>
              <w:left w:val="single" w:color="auto" w:sz="4" w:space="0"/>
            </w:tcBorders>
            <w:vAlign w:val="center"/>
          </w:tcPr>
          <w:p>
            <w:pPr>
              <w:spacing w:line="288" w:lineRule="auto"/>
              <w:jc w:val="center"/>
              <w:rPr>
                <w:color w:val="auto"/>
                <w:sz w:val="24"/>
              </w:rPr>
            </w:pPr>
          </w:p>
        </w:tc>
        <w:tc>
          <w:tcPr>
            <w:tcW w:w="800" w:type="pct"/>
            <w:vMerge w:val="restart"/>
            <w:vAlign w:val="center"/>
          </w:tcPr>
          <w:p>
            <w:pPr>
              <w:spacing w:line="288" w:lineRule="auto"/>
              <w:jc w:val="center"/>
              <w:rPr>
                <w:color w:val="auto"/>
                <w:sz w:val="24"/>
              </w:rPr>
            </w:pPr>
            <w:r>
              <w:rPr>
                <w:rFonts w:hint="eastAsia"/>
                <w:color w:val="auto"/>
                <w:sz w:val="24"/>
              </w:rPr>
              <w:t>废包装</w:t>
            </w:r>
          </w:p>
        </w:tc>
        <w:tc>
          <w:tcPr>
            <w:tcW w:w="943" w:type="pct"/>
            <w:vAlign w:val="center"/>
          </w:tcPr>
          <w:p>
            <w:pPr>
              <w:spacing w:line="288" w:lineRule="auto"/>
              <w:jc w:val="center"/>
              <w:rPr>
                <w:color w:val="auto"/>
                <w:sz w:val="24"/>
              </w:rPr>
            </w:pPr>
            <w:r>
              <w:rPr>
                <w:rFonts w:hint="eastAsia"/>
                <w:color w:val="auto"/>
                <w:sz w:val="24"/>
              </w:rPr>
              <w:t>废包装袋及包装箱</w:t>
            </w:r>
          </w:p>
        </w:tc>
        <w:tc>
          <w:tcPr>
            <w:tcW w:w="1223" w:type="pct"/>
            <w:vAlign w:val="center"/>
          </w:tcPr>
          <w:p>
            <w:pPr>
              <w:spacing w:line="288" w:lineRule="auto"/>
              <w:jc w:val="center"/>
              <w:rPr>
                <w:color w:val="auto"/>
                <w:sz w:val="24"/>
              </w:rPr>
            </w:pPr>
            <w:r>
              <w:rPr>
                <w:rFonts w:hint="eastAsia"/>
                <w:color w:val="auto"/>
                <w:sz w:val="24"/>
              </w:rPr>
              <w:t>0.06t/a</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661" w:type="pct"/>
            <w:vMerge w:val="continue"/>
            <w:tcBorders>
              <w:left w:val="single" w:color="auto" w:sz="4" w:space="0"/>
            </w:tcBorders>
            <w:vAlign w:val="center"/>
          </w:tcPr>
          <w:p>
            <w:pPr>
              <w:spacing w:line="288" w:lineRule="auto"/>
              <w:jc w:val="center"/>
              <w:rPr>
                <w:color w:val="auto"/>
                <w:sz w:val="24"/>
              </w:rPr>
            </w:pPr>
          </w:p>
        </w:tc>
        <w:tc>
          <w:tcPr>
            <w:tcW w:w="800" w:type="pct"/>
            <w:vMerge w:val="continue"/>
            <w:vAlign w:val="center"/>
          </w:tcPr>
          <w:p>
            <w:pPr>
              <w:spacing w:line="288" w:lineRule="auto"/>
              <w:jc w:val="center"/>
              <w:rPr>
                <w:color w:val="auto"/>
                <w:sz w:val="24"/>
              </w:rPr>
            </w:pPr>
          </w:p>
        </w:tc>
        <w:tc>
          <w:tcPr>
            <w:tcW w:w="943" w:type="pct"/>
            <w:vAlign w:val="center"/>
          </w:tcPr>
          <w:p>
            <w:pPr>
              <w:spacing w:line="288" w:lineRule="auto"/>
              <w:jc w:val="center"/>
              <w:rPr>
                <w:color w:val="auto"/>
                <w:sz w:val="24"/>
              </w:rPr>
            </w:pPr>
            <w:r>
              <w:rPr>
                <w:rFonts w:hint="eastAsia"/>
                <w:color w:val="auto"/>
                <w:sz w:val="24"/>
              </w:rPr>
              <w:t>废原料袋</w:t>
            </w:r>
          </w:p>
        </w:tc>
        <w:tc>
          <w:tcPr>
            <w:tcW w:w="1223" w:type="pct"/>
            <w:vAlign w:val="center"/>
          </w:tcPr>
          <w:p>
            <w:pPr>
              <w:spacing w:line="288" w:lineRule="auto"/>
              <w:jc w:val="center"/>
              <w:rPr>
                <w:color w:val="auto"/>
                <w:sz w:val="24"/>
              </w:rPr>
            </w:pPr>
            <w:r>
              <w:rPr>
                <w:rFonts w:hint="eastAsia"/>
                <w:color w:val="auto"/>
                <w:sz w:val="24"/>
              </w:rPr>
              <w:t>0.8t/a</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vMerge w:val="continue"/>
            <w:tcBorders>
              <w:left w:val="single" w:color="auto" w:sz="4" w:space="0"/>
            </w:tcBorders>
            <w:vAlign w:val="center"/>
          </w:tcPr>
          <w:p>
            <w:pPr>
              <w:spacing w:line="288" w:lineRule="auto"/>
              <w:jc w:val="center"/>
              <w:rPr>
                <w:color w:val="auto"/>
                <w:sz w:val="24"/>
              </w:rPr>
            </w:pPr>
          </w:p>
        </w:tc>
        <w:tc>
          <w:tcPr>
            <w:tcW w:w="800" w:type="pct"/>
            <w:vAlign w:val="center"/>
          </w:tcPr>
          <w:p>
            <w:pPr>
              <w:spacing w:line="288" w:lineRule="auto"/>
              <w:jc w:val="center"/>
              <w:rPr>
                <w:color w:val="auto"/>
                <w:sz w:val="24"/>
              </w:rPr>
            </w:pPr>
            <w:r>
              <w:rPr>
                <w:rFonts w:hint="eastAsia"/>
                <w:color w:val="auto"/>
                <w:sz w:val="24"/>
              </w:rPr>
              <w:t>职工生活</w:t>
            </w:r>
          </w:p>
        </w:tc>
        <w:tc>
          <w:tcPr>
            <w:tcW w:w="943" w:type="pct"/>
            <w:vAlign w:val="center"/>
          </w:tcPr>
          <w:p>
            <w:pPr>
              <w:spacing w:line="288" w:lineRule="auto"/>
              <w:jc w:val="center"/>
              <w:rPr>
                <w:color w:val="auto"/>
                <w:sz w:val="24"/>
              </w:rPr>
            </w:pPr>
            <w:r>
              <w:rPr>
                <w:rFonts w:hint="eastAsia"/>
                <w:color w:val="auto"/>
                <w:sz w:val="24"/>
              </w:rPr>
              <w:t>生活垃圾</w:t>
            </w:r>
          </w:p>
        </w:tc>
        <w:tc>
          <w:tcPr>
            <w:tcW w:w="1223" w:type="pct"/>
            <w:vAlign w:val="center"/>
          </w:tcPr>
          <w:p>
            <w:pPr>
              <w:spacing w:line="288" w:lineRule="auto"/>
              <w:jc w:val="center"/>
              <w:rPr>
                <w:color w:val="auto"/>
                <w:sz w:val="24"/>
              </w:rPr>
            </w:pPr>
            <w:r>
              <w:rPr>
                <w:rFonts w:hint="eastAsia"/>
                <w:color w:val="auto"/>
                <w:sz w:val="24"/>
              </w:rPr>
              <w:t>5.4t/a</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5.4t/a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vMerge w:val="continue"/>
            <w:tcBorders>
              <w:left w:val="single" w:color="auto" w:sz="4" w:space="0"/>
            </w:tcBorders>
            <w:vAlign w:val="center"/>
          </w:tcPr>
          <w:p>
            <w:pPr>
              <w:spacing w:line="288" w:lineRule="auto"/>
              <w:jc w:val="center"/>
              <w:rPr>
                <w:color w:val="auto"/>
                <w:sz w:val="24"/>
              </w:rPr>
            </w:pPr>
          </w:p>
        </w:tc>
        <w:tc>
          <w:tcPr>
            <w:tcW w:w="800" w:type="pct"/>
            <w:vAlign w:val="center"/>
          </w:tcPr>
          <w:p>
            <w:pPr>
              <w:spacing w:line="288" w:lineRule="auto"/>
              <w:jc w:val="center"/>
              <w:rPr>
                <w:color w:val="auto"/>
                <w:sz w:val="24"/>
              </w:rPr>
            </w:pPr>
            <w:r>
              <w:rPr>
                <w:rFonts w:hint="eastAsia"/>
                <w:color w:val="auto"/>
                <w:sz w:val="24"/>
              </w:rPr>
              <w:t>活性炭吸附装置</w:t>
            </w:r>
          </w:p>
        </w:tc>
        <w:tc>
          <w:tcPr>
            <w:tcW w:w="943" w:type="pct"/>
            <w:vAlign w:val="center"/>
          </w:tcPr>
          <w:p>
            <w:pPr>
              <w:spacing w:line="288" w:lineRule="auto"/>
              <w:jc w:val="center"/>
              <w:rPr>
                <w:color w:val="auto"/>
                <w:sz w:val="24"/>
              </w:rPr>
            </w:pPr>
            <w:r>
              <w:rPr>
                <w:rFonts w:hint="eastAsia"/>
                <w:color w:val="auto"/>
                <w:sz w:val="24"/>
              </w:rPr>
              <w:t>废活性炭</w:t>
            </w:r>
          </w:p>
        </w:tc>
        <w:tc>
          <w:tcPr>
            <w:tcW w:w="1223" w:type="pct"/>
            <w:vAlign w:val="center"/>
          </w:tcPr>
          <w:p>
            <w:pPr>
              <w:spacing w:line="288" w:lineRule="auto"/>
              <w:jc w:val="center"/>
              <w:rPr>
                <w:color w:val="auto"/>
                <w:sz w:val="24"/>
              </w:rPr>
            </w:pPr>
            <w:r>
              <w:rPr>
                <w:rFonts w:hint="eastAsia"/>
                <w:color w:val="auto"/>
                <w:sz w:val="24"/>
              </w:rPr>
              <w:t>5.58t/a</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5.58t/a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vMerge w:val="continue"/>
            <w:tcBorders>
              <w:left w:val="single" w:color="auto" w:sz="4" w:space="0"/>
            </w:tcBorders>
            <w:vAlign w:val="center"/>
          </w:tcPr>
          <w:p>
            <w:pPr>
              <w:spacing w:line="288" w:lineRule="auto"/>
              <w:jc w:val="center"/>
              <w:rPr>
                <w:color w:val="auto"/>
                <w:sz w:val="24"/>
              </w:rPr>
            </w:pPr>
          </w:p>
        </w:tc>
        <w:tc>
          <w:tcPr>
            <w:tcW w:w="800" w:type="pct"/>
            <w:vAlign w:val="center"/>
          </w:tcPr>
          <w:p>
            <w:pPr>
              <w:spacing w:line="288" w:lineRule="auto"/>
              <w:jc w:val="center"/>
              <w:rPr>
                <w:color w:val="auto"/>
                <w:sz w:val="24"/>
              </w:rPr>
            </w:pPr>
            <w:r>
              <w:rPr>
                <w:rFonts w:hint="eastAsia"/>
                <w:color w:val="auto"/>
                <w:sz w:val="24"/>
              </w:rPr>
              <w:t>光催化氧化装置</w:t>
            </w:r>
          </w:p>
        </w:tc>
        <w:tc>
          <w:tcPr>
            <w:tcW w:w="943" w:type="pct"/>
            <w:vAlign w:val="center"/>
          </w:tcPr>
          <w:p>
            <w:pPr>
              <w:spacing w:line="288" w:lineRule="auto"/>
              <w:jc w:val="center"/>
              <w:rPr>
                <w:color w:val="auto"/>
                <w:sz w:val="24"/>
              </w:rPr>
            </w:pPr>
            <w:r>
              <w:rPr>
                <w:rFonts w:hint="eastAsia"/>
                <w:color w:val="auto"/>
                <w:sz w:val="24"/>
              </w:rPr>
              <w:t>废灯管</w:t>
            </w:r>
          </w:p>
        </w:tc>
        <w:tc>
          <w:tcPr>
            <w:tcW w:w="1223" w:type="pct"/>
            <w:vAlign w:val="center"/>
          </w:tcPr>
          <w:p>
            <w:pPr>
              <w:spacing w:line="288" w:lineRule="auto"/>
              <w:jc w:val="center"/>
              <w:rPr>
                <w:color w:val="auto"/>
                <w:sz w:val="24"/>
              </w:rPr>
            </w:pPr>
            <w:r>
              <w:rPr>
                <w:rFonts w:hint="eastAsia"/>
                <w:color w:val="auto"/>
                <w:sz w:val="24"/>
              </w:rPr>
              <w:t>20支</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20支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vMerge w:val="continue"/>
            <w:tcBorders>
              <w:left w:val="single" w:color="auto" w:sz="4" w:space="0"/>
            </w:tcBorders>
            <w:vAlign w:val="center"/>
          </w:tcPr>
          <w:p>
            <w:pPr>
              <w:spacing w:line="288" w:lineRule="auto"/>
              <w:jc w:val="center"/>
              <w:rPr>
                <w:color w:val="auto"/>
                <w:sz w:val="24"/>
              </w:rPr>
            </w:pPr>
          </w:p>
        </w:tc>
        <w:tc>
          <w:tcPr>
            <w:tcW w:w="800" w:type="pct"/>
            <w:vAlign w:val="center"/>
          </w:tcPr>
          <w:p>
            <w:pPr>
              <w:spacing w:line="288" w:lineRule="auto"/>
              <w:jc w:val="center"/>
              <w:rPr>
                <w:color w:val="auto"/>
                <w:sz w:val="24"/>
              </w:rPr>
            </w:pPr>
            <w:r>
              <w:rPr>
                <w:rFonts w:hint="eastAsia"/>
                <w:color w:val="auto"/>
                <w:sz w:val="24"/>
              </w:rPr>
              <w:t>机械维修</w:t>
            </w:r>
          </w:p>
        </w:tc>
        <w:tc>
          <w:tcPr>
            <w:tcW w:w="943" w:type="pct"/>
            <w:vAlign w:val="center"/>
          </w:tcPr>
          <w:p>
            <w:pPr>
              <w:spacing w:line="288" w:lineRule="auto"/>
              <w:jc w:val="center"/>
              <w:rPr>
                <w:color w:val="auto"/>
                <w:sz w:val="24"/>
              </w:rPr>
            </w:pPr>
            <w:r>
              <w:rPr>
                <w:rFonts w:hint="eastAsia"/>
                <w:color w:val="auto"/>
                <w:sz w:val="24"/>
              </w:rPr>
              <w:t>废机油</w:t>
            </w:r>
          </w:p>
        </w:tc>
        <w:tc>
          <w:tcPr>
            <w:tcW w:w="1223" w:type="pct"/>
            <w:vAlign w:val="center"/>
          </w:tcPr>
          <w:p>
            <w:pPr>
              <w:spacing w:line="288" w:lineRule="auto"/>
              <w:jc w:val="center"/>
              <w:rPr>
                <w:color w:val="auto"/>
                <w:sz w:val="24"/>
              </w:rPr>
            </w:pPr>
            <w:r>
              <w:rPr>
                <w:rFonts w:hint="eastAsia"/>
                <w:color w:val="auto"/>
                <w:sz w:val="24"/>
              </w:rPr>
              <w:t>0.005t/a</w:t>
            </w:r>
          </w:p>
        </w:tc>
        <w:tc>
          <w:tcPr>
            <w:tcW w:w="1371" w:type="pct"/>
            <w:tcBorders>
              <w:right w:val="single" w:color="auto" w:sz="12" w:space="0"/>
            </w:tcBorders>
            <w:vAlign w:val="center"/>
          </w:tcPr>
          <w:p>
            <w:pPr>
              <w:spacing w:line="288" w:lineRule="auto"/>
              <w:jc w:val="center"/>
              <w:rPr>
                <w:color w:val="auto"/>
                <w:sz w:val="24"/>
              </w:rPr>
            </w:pPr>
            <w:r>
              <w:rPr>
                <w:rFonts w:hint="eastAsia"/>
                <w:color w:val="auto"/>
                <w:sz w:val="24"/>
              </w:rPr>
              <w:t>0.005t/a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tcBorders>
              <w:left w:val="single" w:color="auto" w:sz="4" w:space="0"/>
            </w:tcBorders>
            <w:vAlign w:val="center"/>
          </w:tcPr>
          <w:p>
            <w:pPr>
              <w:spacing w:line="288" w:lineRule="auto"/>
              <w:jc w:val="center"/>
              <w:rPr>
                <w:color w:val="auto"/>
                <w:sz w:val="24"/>
              </w:rPr>
            </w:pPr>
            <w:r>
              <w:rPr>
                <w:rFonts w:hint="eastAsia"/>
                <w:color w:val="auto"/>
                <w:sz w:val="24"/>
              </w:rPr>
              <w:t>噪声</w:t>
            </w:r>
          </w:p>
        </w:tc>
        <w:tc>
          <w:tcPr>
            <w:tcW w:w="800" w:type="pct"/>
            <w:vAlign w:val="center"/>
          </w:tcPr>
          <w:p>
            <w:pPr>
              <w:spacing w:line="288" w:lineRule="auto"/>
              <w:jc w:val="center"/>
              <w:rPr>
                <w:color w:val="auto"/>
                <w:sz w:val="24"/>
              </w:rPr>
            </w:pPr>
            <w:r>
              <w:rPr>
                <w:rFonts w:hint="eastAsia"/>
                <w:color w:val="auto"/>
                <w:sz w:val="24"/>
              </w:rPr>
              <w:t>运输车辆、生产设备</w:t>
            </w:r>
          </w:p>
        </w:tc>
        <w:tc>
          <w:tcPr>
            <w:tcW w:w="943" w:type="pct"/>
            <w:vAlign w:val="center"/>
          </w:tcPr>
          <w:p>
            <w:pPr>
              <w:spacing w:line="288" w:lineRule="auto"/>
              <w:jc w:val="center"/>
              <w:rPr>
                <w:color w:val="auto"/>
                <w:sz w:val="24"/>
              </w:rPr>
            </w:pPr>
            <w:r>
              <w:rPr>
                <w:color w:val="auto"/>
                <w:sz w:val="24"/>
              </w:rPr>
              <w:t>噪声等效声级</w:t>
            </w:r>
          </w:p>
        </w:tc>
        <w:tc>
          <w:tcPr>
            <w:tcW w:w="1223" w:type="pct"/>
            <w:vAlign w:val="center"/>
          </w:tcPr>
          <w:p>
            <w:pPr>
              <w:spacing w:line="288" w:lineRule="auto"/>
              <w:jc w:val="center"/>
              <w:rPr>
                <w:color w:val="auto"/>
                <w:sz w:val="24"/>
              </w:rPr>
            </w:pPr>
            <w:r>
              <w:rPr>
                <w:rFonts w:hint="eastAsia"/>
                <w:color w:val="auto"/>
                <w:sz w:val="24"/>
              </w:rPr>
              <w:t>70～82</w:t>
            </w:r>
            <w:r>
              <w:rPr>
                <w:color w:val="auto"/>
                <w:sz w:val="24"/>
              </w:rPr>
              <w:t>dB</w:t>
            </w:r>
            <w:r>
              <w:rPr>
                <w:rFonts w:hint="eastAsia"/>
                <w:color w:val="auto"/>
                <w:sz w:val="24"/>
              </w:rPr>
              <w:t>（A）</w:t>
            </w:r>
          </w:p>
        </w:tc>
        <w:tc>
          <w:tcPr>
            <w:tcW w:w="1371" w:type="pct"/>
            <w:tcBorders>
              <w:right w:val="single" w:color="auto" w:sz="12" w:space="0"/>
            </w:tcBorders>
            <w:vAlign w:val="center"/>
          </w:tcPr>
          <w:p>
            <w:pPr>
              <w:spacing w:line="288" w:lineRule="auto"/>
              <w:jc w:val="center"/>
              <w:rPr>
                <w:color w:val="auto"/>
                <w:sz w:val="24"/>
              </w:rPr>
            </w:pPr>
            <w:r>
              <w:rPr>
                <w:color w:val="auto"/>
                <w:sz w:val="24"/>
              </w:rPr>
              <w:t>≤6</w:t>
            </w:r>
            <w:r>
              <w:rPr>
                <w:rFonts w:hint="eastAsia"/>
                <w:color w:val="auto"/>
                <w:sz w:val="24"/>
              </w:rPr>
              <w:t>0</w:t>
            </w:r>
            <w:r>
              <w:rPr>
                <w:color w:val="auto"/>
                <w:sz w:val="24"/>
              </w:rPr>
              <w:t>dB（A）昼间</w:t>
            </w:r>
          </w:p>
          <w:p>
            <w:pPr>
              <w:spacing w:line="288" w:lineRule="auto"/>
              <w:jc w:val="center"/>
              <w:rPr>
                <w:color w:val="auto"/>
                <w:sz w:val="24"/>
              </w:rPr>
            </w:pPr>
            <w:r>
              <w:rPr>
                <w:color w:val="auto"/>
                <w:sz w:val="24"/>
              </w:rPr>
              <w:t>≤5</w:t>
            </w:r>
            <w:r>
              <w:rPr>
                <w:rFonts w:hint="eastAsia"/>
                <w:color w:val="auto"/>
                <w:sz w:val="24"/>
              </w:rPr>
              <w:t>0</w:t>
            </w:r>
            <w:r>
              <w:rPr>
                <w:color w:val="auto"/>
                <w:sz w:val="24"/>
              </w:rPr>
              <w:t>dB（A）夜间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661" w:type="pct"/>
            <w:tcBorders>
              <w:left w:val="single" w:color="auto" w:sz="4" w:space="0"/>
            </w:tcBorders>
            <w:vAlign w:val="center"/>
          </w:tcPr>
          <w:p>
            <w:pPr>
              <w:spacing w:line="400" w:lineRule="exact"/>
              <w:jc w:val="center"/>
              <w:rPr>
                <w:color w:val="auto"/>
                <w:sz w:val="24"/>
              </w:rPr>
            </w:pPr>
            <w:r>
              <w:rPr>
                <w:color w:val="auto"/>
                <w:sz w:val="24"/>
              </w:rPr>
              <w:t>其他</w:t>
            </w:r>
          </w:p>
        </w:tc>
        <w:tc>
          <w:tcPr>
            <w:tcW w:w="4338" w:type="pct"/>
            <w:gridSpan w:val="4"/>
            <w:tcBorders>
              <w:right w:val="single" w:color="auto" w:sz="12" w:space="0"/>
            </w:tcBorders>
            <w:vAlign w:val="center"/>
          </w:tcPr>
          <w:p>
            <w:pPr>
              <w:spacing w:line="400" w:lineRule="exact"/>
              <w:jc w:val="center"/>
              <w:rPr>
                <w:color w:val="auto"/>
                <w:sz w:val="24"/>
              </w:rPr>
            </w:pPr>
            <w:r>
              <w:rPr>
                <w:rFonts w:hint="eastAsia"/>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5"/>
            <w:tcBorders>
              <w:top w:val="single" w:color="auto" w:sz="4" w:space="0"/>
              <w:left w:val="single" w:color="auto" w:sz="4" w:space="0"/>
              <w:bottom w:val="single" w:color="auto" w:sz="12" w:space="0"/>
              <w:right w:val="single" w:color="auto" w:sz="12" w:space="0"/>
            </w:tcBorders>
          </w:tcPr>
          <w:p>
            <w:pPr>
              <w:spacing w:line="520" w:lineRule="exact"/>
              <w:rPr>
                <w:b/>
                <w:color w:val="auto"/>
                <w:sz w:val="28"/>
                <w:szCs w:val="28"/>
              </w:rPr>
            </w:pPr>
            <w:r>
              <w:rPr>
                <w:b/>
                <w:color w:val="auto"/>
                <w:sz w:val="28"/>
                <w:szCs w:val="28"/>
              </w:rPr>
              <w:t>主要生态影响</w:t>
            </w:r>
          </w:p>
          <w:p>
            <w:pPr>
              <w:spacing w:line="520" w:lineRule="exact"/>
              <w:ind w:firstLine="560" w:firstLineChars="200"/>
              <w:rPr>
                <w:rFonts w:ascii="宋体" w:hAnsi="宋体" w:cs="宋体"/>
                <w:color w:val="auto"/>
                <w:sz w:val="28"/>
                <w:szCs w:val="28"/>
              </w:rPr>
            </w:pPr>
            <w:r>
              <w:rPr>
                <w:rFonts w:hint="eastAsia" w:hAnsi="宋体"/>
                <w:color w:val="auto"/>
                <w:sz w:val="28"/>
                <w:szCs w:val="28"/>
              </w:rPr>
              <w:t>本项目</w:t>
            </w:r>
            <w:r>
              <w:rPr>
                <w:rFonts w:hint="eastAsia"/>
                <w:bCs/>
                <w:color w:val="auto"/>
                <w:kern w:val="0"/>
                <w:sz w:val="28"/>
              </w:rPr>
              <w:t>位于巩留县恰甫其海路南侧众帮苯板厂院内</w:t>
            </w:r>
            <w:r>
              <w:rPr>
                <w:rFonts w:hint="eastAsia"/>
                <w:color w:val="auto"/>
                <w:sz w:val="28"/>
                <w:szCs w:val="28"/>
              </w:rPr>
              <w:t>，本项目租用</w:t>
            </w:r>
            <w:r>
              <w:rPr>
                <w:rFonts w:hint="eastAsia"/>
                <w:bCs/>
                <w:color w:val="auto"/>
                <w:kern w:val="0"/>
                <w:sz w:val="28"/>
              </w:rPr>
              <w:t>众帮苯板厂750m</w:t>
            </w:r>
            <w:r>
              <w:rPr>
                <w:rFonts w:hint="eastAsia"/>
                <w:bCs/>
                <w:color w:val="auto"/>
                <w:kern w:val="0"/>
                <w:sz w:val="28"/>
                <w:vertAlign w:val="superscript"/>
              </w:rPr>
              <w:t>2</w:t>
            </w:r>
            <w:r>
              <w:rPr>
                <w:rFonts w:hint="eastAsia"/>
                <w:bCs/>
                <w:color w:val="auto"/>
                <w:kern w:val="0"/>
                <w:sz w:val="28"/>
              </w:rPr>
              <w:t>厂房及办公用房，</w:t>
            </w:r>
            <w:r>
              <w:rPr>
                <w:rFonts w:hint="eastAsia"/>
                <w:color w:val="auto"/>
                <w:sz w:val="28"/>
                <w:szCs w:val="28"/>
              </w:rPr>
              <w:t>项目区东侧为文化路，南侧为众帮苯板厂，西侧为巩留县天汇商贸有限责任公司（彩钢板厂），北侧为粮食购销有限责任公司</w:t>
            </w:r>
            <w:r>
              <w:rPr>
                <w:rFonts w:hint="eastAsia" w:hAnsi="宋体"/>
                <w:color w:val="auto"/>
                <w:sz w:val="28"/>
                <w:szCs w:val="28"/>
              </w:rPr>
              <w:t>。本项目</w:t>
            </w:r>
            <w:r>
              <w:rPr>
                <w:bCs/>
                <w:color w:val="auto"/>
                <w:sz w:val="28"/>
                <w:szCs w:val="28"/>
              </w:rPr>
              <w:t>租用</w:t>
            </w:r>
            <w:r>
              <w:rPr>
                <w:rFonts w:hint="eastAsia"/>
                <w:bCs/>
                <w:color w:val="auto"/>
                <w:sz w:val="28"/>
                <w:szCs w:val="28"/>
              </w:rPr>
              <w:t>后</w:t>
            </w:r>
            <w:r>
              <w:rPr>
                <w:bCs/>
                <w:color w:val="auto"/>
                <w:sz w:val="28"/>
                <w:szCs w:val="28"/>
              </w:rPr>
              <w:t>仅</w:t>
            </w:r>
            <w:r>
              <w:rPr>
                <w:rFonts w:hint="eastAsia"/>
                <w:bCs/>
                <w:color w:val="auto"/>
                <w:sz w:val="28"/>
                <w:szCs w:val="28"/>
              </w:rPr>
              <w:t>进行</w:t>
            </w:r>
            <w:r>
              <w:rPr>
                <w:bCs/>
                <w:color w:val="auto"/>
                <w:sz w:val="28"/>
                <w:szCs w:val="28"/>
              </w:rPr>
              <w:t>生产设备</w:t>
            </w:r>
            <w:r>
              <w:rPr>
                <w:rFonts w:hint="eastAsia"/>
                <w:bCs/>
                <w:color w:val="auto"/>
                <w:sz w:val="28"/>
                <w:szCs w:val="28"/>
              </w:rPr>
              <w:t>的安装</w:t>
            </w:r>
            <w:r>
              <w:rPr>
                <w:bCs/>
                <w:color w:val="auto"/>
                <w:sz w:val="28"/>
                <w:szCs w:val="28"/>
              </w:rPr>
              <w:t>和环保设施的布置工作。项目占地均为已建成的厂房、设备，未新增占地，对区域生态的影响已经发生，因此本项目</w:t>
            </w:r>
            <w:r>
              <w:rPr>
                <w:color w:val="auto"/>
                <w:sz w:val="28"/>
              </w:rPr>
              <w:t>对周围生态环境的影响不大</w:t>
            </w:r>
            <w:r>
              <w:rPr>
                <w:color w:val="auto"/>
                <w:sz w:val="28"/>
                <w:szCs w:val="28"/>
              </w:rPr>
              <w:t>。</w:t>
            </w:r>
          </w:p>
          <w:p>
            <w:pPr>
              <w:pStyle w:val="23"/>
              <w:spacing w:after="0" w:line="520" w:lineRule="exact"/>
              <w:ind w:firstLine="0" w:firstLineChars="0"/>
              <w:rPr>
                <w:rFonts w:hAnsi="宋体"/>
                <w:color w:val="auto"/>
                <w:sz w:val="28"/>
                <w:szCs w:val="28"/>
              </w:rPr>
            </w:pPr>
          </w:p>
        </w:tc>
      </w:tr>
    </w:tbl>
    <w:p>
      <w:pPr>
        <w:pStyle w:val="6"/>
        <w:rPr>
          <w:color w:val="auto"/>
        </w:rPr>
      </w:pPr>
      <w:r>
        <w:rPr>
          <w:color w:val="auto"/>
        </w:rPr>
        <w:br w:type="page"/>
      </w:r>
      <w:r>
        <w:rPr>
          <w:color w:val="auto"/>
        </w:rPr>
        <w:t>环境影响分析</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4" w:hRule="atLeast"/>
        </w:trPr>
        <w:tc>
          <w:tcPr>
            <w:tcW w:w="9287" w:type="dxa"/>
            <w:tcBorders>
              <w:top w:val="single" w:color="auto" w:sz="12" w:space="0"/>
              <w:left w:val="single" w:color="auto" w:sz="12" w:space="0"/>
              <w:bottom w:val="single" w:color="auto" w:sz="12" w:space="0"/>
              <w:right w:val="single" w:color="auto" w:sz="12" w:space="0"/>
            </w:tcBorders>
          </w:tcPr>
          <w:p>
            <w:pPr>
              <w:spacing w:line="520" w:lineRule="exact"/>
              <w:rPr>
                <w:b/>
                <w:color w:val="auto"/>
                <w:sz w:val="28"/>
                <w:szCs w:val="28"/>
              </w:rPr>
            </w:pPr>
            <w:r>
              <w:rPr>
                <w:b/>
                <w:color w:val="auto"/>
                <w:sz w:val="28"/>
                <w:szCs w:val="28"/>
              </w:rPr>
              <w:t>施工期环境影响分析：</w:t>
            </w:r>
          </w:p>
          <w:p>
            <w:pPr>
              <w:spacing w:line="520" w:lineRule="exact"/>
              <w:ind w:firstLine="560" w:firstLineChars="200"/>
              <w:rPr>
                <w:color w:val="auto"/>
                <w:sz w:val="28"/>
              </w:rPr>
            </w:pPr>
            <w:r>
              <w:rPr>
                <w:rFonts w:hint="eastAsia"/>
                <w:color w:val="auto"/>
                <w:sz w:val="28"/>
                <w:szCs w:val="28"/>
              </w:rPr>
              <w:t>本项目租赁巩留县众帮苯板厂已建库房，施工期已结束，方案不再对施工期进行分析评价。</w:t>
            </w:r>
          </w:p>
          <w:p>
            <w:pPr>
              <w:spacing w:line="520" w:lineRule="exact"/>
              <w:rPr>
                <w:b/>
                <w:color w:val="auto"/>
                <w:sz w:val="28"/>
                <w:szCs w:val="28"/>
              </w:rPr>
            </w:pPr>
            <w:r>
              <w:rPr>
                <w:b/>
                <w:color w:val="auto"/>
                <w:sz w:val="28"/>
                <w:szCs w:val="28"/>
              </w:rPr>
              <w:t>运营期环境影响分析：</w:t>
            </w:r>
          </w:p>
          <w:p>
            <w:pPr>
              <w:spacing w:line="520" w:lineRule="exact"/>
              <w:ind w:firstLine="560" w:firstLineChars="200"/>
              <w:rPr>
                <w:color w:val="auto"/>
                <w:sz w:val="28"/>
                <w:szCs w:val="28"/>
              </w:rPr>
            </w:pPr>
            <w:r>
              <w:rPr>
                <w:color w:val="auto"/>
                <w:sz w:val="28"/>
                <w:szCs w:val="28"/>
              </w:rPr>
              <w:t>本项目在运营期将会产生一定的废气、废水、噪声和固废等对周围环境产生影响的因子。现对这些产生的环境影响加以分析，并提出相应防治和管理措施。</w:t>
            </w:r>
          </w:p>
          <w:p>
            <w:pPr>
              <w:spacing w:line="520" w:lineRule="exact"/>
              <w:rPr>
                <w:b/>
                <w:bCs/>
                <w:color w:val="auto"/>
                <w:kern w:val="44"/>
                <w:sz w:val="28"/>
                <w:szCs w:val="44"/>
              </w:rPr>
            </w:pPr>
            <w:r>
              <w:rPr>
                <w:b/>
                <w:bCs/>
                <w:color w:val="auto"/>
                <w:kern w:val="44"/>
                <w:sz w:val="28"/>
                <w:szCs w:val="44"/>
              </w:rPr>
              <w:t>1</w:t>
            </w:r>
            <w:r>
              <w:rPr>
                <w:rFonts w:hint="eastAsia"/>
                <w:b/>
                <w:bCs/>
                <w:color w:val="auto"/>
                <w:kern w:val="44"/>
                <w:sz w:val="28"/>
                <w:szCs w:val="44"/>
              </w:rPr>
              <w:t>大气环境影响分析及防治措施</w:t>
            </w:r>
          </w:p>
          <w:p>
            <w:pPr>
              <w:pStyle w:val="6"/>
              <w:rPr>
                <w:color w:val="auto"/>
              </w:rPr>
            </w:pPr>
            <w:r>
              <w:rPr>
                <w:rFonts w:hint="eastAsia"/>
                <w:color w:val="auto"/>
              </w:rPr>
              <w:t>1.1生活废气</w:t>
            </w:r>
          </w:p>
          <w:p>
            <w:pPr>
              <w:spacing w:line="520" w:lineRule="exact"/>
              <w:ind w:firstLine="560" w:firstLineChars="200"/>
              <w:rPr>
                <w:color w:val="auto"/>
                <w:sz w:val="28"/>
                <w:szCs w:val="28"/>
              </w:rPr>
            </w:pPr>
            <w:r>
              <w:rPr>
                <w:rFonts w:hint="eastAsia"/>
                <w:color w:val="auto"/>
                <w:sz w:val="28"/>
                <w:szCs w:val="28"/>
              </w:rPr>
              <w:t>本项目厂区每天提供20人的餐食，年运行时间为270d，厂区食堂以液化石油气作为燃料，液化石油气完全燃烧后主要为CO</w:t>
            </w:r>
            <w:r>
              <w:rPr>
                <w:rFonts w:hint="eastAsia"/>
                <w:color w:val="auto"/>
                <w:sz w:val="28"/>
                <w:szCs w:val="28"/>
                <w:vertAlign w:val="subscript"/>
              </w:rPr>
              <w:t>2</w:t>
            </w:r>
            <w:r>
              <w:rPr>
                <w:rFonts w:hint="eastAsia"/>
                <w:color w:val="auto"/>
                <w:sz w:val="28"/>
                <w:szCs w:val="28"/>
              </w:rPr>
              <w:t>和水，SO</w:t>
            </w:r>
            <w:r>
              <w:rPr>
                <w:rFonts w:hint="eastAsia"/>
                <w:color w:val="auto"/>
                <w:sz w:val="28"/>
                <w:szCs w:val="28"/>
                <w:vertAlign w:val="subscript"/>
              </w:rPr>
              <w:t>2</w:t>
            </w:r>
            <w:r>
              <w:rPr>
                <w:rFonts w:hint="eastAsia"/>
                <w:color w:val="auto"/>
                <w:sz w:val="28"/>
                <w:szCs w:val="28"/>
              </w:rPr>
              <w:t>和CO产生量少，并且燃料用量少，对项目区环境不会造成明显影响。</w:t>
            </w:r>
          </w:p>
          <w:p>
            <w:pPr>
              <w:spacing w:line="520" w:lineRule="exact"/>
              <w:ind w:firstLine="560" w:firstLineChars="200"/>
              <w:rPr>
                <w:bCs/>
                <w:color w:val="auto"/>
                <w:sz w:val="28"/>
                <w:szCs w:val="28"/>
              </w:rPr>
            </w:pPr>
            <w:r>
              <w:rPr>
                <w:rFonts w:hint="eastAsia"/>
                <w:color w:val="auto"/>
                <w:sz w:val="28"/>
                <w:szCs w:val="28"/>
              </w:rPr>
              <w:t>根据类比分析，食用油消耗量按40g/人·d计算，则食用油总消耗量为0.8kg/d，</w:t>
            </w:r>
            <w:r>
              <w:rPr>
                <w:rFonts w:hint="eastAsia"/>
                <w:bCs/>
                <w:color w:val="auto"/>
                <w:sz w:val="28"/>
                <w:szCs w:val="28"/>
              </w:rPr>
              <w:t>食用油的挥发比例一般为2%～4%，本项目按3%计，则项目油烟产生量为0.024kg/d。油烟净化器设计总风量为2000</w:t>
            </w:r>
            <w:r>
              <w:rPr>
                <w:bCs/>
                <w:color w:val="auto"/>
                <w:sz w:val="28"/>
                <w:szCs w:val="28"/>
              </w:rPr>
              <w:t>m</w:t>
            </w:r>
            <w:r>
              <w:rPr>
                <w:bCs/>
                <w:color w:val="auto"/>
                <w:sz w:val="28"/>
                <w:szCs w:val="28"/>
                <w:vertAlign w:val="superscript"/>
              </w:rPr>
              <w:t>3</w:t>
            </w:r>
            <w:r>
              <w:rPr>
                <w:rFonts w:hint="eastAsia"/>
                <w:bCs/>
                <w:color w:val="auto"/>
                <w:sz w:val="28"/>
                <w:szCs w:val="28"/>
              </w:rPr>
              <w:t>/h，每天工作以3小时计，油烟产生浓度为4mg/m</w:t>
            </w:r>
            <w:r>
              <w:rPr>
                <w:bCs/>
                <w:color w:val="auto"/>
                <w:sz w:val="28"/>
                <w:szCs w:val="28"/>
                <w:vertAlign w:val="superscript"/>
              </w:rPr>
              <w:t>3</w:t>
            </w:r>
            <w:r>
              <w:rPr>
                <w:rFonts w:hint="eastAsia"/>
                <w:bCs/>
                <w:color w:val="auto"/>
                <w:sz w:val="28"/>
                <w:szCs w:val="28"/>
              </w:rPr>
              <w:t>。拟采用油烟净化处理装置进行处理后由专用排气筒由屋顶排出。油烟净化处理装置油烟去除率为75%，处理后油烟浓度为排放浓度为1mg/m</w:t>
            </w:r>
            <w:r>
              <w:rPr>
                <w:rFonts w:hint="eastAsia"/>
                <w:bCs/>
                <w:color w:val="auto"/>
                <w:sz w:val="28"/>
                <w:szCs w:val="28"/>
                <w:vertAlign w:val="superscript"/>
              </w:rPr>
              <w:t>3</w:t>
            </w:r>
            <w:r>
              <w:rPr>
                <w:rFonts w:hint="eastAsia"/>
                <w:bCs/>
                <w:color w:val="auto"/>
                <w:sz w:val="28"/>
                <w:szCs w:val="28"/>
              </w:rPr>
              <w:t>，排放量为0.006kg/d，满足《饮食业油烟排放标准（试行）》（GB18483-2001），小型油烟净化装置最低去除效率60%，最高允许排放浓度2.0mg/m</w:t>
            </w:r>
            <w:r>
              <w:rPr>
                <w:rFonts w:hint="eastAsia"/>
                <w:bCs/>
                <w:color w:val="auto"/>
                <w:sz w:val="28"/>
                <w:szCs w:val="28"/>
                <w:vertAlign w:val="superscript"/>
              </w:rPr>
              <w:t>3</w:t>
            </w:r>
            <w:r>
              <w:rPr>
                <w:rFonts w:hint="eastAsia"/>
                <w:bCs/>
                <w:color w:val="auto"/>
                <w:sz w:val="28"/>
                <w:szCs w:val="28"/>
              </w:rPr>
              <w:t>。</w:t>
            </w:r>
          </w:p>
          <w:p>
            <w:pPr>
              <w:pStyle w:val="5"/>
              <w:keepLines w:val="0"/>
              <w:jc w:val="both"/>
              <w:rPr>
                <w:color w:val="auto"/>
                <w:kern w:val="2"/>
              </w:rPr>
            </w:pPr>
            <w:r>
              <w:rPr>
                <w:rFonts w:hint="eastAsia"/>
                <w:color w:val="auto"/>
                <w:kern w:val="2"/>
              </w:rPr>
              <w:t>1.2生产废气</w:t>
            </w:r>
          </w:p>
          <w:p>
            <w:pPr>
              <w:spacing w:line="520" w:lineRule="exact"/>
              <w:ind w:firstLine="560" w:firstLineChars="200"/>
              <w:rPr>
                <w:color w:val="auto"/>
                <w:sz w:val="28"/>
                <w:szCs w:val="28"/>
              </w:rPr>
            </w:pPr>
            <w:r>
              <w:rPr>
                <w:rFonts w:hint="eastAsia"/>
                <w:color w:val="auto"/>
                <w:sz w:val="28"/>
                <w:szCs w:val="28"/>
              </w:rPr>
              <w:t>（1）有组织排放</w:t>
            </w:r>
          </w:p>
          <w:p>
            <w:pPr>
              <w:spacing w:line="520" w:lineRule="exact"/>
              <w:ind w:firstLine="560" w:firstLineChars="200"/>
              <w:rPr>
                <w:color w:val="auto"/>
                <w:sz w:val="28"/>
                <w:szCs w:val="28"/>
              </w:rPr>
            </w:pPr>
            <w:r>
              <w:rPr>
                <w:rFonts w:hint="eastAsia"/>
                <w:color w:val="auto"/>
                <w:sz w:val="28"/>
                <w:szCs w:val="28"/>
              </w:rPr>
              <w:t>生产过程中2条生产线产生的非甲烷总烃废气通过集气罩进行收集，集气罩收集效率为90%，引风机风量为10000m</w:t>
            </w:r>
            <w:r>
              <w:rPr>
                <w:rFonts w:hint="eastAsia"/>
                <w:color w:val="auto"/>
                <w:sz w:val="28"/>
                <w:szCs w:val="28"/>
                <w:vertAlign w:val="superscript"/>
              </w:rPr>
              <w:t>3</w:t>
            </w:r>
            <w:r>
              <w:rPr>
                <w:rFonts w:hint="eastAsia"/>
                <w:color w:val="auto"/>
                <w:sz w:val="28"/>
                <w:szCs w:val="28"/>
              </w:rPr>
              <w:t>/h，</w:t>
            </w:r>
            <w:r>
              <w:rPr>
                <w:rFonts w:hint="eastAsia"/>
                <w:color w:val="auto"/>
                <w:sz w:val="28"/>
                <w:szCs w:val="28"/>
              </w:rPr>
              <w:t>拟采用1套光催化氧化（处理效率50%）+活性炭吸附装置处理（处理效率60%），总净化效率为80%</w:t>
            </w:r>
            <w:r>
              <w:rPr>
                <w:rFonts w:hint="eastAsia"/>
                <w:color w:val="auto"/>
                <w:sz w:val="28"/>
                <w:szCs w:val="28"/>
              </w:rPr>
              <w:t>。生产过程中非甲烷总烃产生及排放情况见表14。</w:t>
            </w:r>
          </w:p>
          <w:p>
            <w:pPr>
              <w:spacing w:line="240" w:lineRule="exact"/>
              <w:ind w:firstLine="480" w:firstLineChars="200"/>
              <w:rPr>
                <w:rFonts w:ascii="黑体" w:eastAsia="黑体"/>
                <w:color w:val="auto"/>
                <w:sz w:val="24"/>
              </w:rPr>
            </w:pPr>
            <w:r>
              <w:rPr>
                <w:rFonts w:hint="eastAsia" w:ascii="黑体" w:eastAsia="黑体"/>
                <w:color w:val="auto"/>
                <w:sz w:val="24"/>
              </w:rPr>
              <w:t>表</w:t>
            </w:r>
            <w:r>
              <w:rPr>
                <w:rFonts w:hint="eastAsia" w:eastAsia="黑体"/>
                <w:color w:val="auto"/>
                <w:sz w:val="24"/>
              </w:rPr>
              <w:t xml:space="preserve">14 </w:t>
            </w:r>
            <w:r>
              <w:rPr>
                <w:rFonts w:hint="eastAsia" w:ascii="黑体" w:eastAsia="黑体"/>
                <w:color w:val="auto"/>
                <w:sz w:val="24"/>
              </w:rPr>
              <w:t xml:space="preserve">                  非甲烷总烃产生及排放情况表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975"/>
              <w:gridCol w:w="963"/>
              <w:gridCol w:w="1049"/>
              <w:gridCol w:w="1096"/>
              <w:gridCol w:w="893"/>
              <w:gridCol w:w="816"/>
              <w:gridCol w:w="1136"/>
              <w:gridCol w:w="114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87"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治理措施</w:t>
                  </w:r>
                </w:p>
              </w:tc>
              <w:tc>
                <w:tcPr>
                  <w:tcW w:w="530"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污染物</w:t>
                  </w:r>
                </w:p>
              </w:tc>
              <w:tc>
                <w:tcPr>
                  <w:tcW w:w="578"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风机风量</w:t>
                  </w:r>
                </w:p>
              </w:tc>
              <w:tc>
                <w:tcPr>
                  <w:tcW w:w="604"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废气产生量</w:t>
                  </w:r>
                </w:p>
              </w:tc>
              <w:tc>
                <w:tcPr>
                  <w:tcW w:w="492" w:type="pct"/>
                  <w:vAlign w:val="center"/>
                </w:tcPr>
                <w:p>
                  <w:pPr>
                    <w:widowControl/>
                    <w:jc w:val="center"/>
                    <w:rPr>
                      <w:rFonts w:ascii="宋体" w:hAnsi="宋体" w:cs="宋体"/>
                      <w:color w:val="auto"/>
                      <w:kern w:val="0"/>
                      <w:szCs w:val="21"/>
                    </w:rPr>
                  </w:pPr>
                  <w:r>
                    <w:rPr>
                      <w:rFonts w:hint="eastAsia" w:ascii="宋体" w:hAnsi="宋体" w:cs="宋体"/>
                      <w:color w:val="auto"/>
                      <w:kern w:val="0"/>
                      <w:szCs w:val="21"/>
                    </w:rPr>
                    <w:t>收集效率</w:t>
                  </w:r>
                </w:p>
              </w:tc>
              <w:tc>
                <w:tcPr>
                  <w:tcW w:w="450"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处理效率</w:t>
                  </w:r>
                </w:p>
              </w:tc>
              <w:tc>
                <w:tcPr>
                  <w:tcW w:w="626"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装置进口</w:t>
                  </w:r>
                </w:p>
              </w:tc>
              <w:tc>
                <w:tcPr>
                  <w:tcW w:w="630"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装置出口</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87" w:type="pct"/>
                  <w:vMerge w:val="restar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光催化氧化+活性炭吸附装置</w:t>
                  </w:r>
                </w:p>
              </w:tc>
              <w:tc>
                <w:tcPr>
                  <w:tcW w:w="530" w:type="pct"/>
                  <w:vMerge w:val="restar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非甲烷总烃</w:t>
                  </w:r>
                </w:p>
              </w:tc>
              <w:tc>
                <w:tcPr>
                  <w:tcW w:w="578" w:type="pct"/>
                  <w:vMerge w:val="restart"/>
                  <w:shd w:val="clear" w:color="auto" w:fill="auto"/>
                  <w:vAlign w:val="center"/>
                </w:tcPr>
                <w:p>
                  <w:pPr>
                    <w:widowControl/>
                    <w:jc w:val="center"/>
                    <w:rPr>
                      <w:color w:val="auto"/>
                      <w:kern w:val="0"/>
                      <w:szCs w:val="21"/>
                    </w:rPr>
                  </w:pPr>
                  <w:r>
                    <w:rPr>
                      <w:rFonts w:hint="eastAsia"/>
                      <w:color w:val="auto"/>
                      <w:kern w:val="0"/>
                      <w:szCs w:val="21"/>
                    </w:rPr>
                    <w:t>10</w:t>
                  </w:r>
                  <w:r>
                    <w:rPr>
                      <w:color w:val="auto"/>
                      <w:kern w:val="0"/>
                      <w:szCs w:val="21"/>
                    </w:rPr>
                    <w:t>000m</w:t>
                  </w:r>
                  <w:r>
                    <w:rPr>
                      <w:color w:val="auto"/>
                      <w:kern w:val="0"/>
                      <w:szCs w:val="21"/>
                      <w:vertAlign w:val="superscript"/>
                    </w:rPr>
                    <w:t>3</w:t>
                  </w:r>
                  <w:r>
                    <w:rPr>
                      <w:color w:val="auto"/>
                      <w:kern w:val="0"/>
                      <w:szCs w:val="21"/>
                    </w:rPr>
                    <w:t>/h</w:t>
                  </w:r>
                </w:p>
              </w:tc>
              <w:tc>
                <w:tcPr>
                  <w:tcW w:w="604" w:type="pct"/>
                  <w:vMerge w:val="restart"/>
                  <w:shd w:val="clear" w:color="auto" w:fill="auto"/>
                  <w:vAlign w:val="center"/>
                </w:tcPr>
                <w:p>
                  <w:pPr>
                    <w:widowControl/>
                    <w:jc w:val="center"/>
                    <w:rPr>
                      <w:color w:val="auto"/>
                      <w:kern w:val="0"/>
                      <w:szCs w:val="21"/>
                    </w:rPr>
                  </w:pPr>
                  <w:r>
                    <w:rPr>
                      <w:rFonts w:hint="eastAsia"/>
                      <w:color w:val="auto"/>
                      <w:kern w:val="0"/>
                      <w:szCs w:val="21"/>
                    </w:rPr>
                    <w:t>6.2t/a</w:t>
                  </w:r>
                </w:p>
              </w:tc>
              <w:tc>
                <w:tcPr>
                  <w:tcW w:w="492" w:type="pct"/>
                  <w:vMerge w:val="restart"/>
                  <w:vAlign w:val="center"/>
                </w:tcPr>
                <w:p>
                  <w:pPr>
                    <w:widowControl/>
                    <w:jc w:val="center"/>
                    <w:rPr>
                      <w:color w:val="auto"/>
                      <w:kern w:val="0"/>
                      <w:szCs w:val="21"/>
                    </w:rPr>
                  </w:pPr>
                  <w:r>
                    <w:rPr>
                      <w:rFonts w:hint="eastAsia"/>
                      <w:color w:val="auto"/>
                      <w:kern w:val="0"/>
                      <w:szCs w:val="21"/>
                    </w:rPr>
                    <w:t>90%</w:t>
                  </w:r>
                </w:p>
              </w:tc>
              <w:tc>
                <w:tcPr>
                  <w:tcW w:w="450" w:type="pct"/>
                  <w:vMerge w:val="restart"/>
                  <w:shd w:val="clear" w:color="auto" w:fill="auto"/>
                  <w:vAlign w:val="center"/>
                </w:tcPr>
                <w:p>
                  <w:pPr>
                    <w:widowControl/>
                    <w:jc w:val="center"/>
                    <w:rPr>
                      <w:color w:val="auto"/>
                      <w:kern w:val="0"/>
                      <w:szCs w:val="21"/>
                    </w:rPr>
                  </w:pPr>
                  <w:r>
                    <w:rPr>
                      <w:rFonts w:hint="eastAsia"/>
                      <w:color w:val="auto"/>
                      <w:kern w:val="0"/>
                      <w:szCs w:val="21"/>
                    </w:rPr>
                    <w:t>80</w:t>
                  </w:r>
                  <w:r>
                    <w:rPr>
                      <w:color w:val="auto"/>
                      <w:kern w:val="0"/>
                      <w:szCs w:val="21"/>
                    </w:rPr>
                    <w:t>%</w:t>
                  </w:r>
                </w:p>
              </w:tc>
              <w:tc>
                <w:tcPr>
                  <w:tcW w:w="626" w:type="pct"/>
                  <w:shd w:val="clear" w:color="auto" w:fill="auto"/>
                  <w:vAlign w:val="center"/>
                </w:tcPr>
                <w:p>
                  <w:pPr>
                    <w:widowControl/>
                    <w:jc w:val="center"/>
                    <w:rPr>
                      <w:color w:val="auto"/>
                      <w:kern w:val="0"/>
                      <w:szCs w:val="21"/>
                    </w:rPr>
                  </w:pPr>
                  <w:r>
                    <w:rPr>
                      <w:rFonts w:hint="eastAsia"/>
                      <w:color w:val="auto"/>
                      <w:kern w:val="0"/>
                      <w:szCs w:val="21"/>
                    </w:rPr>
                    <w:t>2.87kg/h</w:t>
                  </w:r>
                </w:p>
              </w:tc>
              <w:tc>
                <w:tcPr>
                  <w:tcW w:w="630" w:type="pct"/>
                  <w:shd w:val="clear" w:color="auto" w:fill="auto"/>
                  <w:vAlign w:val="center"/>
                </w:tcPr>
                <w:p>
                  <w:pPr>
                    <w:widowControl/>
                    <w:jc w:val="center"/>
                    <w:rPr>
                      <w:color w:val="auto"/>
                      <w:kern w:val="0"/>
                      <w:szCs w:val="21"/>
                    </w:rPr>
                  </w:pPr>
                  <w:r>
                    <w:rPr>
                      <w:rFonts w:hint="eastAsia"/>
                      <w:color w:val="auto"/>
                      <w:kern w:val="0"/>
                      <w:szCs w:val="21"/>
                    </w:rPr>
                    <w:t>0.52kg/h</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87" w:type="pct"/>
                  <w:vMerge w:val="continue"/>
                  <w:vAlign w:val="center"/>
                </w:tcPr>
                <w:p>
                  <w:pPr>
                    <w:widowControl/>
                    <w:jc w:val="center"/>
                    <w:rPr>
                      <w:rFonts w:ascii="宋体" w:hAnsi="宋体" w:cs="宋体"/>
                      <w:color w:val="auto"/>
                      <w:kern w:val="0"/>
                      <w:szCs w:val="21"/>
                    </w:rPr>
                  </w:pPr>
                </w:p>
              </w:tc>
              <w:tc>
                <w:tcPr>
                  <w:tcW w:w="530" w:type="pct"/>
                  <w:vMerge w:val="continue"/>
                  <w:vAlign w:val="center"/>
                </w:tcPr>
                <w:p>
                  <w:pPr>
                    <w:widowControl/>
                    <w:jc w:val="center"/>
                    <w:rPr>
                      <w:rFonts w:ascii="宋体" w:hAnsi="宋体" w:cs="宋体"/>
                      <w:color w:val="auto"/>
                      <w:kern w:val="0"/>
                      <w:szCs w:val="21"/>
                    </w:rPr>
                  </w:pPr>
                </w:p>
              </w:tc>
              <w:tc>
                <w:tcPr>
                  <w:tcW w:w="578" w:type="pct"/>
                  <w:vMerge w:val="continue"/>
                  <w:vAlign w:val="center"/>
                </w:tcPr>
                <w:p>
                  <w:pPr>
                    <w:widowControl/>
                    <w:jc w:val="center"/>
                    <w:rPr>
                      <w:color w:val="auto"/>
                      <w:kern w:val="0"/>
                      <w:szCs w:val="21"/>
                    </w:rPr>
                  </w:pPr>
                </w:p>
              </w:tc>
              <w:tc>
                <w:tcPr>
                  <w:tcW w:w="604" w:type="pct"/>
                  <w:vMerge w:val="continue"/>
                  <w:vAlign w:val="center"/>
                </w:tcPr>
                <w:p>
                  <w:pPr>
                    <w:widowControl/>
                    <w:jc w:val="center"/>
                    <w:rPr>
                      <w:color w:val="auto"/>
                      <w:kern w:val="0"/>
                      <w:szCs w:val="21"/>
                    </w:rPr>
                  </w:pPr>
                </w:p>
              </w:tc>
              <w:tc>
                <w:tcPr>
                  <w:tcW w:w="492" w:type="pct"/>
                  <w:vMerge w:val="continue"/>
                  <w:vAlign w:val="center"/>
                </w:tcPr>
                <w:p>
                  <w:pPr>
                    <w:widowControl/>
                    <w:jc w:val="center"/>
                    <w:rPr>
                      <w:color w:val="auto"/>
                      <w:kern w:val="0"/>
                      <w:szCs w:val="21"/>
                    </w:rPr>
                  </w:pPr>
                </w:p>
              </w:tc>
              <w:tc>
                <w:tcPr>
                  <w:tcW w:w="450" w:type="pct"/>
                  <w:vMerge w:val="continue"/>
                  <w:vAlign w:val="center"/>
                </w:tcPr>
                <w:p>
                  <w:pPr>
                    <w:widowControl/>
                    <w:jc w:val="center"/>
                    <w:rPr>
                      <w:color w:val="auto"/>
                      <w:kern w:val="0"/>
                      <w:szCs w:val="21"/>
                    </w:rPr>
                  </w:pPr>
                </w:p>
              </w:tc>
              <w:tc>
                <w:tcPr>
                  <w:tcW w:w="626" w:type="pct"/>
                  <w:shd w:val="clear" w:color="auto" w:fill="auto"/>
                  <w:vAlign w:val="center"/>
                </w:tcPr>
                <w:p>
                  <w:pPr>
                    <w:widowControl/>
                    <w:jc w:val="center"/>
                    <w:rPr>
                      <w:color w:val="auto"/>
                      <w:kern w:val="0"/>
                      <w:szCs w:val="21"/>
                      <w:vertAlign w:val="superscript"/>
                    </w:rPr>
                  </w:pPr>
                  <w:r>
                    <w:rPr>
                      <w:rFonts w:hint="eastAsia"/>
                      <w:color w:val="auto"/>
                      <w:kern w:val="0"/>
                      <w:szCs w:val="21"/>
                    </w:rPr>
                    <w:t>287mg/m</w:t>
                  </w:r>
                  <w:r>
                    <w:rPr>
                      <w:rFonts w:hint="eastAsia"/>
                      <w:color w:val="auto"/>
                      <w:kern w:val="0"/>
                      <w:szCs w:val="21"/>
                      <w:vertAlign w:val="superscript"/>
                    </w:rPr>
                    <w:t>3</w:t>
                  </w:r>
                </w:p>
              </w:tc>
              <w:tc>
                <w:tcPr>
                  <w:tcW w:w="630" w:type="pct"/>
                  <w:shd w:val="clear" w:color="auto" w:fill="auto"/>
                  <w:vAlign w:val="center"/>
                </w:tcPr>
                <w:p>
                  <w:pPr>
                    <w:widowControl/>
                    <w:jc w:val="center"/>
                    <w:rPr>
                      <w:color w:val="auto"/>
                      <w:kern w:val="0"/>
                      <w:szCs w:val="21"/>
                    </w:rPr>
                  </w:pPr>
                  <w:r>
                    <w:rPr>
                      <w:rFonts w:hint="eastAsia"/>
                      <w:color w:val="auto"/>
                      <w:kern w:val="0"/>
                      <w:szCs w:val="21"/>
                    </w:rPr>
                    <w:t>52mg/m</w:t>
                  </w:r>
                  <w:r>
                    <w:rPr>
                      <w:rFonts w:hint="eastAsia"/>
                      <w:color w:val="auto"/>
                      <w:kern w:val="0"/>
                      <w:szCs w:val="21"/>
                      <w:vertAlign w:val="superscript"/>
                    </w:rPr>
                    <w:t>3</w:t>
                  </w:r>
                </w:p>
              </w:tc>
            </w:tr>
          </w:tbl>
          <w:p>
            <w:pPr>
              <w:snapToGrid w:val="0"/>
              <w:spacing w:line="520" w:lineRule="exact"/>
              <w:ind w:firstLine="560" w:firstLineChars="200"/>
              <w:rPr>
                <w:rFonts w:hint="eastAsia" w:eastAsia="宋体"/>
                <w:color w:val="auto"/>
                <w:sz w:val="28"/>
                <w:szCs w:val="28"/>
                <w:lang w:eastAsia="zh-CN"/>
              </w:rPr>
            </w:pPr>
            <w:r>
              <w:rPr>
                <w:rFonts w:hint="eastAsia"/>
                <w:color w:val="auto"/>
                <w:sz w:val="28"/>
                <w:szCs w:val="28"/>
              </w:rPr>
              <w:t>从表14可知，生产过程中非甲烷总烃经活性炭吸附装置处理后排放速率为0.52kg/h，排放浓度为52mg/m</w:t>
            </w:r>
            <w:r>
              <w:rPr>
                <w:rFonts w:hint="eastAsia"/>
                <w:color w:val="auto"/>
                <w:sz w:val="28"/>
                <w:szCs w:val="28"/>
                <w:vertAlign w:val="superscript"/>
              </w:rPr>
              <w:t>3</w:t>
            </w:r>
            <w:r>
              <w:rPr>
                <w:rFonts w:hint="eastAsia"/>
                <w:color w:val="auto"/>
                <w:sz w:val="28"/>
                <w:szCs w:val="28"/>
              </w:rPr>
              <w:t>，处理后的废气通过1根15m高的排气筒排放，</w:t>
            </w:r>
            <w:r>
              <w:rPr>
                <w:rFonts w:hint="eastAsia"/>
                <w:color w:val="auto"/>
                <w:sz w:val="28"/>
                <w:szCs w:val="28"/>
                <w:lang w:val="en-US" w:eastAsia="zh-CN"/>
              </w:rPr>
              <w:t>PVC拖鞋生产线排放非甲烷总烃执行《大气污染物综合排放标准》（GB16297-1996）表2中非甲烷总烃排放限值120</w:t>
            </w:r>
            <w:r>
              <w:rPr>
                <w:rFonts w:hint="eastAsia"/>
                <w:color w:val="auto"/>
                <w:sz w:val="28"/>
                <w:szCs w:val="28"/>
              </w:rPr>
              <w:t>mg/</w:t>
            </w:r>
            <w:r>
              <w:rPr>
                <w:rFonts w:hint="eastAsia"/>
                <w:color w:val="auto"/>
                <w:sz w:val="28"/>
                <w:szCs w:val="28"/>
                <w:highlight w:val="none"/>
              </w:rPr>
              <w:t>m</w:t>
            </w:r>
            <w:r>
              <w:rPr>
                <w:rFonts w:hint="eastAsia"/>
                <w:color w:val="auto"/>
                <w:sz w:val="28"/>
                <w:szCs w:val="28"/>
                <w:highlight w:val="none"/>
                <w:vertAlign w:val="superscript"/>
              </w:rPr>
              <w:t>3</w:t>
            </w:r>
            <w:r>
              <w:rPr>
                <w:rFonts w:hint="eastAsia"/>
                <w:color w:val="auto"/>
                <w:sz w:val="28"/>
                <w:szCs w:val="28"/>
              </w:rPr>
              <w:t>的要求</w:t>
            </w:r>
            <w:r>
              <w:rPr>
                <w:rFonts w:hint="eastAsia"/>
                <w:color w:val="auto"/>
                <w:sz w:val="28"/>
                <w:szCs w:val="28"/>
                <w:lang w:eastAsia="zh-CN"/>
              </w:rPr>
              <w:t>；</w:t>
            </w:r>
            <w:r>
              <w:rPr>
                <w:rFonts w:hint="eastAsia"/>
                <w:color w:val="auto"/>
                <w:sz w:val="28"/>
                <w:szCs w:val="28"/>
                <w:lang w:val="en-US" w:eastAsia="zh-CN"/>
              </w:rPr>
              <w:t>EVA</w:t>
            </w:r>
            <w:r>
              <w:rPr>
                <w:rFonts w:hint="eastAsia"/>
                <w:color w:val="auto"/>
                <w:sz w:val="28"/>
                <w:szCs w:val="28"/>
                <w:lang w:eastAsia="zh-CN"/>
              </w:rPr>
              <w:t>塑料</w:t>
            </w:r>
            <w:r>
              <w:rPr>
                <w:rFonts w:hint="eastAsia"/>
                <w:color w:val="auto"/>
                <w:sz w:val="28"/>
                <w:szCs w:val="28"/>
              </w:rPr>
              <w:t>拖鞋生产线排放非甲烷总烃执行</w:t>
            </w:r>
            <w:r>
              <w:rPr>
                <w:rFonts w:hint="eastAsia"/>
                <w:color w:val="auto"/>
                <w:sz w:val="28"/>
                <w:szCs w:val="28"/>
              </w:rPr>
              <w:t>《合成树脂工业污染物排放标准》（GB31572-2015）表4浓度限值，非甲烷总烃浓度100mg/m</w:t>
            </w:r>
            <w:r>
              <w:rPr>
                <w:rFonts w:hint="eastAsia"/>
                <w:color w:val="auto"/>
                <w:sz w:val="28"/>
                <w:szCs w:val="28"/>
                <w:vertAlign w:val="superscript"/>
              </w:rPr>
              <w:t>3</w:t>
            </w:r>
            <w:r>
              <w:rPr>
                <w:rFonts w:hint="eastAsia"/>
                <w:color w:val="auto"/>
                <w:sz w:val="28"/>
                <w:szCs w:val="28"/>
                <w:lang w:eastAsia="zh-CN"/>
              </w:rPr>
              <w:t>，因本项目非甲烷总烃处理后经</w:t>
            </w:r>
            <w:r>
              <w:rPr>
                <w:rFonts w:hint="eastAsia"/>
                <w:color w:val="auto"/>
                <w:sz w:val="28"/>
                <w:szCs w:val="28"/>
                <w:lang w:val="en-US" w:eastAsia="zh-CN"/>
              </w:rPr>
              <w:t>1根排气筒排出，故本项目执行</w:t>
            </w:r>
            <w:r>
              <w:rPr>
                <w:rFonts w:hint="eastAsia"/>
                <w:color w:val="auto"/>
                <w:sz w:val="28"/>
                <w:szCs w:val="28"/>
              </w:rPr>
              <w:t>《合成树脂工业污染物排放标准》（GB31572-2015）表4浓度限值，非甲烷总烃浓度100mg/m</w:t>
            </w:r>
            <w:r>
              <w:rPr>
                <w:rFonts w:hint="eastAsia"/>
                <w:color w:val="auto"/>
                <w:sz w:val="28"/>
                <w:szCs w:val="28"/>
                <w:vertAlign w:val="superscript"/>
              </w:rPr>
              <w:t>3</w:t>
            </w:r>
            <w:r>
              <w:rPr>
                <w:rFonts w:hint="eastAsia"/>
                <w:color w:val="auto"/>
                <w:sz w:val="28"/>
                <w:szCs w:val="28"/>
              </w:rPr>
              <w:t>。</w:t>
            </w:r>
          </w:p>
          <w:p>
            <w:pPr>
              <w:spacing w:line="520" w:lineRule="exact"/>
              <w:ind w:firstLine="560" w:firstLineChars="200"/>
              <w:rPr>
                <w:color w:val="auto"/>
                <w:sz w:val="28"/>
                <w:szCs w:val="28"/>
              </w:rPr>
            </w:pPr>
            <w:r>
              <w:rPr>
                <w:rFonts w:hint="eastAsia"/>
                <w:color w:val="auto"/>
                <w:sz w:val="28"/>
                <w:szCs w:val="28"/>
              </w:rPr>
              <w:t>（2）无组织污染排放</w:t>
            </w:r>
          </w:p>
          <w:p>
            <w:pPr>
              <w:spacing w:line="520" w:lineRule="exact"/>
              <w:ind w:firstLine="560" w:firstLineChars="200"/>
              <w:rPr>
                <w:color w:val="auto"/>
                <w:sz w:val="28"/>
                <w:szCs w:val="28"/>
              </w:rPr>
            </w:pPr>
            <w:r>
              <w:rPr>
                <w:rFonts w:hint="eastAsia"/>
                <w:color w:val="auto"/>
                <w:sz w:val="28"/>
                <w:szCs w:val="28"/>
              </w:rPr>
              <w:t>项目PVC、EVA塑料拖鞋生产过程中会产生非甲烷总烃废气，其中90%通过集气罩集中收集处理，10%为无组织排放，无组织污染物排放情况见表15。</w:t>
            </w:r>
          </w:p>
          <w:p>
            <w:pPr>
              <w:ind w:firstLine="480" w:firstLineChars="200"/>
              <w:rPr>
                <w:color w:val="auto"/>
                <w:sz w:val="28"/>
                <w:szCs w:val="28"/>
              </w:rPr>
            </w:pPr>
            <w:r>
              <w:rPr>
                <w:rFonts w:hint="eastAsia" w:eastAsia="黑体"/>
                <w:color w:val="auto"/>
                <w:sz w:val="24"/>
              </w:rPr>
              <w:t>表15                  无组织污染物产生及排放情况表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916"/>
              <w:gridCol w:w="3342"/>
              <w:gridCol w:w="381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56" w:type="pct"/>
                  <w:shd w:val="clear" w:color="auto" w:fill="auto"/>
                  <w:vAlign w:val="center"/>
                </w:tcPr>
                <w:p>
                  <w:pPr>
                    <w:widowControl/>
                    <w:jc w:val="center"/>
                    <w:rPr>
                      <w:rFonts w:cs="宋体"/>
                      <w:color w:val="auto"/>
                      <w:kern w:val="0"/>
                      <w:szCs w:val="21"/>
                    </w:rPr>
                  </w:pPr>
                  <w:r>
                    <w:rPr>
                      <w:rFonts w:hint="eastAsia" w:cs="宋体"/>
                      <w:color w:val="auto"/>
                      <w:kern w:val="0"/>
                      <w:szCs w:val="21"/>
                    </w:rPr>
                    <w:t>污染物</w:t>
                  </w:r>
                </w:p>
              </w:tc>
              <w:tc>
                <w:tcPr>
                  <w:tcW w:w="1842" w:type="pct"/>
                  <w:shd w:val="clear" w:color="auto" w:fill="auto"/>
                  <w:vAlign w:val="center"/>
                </w:tcPr>
                <w:p>
                  <w:pPr>
                    <w:widowControl/>
                    <w:jc w:val="center"/>
                    <w:rPr>
                      <w:rFonts w:cs="宋体"/>
                      <w:color w:val="auto"/>
                      <w:kern w:val="0"/>
                      <w:szCs w:val="21"/>
                    </w:rPr>
                  </w:pPr>
                  <w:r>
                    <w:rPr>
                      <w:rFonts w:hint="eastAsia" w:cs="宋体"/>
                      <w:color w:val="auto"/>
                      <w:kern w:val="0"/>
                      <w:szCs w:val="21"/>
                    </w:rPr>
                    <w:t>无组织排放量</w:t>
                  </w:r>
                </w:p>
              </w:tc>
              <w:tc>
                <w:tcPr>
                  <w:tcW w:w="2103" w:type="pct"/>
                  <w:shd w:val="clear" w:color="auto" w:fill="auto"/>
                  <w:vAlign w:val="center"/>
                </w:tcPr>
                <w:p>
                  <w:pPr>
                    <w:widowControl/>
                    <w:jc w:val="center"/>
                    <w:rPr>
                      <w:rFonts w:cs="宋体"/>
                      <w:color w:val="auto"/>
                      <w:kern w:val="0"/>
                      <w:szCs w:val="21"/>
                    </w:rPr>
                  </w:pPr>
                  <w:r>
                    <w:rPr>
                      <w:rFonts w:hint="eastAsia" w:cs="宋体"/>
                      <w:color w:val="auto"/>
                      <w:kern w:val="0"/>
                      <w:szCs w:val="21"/>
                    </w:rPr>
                    <w:t>无组织排放速率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56" w:type="pct"/>
                  <w:vAlign w:val="center"/>
                </w:tcPr>
                <w:p>
                  <w:pPr>
                    <w:widowControl/>
                    <w:jc w:val="center"/>
                    <w:rPr>
                      <w:rFonts w:cs="宋体"/>
                      <w:color w:val="auto"/>
                      <w:kern w:val="0"/>
                      <w:szCs w:val="21"/>
                    </w:rPr>
                  </w:pPr>
                  <w:r>
                    <w:rPr>
                      <w:rFonts w:hint="eastAsia" w:cs="宋体"/>
                      <w:color w:val="auto"/>
                      <w:kern w:val="0"/>
                      <w:szCs w:val="21"/>
                    </w:rPr>
                    <w:t>非甲烷总烃</w:t>
                  </w:r>
                </w:p>
              </w:tc>
              <w:tc>
                <w:tcPr>
                  <w:tcW w:w="1842" w:type="pct"/>
                  <w:vAlign w:val="center"/>
                </w:tcPr>
                <w:p>
                  <w:pPr>
                    <w:widowControl/>
                    <w:jc w:val="center"/>
                    <w:rPr>
                      <w:color w:val="auto"/>
                      <w:kern w:val="0"/>
                      <w:szCs w:val="21"/>
                    </w:rPr>
                  </w:pPr>
                  <w:r>
                    <w:rPr>
                      <w:rFonts w:hint="eastAsia"/>
                      <w:color w:val="auto"/>
                      <w:kern w:val="0"/>
                      <w:szCs w:val="21"/>
                    </w:rPr>
                    <w:t>0.62t/a</w:t>
                  </w:r>
                </w:p>
              </w:tc>
              <w:tc>
                <w:tcPr>
                  <w:tcW w:w="2103" w:type="pct"/>
                  <w:vAlign w:val="center"/>
                </w:tcPr>
                <w:p>
                  <w:pPr>
                    <w:widowControl/>
                    <w:jc w:val="center"/>
                    <w:rPr>
                      <w:color w:val="auto"/>
                      <w:kern w:val="0"/>
                      <w:szCs w:val="21"/>
                    </w:rPr>
                  </w:pPr>
                  <w:r>
                    <w:rPr>
                      <w:rFonts w:hint="eastAsia"/>
                      <w:color w:val="auto"/>
                      <w:kern w:val="0"/>
                      <w:szCs w:val="21"/>
                    </w:rPr>
                    <w:t>0.287kg/h</w:t>
                  </w:r>
                </w:p>
              </w:tc>
            </w:tr>
          </w:tbl>
          <w:p>
            <w:pPr>
              <w:adjustRightInd w:val="0"/>
              <w:snapToGrid w:val="0"/>
              <w:spacing w:line="520" w:lineRule="exact"/>
              <w:rPr>
                <w:b/>
                <w:color w:val="auto"/>
                <w:sz w:val="28"/>
                <w:szCs w:val="28"/>
              </w:rPr>
            </w:pPr>
            <w:r>
              <w:rPr>
                <w:rFonts w:hint="eastAsia"/>
                <w:b/>
                <w:color w:val="auto"/>
                <w:sz w:val="28"/>
                <w:szCs w:val="28"/>
              </w:rPr>
              <w:t>1.2.1影响预测</w:t>
            </w:r>
          </w:p>
          <w:p>
            <w:pPr>
              <w:pStyle w:val="107"/>
              <w:ind w:firstLine="560"/>
              <w:rPr>
                <w:color w:val="auto"/>
              </w:rPr>
            </w:pPr>
            <w:r>
              <w:rPr>
                <w:rFonts w:hint="eastAsia"/>
                <w:color w:val="auto"/>
              </w:rPr>
              <w:t>（1）有组织废气</w:t>
            </w:r>
          </w:p>
          <w:p>
            <w:pPr>
              <w:spacing w:line="520" w:lineRule="exact"/>
              <w:ind w:firstLine="560" w:firstLineChars="200"/>
              <w:rPr>
                <w:color w:val="auto"/>
                <w:sz w:val="28"/>
                <w:szCs w:val="28"/>
              </w:rPr>
            </w:pPr>
            <w:r>
              <w:rPr>
                <w:rFonts w:hint="eastAsia"/>
                <w:color w:val="auto"/>
                <w:sz w:val="28"/>
                <w:szCs w:val="28"/>
              </w:rPr>
              <w:t>根据工程分析，项目产生有组织废气主要有非甲烷总烃</w:t>
            </w:r>
            <w:r>
              <w:rPr>
                <w:color w:val="auto"/>
                <w:sz w:val="28"/>
                <w:szCs w:val="28"/>
              </w:rPr>
              <w:t>采用</w:t>
            </w:r>
            <w:r>
              <w:rPr>
                <w:rFonts w:hint="eastAsia"/>
                <w:color w:val="auto"/>
                <w:sz w:val="28"/>
                <w:szCs w:val="28"/>
              </w:rPr>
              <w:t>AERSCREEN</w:t>
            </w:r>
            <w:r>
              <w:rPr>
                <w:color w:val="auto"/>
                <w:sz w:val="28"/>
                <w:szCs w:val="28"/>
              </w:rPr>
              <w:t>估算模式</w:t>
            </w:r>
            <w:r>
              <w:rPr>
                <w:rFonts w:hint="eastAsia"/>
                <w:color w:val="auto"/>
                <w:sz w:val="28"/>
                <w:szCs w:val="28"/>
              </w:rPr>
              <w:t>对项目有组织废气进行预测。</w:t>
            </w:r>
          </w:p>
          <w:p>
            <w:pPr>
              <w:pStyle w:val="104"/>
              <w:ind w:firstLine="480"/>
              <w:rPr>
                <w:rFonts w:hint="eastAsia"/>
                <w:color w:val="auto"/>
              </w:rPr>
            </w:pPr>
          </w:p>
          <w:p>
            <w:pPr>
              <w:pStyle w:val="104"/>
              <w:ind w:firstLine="480"/>
              <w:rPr>
                <w:rFonts w:hint="eastAsia"/>
                <w:color w:val="auto"/>
              </w:rPr>
            </w:pPr>
          </w:p>
          <w:p>
            <w:pPr>
              <w:pStyle w:val="104"/>
              <w:ind w:firstLine="480"/>
              <w:rPr>
                <w:rFonts w:hint="eastAsia"/>
                <w:color w:val="auto"/>
              </w:rPr>
            </w:pPr>
          </w:p>
          <w:p>
            <w:pPr>
              <w:pStyle w:val="104"/>
              <w:ind w:firstLine="480"/>
              <w:rPr>
                <w:rFonts w:hint="eastAsia"/>
                <w:color w:val="auto"/>
              </w:rPr>
            </w:pPr>
          </w:p>
          <w:p>
            <w:pPr>
              <w:pStyle w:val="104"/>
              <w:ind w:firstLine="480"/>
              <w:rPr>
                <w:rFonts w:hint="eastAsia"/>
                <w:color w:val="auto"/>
              </w:rPr>
            </w:pPr>
          </w:p>
          <w:p>
            <w:pPr>
              <w:pStyle w:val="104"/>
              <w:ind w:firstLine="480"/>
              <w:rPr>
                <w:color w:val="auto"/>
              </w:rPr>
            </w:pPr>
            <w:r>
              <w:rPr>
                <w:rFonts w:hint="eastAsia"/>
                <w:color w:val="auto"/>
              </w:rPr>
              <w:t>表16                  评价因子和评价标准表</w:t>
            </w:r>
          </w:p>
          <w:tbl>
            <w:tblPr>
              <w:tblStyle w:val="24"/>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707"/>
              <w:gridCol w:w="1274"/>
              <w:gridCol w:w="1417"/>
              <w:gridCol w:w="2126"/>
              <w:gridCol w:w="3547"/>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389" w:type="pct"/>
                  <w:vAlign w:val="center"/>
                </w:tcPr>
                <w:p>
                  <w:pPr>
                    <w:jc w:val="center"/>
                    <w:rPr>
                      <w:color w:val="auto"/>
                    </w:rPr>
                  </w:pPr>
                  <w:r>
                    <w:rPr>
                      <w:rFonts w:hint="eastAsia"/>
                      <w:color w:val="auto"/>
                    </w:rPr>
                    <w:t>序号</w:t>
                  </w:r>
                </w:p>
              </w:tc>
              <w:tc>
                <w:tcPr>
                  <w:tcW w:w="702" w:type="pct"/>
                  <w:vAlign w:val="center"/>
                </w:tcPr>
                <w:p>
                  <w:pPr>
                    <w:jc w:val="center"/>
                    <w:rPr>
                      <w:color w:val="auto"/>
                    </w:rPr>
                  </w:pPr>
                  <w:r>
                    <w:rPr>
                      <w:rFonts w:hint="eastAsia"/>
                      <w:color w:val="auto"/>
                    </w:rPr>
                    <w:t>污染物</w:t>
                  </w:r>
                </w:p>
              </w:tc>
              <w:tc>
                <w:tcPr>
                  <w:tcW w:w="781" w:type="pct"/>
                  <w:vAlign w:val="center"/>
                </w:tcPr>
                <w:p>
                  <w:pPr>
                    <w:jc w:val="center"/>
                    <w:rPr>
                      <w:color w:val="auto"/>
                    </w:rPr>
                  </w:pPr>
                  <w:r>
                    <w:rPr>
                      <w:rFonts w:hint="eastAsia"/>
                      <w:color w:val="auto"/>
                    </w:rPr>
                    <w:t>时段</w:t>
                  </w:r>
                </w:p>
              </w:tc>
              <w:tc>
                <w:tcPr>
                  <w:tcW w:w="1172" w:type="pct"/>
                  <w:vAlign w:val="center"/>
                </w:tcPr>
                <w:p>
                  <w:pPr>
                    <w:jc w:val="center"/>
                    <w:rPr>
                      <w:color w:val="auto"/>
                    </w:rPr>
                  </w:pPr>
                  <w:r>
                    <w:rPr>
                      <w:rFonts w:hint="eastAsia"/>
                      <w:color w:val="auto"/>
                    </w:rPr>
                    <w:t>标准值限值（mg/m</w:t>
                  </w:r>
                  <w:r>
                    <w:rPr>
                      <w:rFonts w:hint="eastAsia"/>
                      <w:color w:val="auto"/>
                      <w:vertAlign w:val="superscript"/>
                    </w:rPr>
                    <w:t>3</w:t>
                  </w:r>
                  <w:r>
                    <w:rPr>
                      <w:rFonts w:hint="eastAsia"/>
                      <w:color w:val="auto"/>
                    </w:rPr>
                    <w:t>）</w:t>
                  </w:r>
                </w:p>
              </w:tc>
              <w:tc>
                <w:tcPr>
                  <w:tcW w:w="1954" w:type="pct"/>
                  <w:vAlign w:val="center"/>
                </w:tcPr>
                <w:p>
                  <w:pPr>
                    <w:jc w:val="center"/>
                    <w:rPr>
                      <w:color w:val="auto"/>
                    </w:rPr>
                  </w:pPr>
                  <w:r>
                    <w:rPr>
                      <w:rFonts w:hint="eastAsia"/>
                      <w:color w:val="auto"/>
                    </w:rPr>
                    <w:t>参考标准</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89" w:type="pct"/>
                  <w:vAlign w:val="center"/>
                </w:tcPr>
                <w:p>
                  <w:pPr>
                    <w:jc w:val="center"/>
                    <w:rPr>
                      <w:color w:val="auto"/>
                    </w:rPr>
                  </w:pPr>
                  <w:r>
                    <w:rPr>
                      <w:rFonts w:hint="eastAsia"/>
                      <w:color w:val="auto"/>
                    </w:rPr>
                    <w:t>1</w:t>
                  </w:r>
                </w:p>
              </w:tc>
              <w:tc>
                <w:tcPr>
                  <w:tcW w:w="702" w:type="pct"/>
                  <w:vAlign w:val="center"/>
                </w:tcPr>
                <w:p>
                  <w:pPr>
                    <w:jc w:val="center"/>
                    <w:rPr>
                      <w:color w:val="auto"/>
                    </w:rPr>
                  </w:pPr>
                  <w:r>
                    <w:rPr>
                      <w:rFonts w:hint="eastAsia"/>
                      <w:color w:val="auto"/>
                    </w:rPr>
                    <w:t>非甲烷总烃</w:t>
                  </w:r>
                </w:p>
              </w:tc>
              <w:tc>
                <w:tcPr>
                  <w:tcW w:w="781" w:type="pct"/>
                  <w:vAlign w:val="center"/>
                </w:tcPr>
                <w:p>
                  <w:pPr>
                    <w:jc w:val="center"/>
                    <w:rPr>
                      <w:color w:val="auto"/>
                    </w:rPr>
                  </w:pPr>
                  <w:r>
                    <w:rPr>
                      <w:rFonts w:hint="eastAsia"/>
                      <w:color w:val="auto"/>
                    </w:rPr>
                    <w:t>一次值</w:t>
                  </w:r>
                </w:p>
              </w:tc>
              <w:tc>
                <w:tcPr>
                  <w:tcW w:w="1172" w:type="pct"/>
                  <w:vAlign w:val="center"/>
                </w:tcPr>
                <w:p>
                  <w:pPr>
                    <w:jc w:val="center"/>
                    <w:rPr>
                      <w:color w:val="auto"/>
                    </w:rPr>
                  </w:pPr>
                  <w:r>
                    <w:rPr>
                      <w:rFonts w:hint="eastAsia"/>
                      <w:color w:val="auto"/>
                    </w:rPr>
                    <w:t>2</w:t>
                  </w:r>
                </w:p>
              </w:tc>
              <w:tc>
                <w:tcPr>
                  <w:tcW w:w="1954" w:type="pct"/>
                  <w:vAlign w:val="center"/>
                </w:tcPr>
                <w:p>
                  <w:pPr>
                    <w:jc w:val="center"/>
                    <w:rPr>
                      <w:color w:val="auto"/>
                    </w:rPr>
                  </w:pPr>
                  <w:r>
                    <w:rPr>
                      <w:rFonts w:hint="eastAsia"/>
                      <w:color w:val="auto"/>
                    </w:rPr>
                    <w:t>《大气污染物综合排放标准详解》</w:t>
                  </w:r>
                </w:p>
              </w:tc>
            </w:tr>
          </w:tbl>
          <w:p>
            <w:pPr>
              <w:pStyle w:val="104"/>
              <w:spacing w:before="156" w:beforeLines="50"/>
              <w:ind w:firstLine="480"/>
              <w:rPr>
                <w:color w:val="auto"/>
              </w:rPr>
            </w:pPr>
            <w:r>
              <w:rPr>
                <w:color w:val="auto"/>
              </w:rPr>
              <w:t>表</w:t>
            </w:r>
            <w:r>
              <w:rPr>
                <w:rFonts w:hint="eastAsia"/>
                <w:color w:val="auto"/>
              </w:rPr>
              <w:t>17</w:t>
            </w:r>
            <w:r>
              <w:rPr>
                <w:color w:val="auto"/>
              </w:rPr>
              <w:t xml:space="preserve">            </w:t>
            </w:r>
            <w:r>
              <w:rPr>
                <w:rFonts w:hint="eastAsia"/>
                <w:color w:val="auto"/>
              </w:rPr>
              <w:t xml:space="preserve">       </w:t>
            </w:r>
            <w:r>
              <w:rPr>
                <w:color w:val="auto"/>
              </w:rPr>
              <w:t xml:space="preserve">  </w:t>
            </w:r>
            <w:r>
              <w:rPr>
                <w:rFonts w:hint="eastAsia"/>
                <w:color w:val="auto"/>
              </w:rPr>
              <w:t>污染源</w:t>
            </w:r>
            <w:r>
              <w:rPr>
                <w:color w:val="auto"/>
              </w:rPr>
              <w:t>参数表</w:t>
            </w:r>
          </w:p>
          <w:tbl>
            <w:tblPr>
              <w:tblStyle w:val="24"/>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0" w:type="dxa"/>
                <w:bottom w:w="0" w:type="dxa"/>
                <w:right w:w="0" w:type="dxa"/>
              </w:tblCellMar>
            </w:tblPr>
            <w:tblGrid>
              <w:gridCol w:w="531"/>
              <w:gridCol w:w="1080"/>
              <w:gridCol w:w="1267"/>
              <w:gridCol w:w="1019"/>
              <w:gridCol w:w="1214"/>
              <w:gridCol w:w="923"/>
              <w:gridCol w:w="1098"/>
              <w:gridCol w:w="1170"/>
              <w:gridCol w:w="76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293" w:type="pct"/>
                  <w:vMerge w:val="restart"/>
                  <w:vAlign w:val="center"/>
                </w:tcPr>
                <w:p>
                  <w:pPr>
                    <w:pStyle w:val="103"/>
                    <w:rPr>
                      <w:rFonts w:ascii="Times New Roman" w:hAnsi="Times New Roman"/>
                      <w:color w:val="auto"/>
                    </w:rPr>
                  </w:pPr>
                  <w:r>
                    <w:rPr>
                      <w:rFonts w:ascii="Times New Roman" w:hAnsi="Times New Roman"/>
                      <w:color w:val="auto"/>
                    </w:rPr>
                    <w:t>编号</w:t>
                  </w:r>
                </w:p>
              </w:tc>
              <w:tc>
                <w:tcPr>
                  <w:tcW w:w="595" w:type="pct"/>
                  <w:vMerge w:val="restart"/>
                  <w:vAlign w:val="center"/>
                </w:tcPr>
                <w:p>
                  <w:pPr>
                    <w:pStyle w:val="103"/>
                    <w:rPr>
                      <w:rFonts w:ascii="Times New Roman" w:hAnsi="Times New Roman"/>
                      <w:color w:val="auto"/>
                    </w:rPr>
                  </w:pPr>
                  <w:r>
                    <w:rPr>
                      <w:rFonts w:ascii="Times New Roman" w:hAnsi="Times New Roman"/>
                      <w:color w:val="auto"/>
                    </w:rPr>
                    <w:t>名称</w:t>
                  </w:r>
                </w:p>
              </w:tc>
              <w:tc>
                <w:tcPr>
                  <w:tcW w:w="698" w:type="pct"/>
                  <w:vMerge w:val="restart"/>
                  <w:vAlign w:val="center"/>
                </w:tcPr>
                <w:p>
                  <w:pPr>
                    <w:pStyle w:val="103"/>
                    <w:rPr>
                      <w:rFonts w:ascii="Times New Roman" w:hAnsi="Times New Roman"/>
                      <w:color w:val="auto"/>
                    </w:rPr>
                  </w:pPr>
                  <w:r>
                    <w:rPr>
                      <w:rFonts w:ascii="Times New Roman" w:hAnsi="Times New Roman"/>
                      <w:color w:val="auto"/>
                    </w:rPr>
                    <w:t>污染物</w:t>
                  </w:r>
                </w:p>
              </w:tc>
              <w:tc>
                <w:tcPr>
                  <w:tcW w:w="561" w:type="pct"/>
                  <w:vMerge w:val="restart"/>
                  <w:vAlign w:val="center"/>
                </w:tcPr>
                <w:p>
                  <w:pPr>
                    <w:pStyle w:val="103"/>
                    <w:rPr>
                      <w:rFonts w:ascii="Times New Roman" w:hAnsi="Times New Roman"/>
                      <w:color w:val="auto"/>
                    </w:rPr>
                  </w:pPr>
                  <w:r>
                    <w:rPr>
                      <w:rFonts w:ascii="Times New Roman" w:hAnsi="Times New Roman"/>
                      <w:color w:val="auto"/>
                    </w:rPr>
                    <w:t>污染源强</w:t>
                  </w:r>
                </w:p>
                <w:p>
                  <w:pPr>
                    <w:pStyle w:val="103"/>
                    <w:rPr>
                      <w:rFonts w:ascii="Times New Roman" w:hAnsi="Times New Roman"/>
                      <w:color w:val="auto"/>
                    </w:rPr>
                  </w:pPr>
                  <w:r>
                    <w:rPr>
                      <w:rFonts w:ascii="Times New Roman" w:hAnsi="Times New Roman"/>
                      <w:color w:val="auto"/>
                    </w:rPr>
                    <w:t>（</w:t>
                  </w:r>
                  <w:r>
                    <w:rPr>
                      <w:rFonts w:hint="eastAsia" w:ascii="Times New Roman" w:hAnsi="Times New Roman"/>
                      <w:color w:val="auto"/>
                    </w:rPr>
                    <w:t>kg/h</w:t>
                  </w:r>
                  <w:r>
                    <w:rPr>
                      <w:rFonts w:ascii="Times New Roman" w:hAnsi="Times New Roman"/>
                      <w:color w:val="auto"/>
                    </w:rPr>
                    <w:t>）</w:t>
                  </w:r>
                </w:p>
              </w:tc>
              <w:tc>
                <w:tcPr>
                  <w:tcW w:w="668" w:type="pct"/>
                  <w:vMerge w:val="restart"/>
                  <w:vAlign w:val="center"/>
                </w:tcPr>
                <w:p>
                  <w:pPr>
                    <w:pStyle w:val="103"/>
                    <w:rPr>
                      <w:rFonts w:ascii="Times New Roman" w:hAnsi="Times New Roman"/>
                      <w:color w:val="auto"/>
                    </w:rPr>
                  </w:pPr>
                  <w:r>
                    <w:rPr>
                      <w:rFonts w:ascii="Times New Roman" w:hAnsi="Times New Roman"/>
                      <w:color w:val="auto"/>
                    </w:rPr>
                    <w:t>排气温度（</w:t>
                  </w:r>
                  <w:r>
                    <w:rPr>
                      <w:rFonts w:hint="eastAsia" w:ascii="Times New Roman" w:hAnsi="Times New Roman" w:cs="宋体"/>
                      <w:color w:val="auto"/>
                    </w:rPr>
                    <w:t>℃</w:t>
                  </w:r>
                  <w:r>
                    <w:rPr>
                      <w:rFonts w:ascii="Times New Roman" w:hAnsi="Times New Roman"/>
                      <w:color w:val="auto"/>
                    </w:rPr>
                    <w:t>）</w:t>
                  </w:r>
                </w:p>
              </w:tc>
              <w:tc>
                <w:tcPr>
                  <w:tcW w:w="1112" w:type="pct"/>
                  <w:gridSpan w:val="2"/>
                  <w:vAlign w:val="center"/>
                </w:tcPr>
                <w:p>
                  <w:pPr>
                    <w:pStyle w:val="103"/>
                    <w:rPr>
                      <w:rFonts w:ascii="Times New Roman" w:hAnsi="Times New Roman"/>
                      <w:color w:val="auto"/>
                    </w:rPr>
                  </w:pPr>
                  <w:r>
                    <w:rPr>
                      <w:rFonts w:hint="eastAsia" w:ascii="Times New Roman" w:hAnsi="Times New Roman"/>
                      <w:color w:val="auto"/>
                    </w:rPr>
                    <w:t>烟囱规格</w:t>
                  </w:r>
                  <w:r>
                    <w:rPr>
                      <w:rFonts w:ascii="Times New Roman" w:hAnsi="Times New Roman"/>
                      <w:color w:val="auto"/>
                    </w:rPr>
                    <w:t>（m）</w:t>
                  </w:r>
                </w:p>
              </w:tc>
              <w:tc>
                <w:tcPr>
                  <w:tcW w:w="644" w:type="pct"/>
                  <w:vMerge w:val="restart"/>
                  <w:vAlign w:val="center"/>
                </w:tcPr>
                <w:p>
                  <w:pPr>
                    <w:pStyle w:val="103"/>
                    <w:rPr>
                      <w:rFonts w:ascii="Times New Roman" w:hAnsi="Times New Roman"/>
                      <w:color w:val="auto"/>
                    </w:rPr>
                  </w:pPr>
                  <w:r>
                    <w:rPr>
                      <w:rFonts w:ascii="Times New Roman" w:hAnsi="Times New Roman"/>
                      <w:color w:val="auto"/>
                    </w:rPr>
                    <w:t>排气量</w:t>
                  </w:r>
                </w:p>
                <w:p>
                  <w:pPr>
                    <w:pStyle w:val="103"/>
                    <w:rPr>
                      <w:rFonts w:ascii="Times New Roman" w:hAnsi="Times New Roman"/>
                      <w:color w:val="auto"/>
                    </w:rPr>
                  </w:pPr>
                  <w:r>
                    <w:rPr>
                      <w:rFonts w:ascii="Times New Roman" w:hAnsi="Times New Roman"/>
                      <w:color w:val="auto"/>
                    </w:rPr>
                    <w:t>（Nm</w:t>
                  </w:r>
                  <w:r>
                    <w:rPr>
                      <w:rFonts w:ascii="Times New Roman" w:hAnsi="Times New Roman"/>
                      <w:color w:val="auto"/>
                      <w:vertAlign w:val="superscript"/>
                    </w:rPr>
                    <w:t>3</w:t>
                  </w:r>
                  <w:r>
                    <w:rPr>
                      <w:rFonts w:ascii="Times New Roman" w:hAnsi="Times New Roman"/>
                      <w:color w:val="auto"/>
                    </w:rPr>
                    <w:t>/</w:t>
                  </w:r>
                  <w:r>
                    <w:rPr>
                      <w:rFonts w:hint="eastAsia" w:ascii="Times New Roman" w:hAnsi="Times New Roman"/>
                      <w:color w:val="auto"/>
                    </w:rPr>
                    <w:t>h</w:t>
                  </w:r>
                  <w:r>
                    <w:rPr>
                      <w:rFonts w:ascii="Times New Roman" w:hAnsi="Times New Roman"/>
                      <w:color w:val="auto"/>
                    </w:rPr>
                    <w:t>）</w:t>
                  </w:r>
                </w:p>
              </w:tc>
              <w:tc>
                <w:tcPr>
                  <w:tcW w:w="424" w:type="pct"/>
                  <w:vMerge w:val="restart"/>
                  <w:vAlign w:val="center"/>
                </w:tcPr>
                <w:p>
                  <w:pPr>
                    <w:pStyle w:val="103"/>
                    <w:rPr>
                      <w:rFonts w:ascii="Times New Roman" w:hAnsi="Times New Roman"/>
                      <w:color w:val="auto"/>
                    </w:rPr>
                  </w:pPr>
                  <w:r>
                    <w:rPr>
                      <w:rFonts w:hint="eastAsia" w:ascii="Times New Roman" w:hAnsi="Times New Roman"/>
                      <w:color w:val="auto"/>
                    </w:rPr>
                    <w:t>烟气流速（m/s）</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293" w:type="pct"/>
                  <w:vMerge w:val="continue"/>
                  <w:vAlign w:val="center"/>
                </w:tcPr>
                <w:p>
                  <w:pPr>
                    <w:pStyle w:val="103"/>
                    <w:rPr>
                      <w:rFonts w:ascii="Times New Roman" w:hAnsi="Times New Roman"/>
                      <w:color w:val="auto"/>
                    </w:rPr>
                  </w:pPr>
                </w:p>
              </w:tc>
              <w:tc>
                <w:tcPr>
                  <w:tcW w:w="595" w:type="pct"/>
                  <w:vMerge w:val="continue"/>
                  <w:vAlign w:val="center"/>
                </w:tcPr>
                <w:p>
                  <w:pPr>
                    <w:pStyle w:val="103"/>
                    <w:rPr>
                      <w:rFonts w:ascii="Times New Roman" w:hAnsi="Times New Roman"/>
                      <w:color w:val="auto"/>
                    </w:rPr>
                  </w:pPr>
                </w:p>
              </w:tc>
              <w:tc>
                <w:tcPr>
                  <w:tcW w:w="698" w:type="pct"/>
                  <w:vMerge w:val="continue"/>
                  <w:vAlign w:val="center"/>
                </w:tcPr>
                <w:p>
                  <w:pPr>
                    <w:pStyle w:val="103"/>
                    <w:rPr>
                      <w:rFonts w:ascii="Times New Roman" w:hAnsi="Times New Roman"/>
                      <w:color w:val="auto"/>
                    </w:rPr>
                  </w:pPr>
                </w:p>
              </w:tc>
              <w:tc>
                <w:tcPr>
                  <w:tcW w:w="561" w:type="pct"/>
                  <w:vMerge w:val="continue"/>
                  <w:vAlign w:val="center"/>
                </w:tcPr>
                <w:p>
                  <w:pPr>
                    <w:pStyle w:val="103"/>
                    <w:rPr>
                      <w:rFonts w:ascii="Times New Roman" w:hAnsi="Times New Roman"/>
                      <w:color w:val="auto"/>
                    </w:rPr>
                  </w:pPr>
                </w:p>
              </w:tc>
              <w:tc>
                <w:tcPr>
                  <w:tcW w:w="668" w:type="pct"/>
                  <w:vMerge w:val="continue"/>
                  <w:vAlign w:val="center"/>
                </w:tcPr>
                <w:p>
                  <w:pPr>
                    <w:pStyle w:val="103"/>
                    <w:rPr>
                      <w:rFonts w:ascii="Times New Roman" w:hAnsi="Times New Roman"/>
                      <w:color w:val="auto"/>
                    </w:rPr>
                  </w:pPr>
                </w:p>
              </w:tc>
              <w:tc>
                <w:tcPr>
                  <w:tcW w:w="508" w:type="pct"/>
                  <w:vAlign w:val="center"/>
                </w:tcPr>
                <w:p>
                  <w:pPr>
                    <w:pStyle w:val="103"/>
                    <w:rPr>
                      <w:rFonts w:ascii="Times New Roman" w:hAnsi="Times New Roman"/>
                      <w:color w:val="auto"/>
                    </w:rPr>
                  </w:pPr>
                  <w:r>
                    <w:rPr>
                      <w:rFonts w:ascii="Times New Roman" w:hAnsi="Times New Roman"/>
                      <w:color w:val="auto"/>
                    </w:rPr>
                    <w:t>高度</w:t>
                  </w:r>
                </w:p>
              </w:tc>
              <w:tc>
                <w:tcPr>
                  <w:tcW w:w="604" w:type="pct"/>
                  <w:vAlign w:val="center"/>
                </w:tcPr>
                <w:p>
                  <w:pPr>
                    <w:pStyle w:val="103"/>
                    <w:rPr>
                      <w:rFonts w:ascii="Times New Roman" w:hAnsi="Times New Roman"/>
                      <w:color w:val="auto"/>
                    </w:rPr>
                  </w:pPr>
                  <w:r>
                    <w:rPr>
                      <w:rFonts w:ascii="Times New Roman" w:hAnsi="Times New Roman"/>
                      <w:color w:val="auto"/>
                    </w:rPr>
                    <w:t>内径</w:t>
                  </w:r>
                </w:p>
              </w:tc>
              <w:tc>
                <w:tcPr>
                  <w:tcW w:w="644" w:type="pct"/>
                  <w:vMerge w:val="continue"/>
                  <w:vAlign w:val="center"/>
                </w:tcPr>
                <w:p>
                  <w:pPr>
                    <w:pStyle w:val="103"/>
                    <w:rPr>
                      <w:rFonts w:ascii="Times New Roman" w:hAnsi="Times New Roman"/>
                      <w:color w:val="auto"/>
                    </w:rPr>
                  </w:pPr>
                </w:p>
              </w:tc>
              <w:tc>
                <w:tcPr>
                  <w:tcW w:w="424" w:type="pct"/>
                  <w:vMerge w:val="continue"/>
                  <w:vAlign w:val="center"/>
                </w:tcPr>
                <w:p>
                  <w:pPr>
                    <w:pStyle w:val="103"/>
                    <w:rPr>
                      <w:rFonts w:ascii="Times New Roman" w:hAnsi="Times New Roman"/>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20" w:hRule="atLeast"/>
                <w:jc w:val="center"/>
              </w:trPr>
              <w:tc>
                <w:tcPr>
                  <w:tcW w:w="293" w:type="pct"/>
                  <w:vAlign w:val="center"/>
                </w:tcPr>
                <w:p>
                  <w:pPr>
                    <w:pStyle w:val="103"/>
                    <w:rPr>
                      <w:rFonts w:ascii="Times New Roman" w:hAnsi="Times New Roman"/>
                      <w:color w:val="auto"/>
                    </w:rPr>
                  </w:pPr>
                  <w:r>
                    <w:rPr>
                      <w:rFonts w:ascii="Times New Roman" w:hAnsi="Times New Roman"/>
                      <w:color w:val="auto"/>
                    </w:rPr>
                    <w:t>1</w:t>
                  </w:r>
                </w:p>
              </w:tc>
              <w:tc>
                <w:tcPr>
                  <w:tcW w:w="595" w:type="pct"/>
                  <w:vAlign w:val="center"/>
                </w:tcPr>
                <w:p>
                  <w:pPr>
                    <w:pStyle w:val="103"/>
                    <w:rPr>
                      <w:rFonts w:ascii="Times New Roman" w:hAnsi="Times New Roman"/>
                      <w:color w:val="auto"/>
                    </w:rPr>
                  </w:pPr>
                  <w:r>
                    <w:rPr>
                      <w:rFonts w:hint="eastAsia" w:ascii="Times New Roman" w:hAnsi="Times New Roman"/>
                      <w:color w:val="auto"/>
                    </w:rPr>
                    <w:t>排气筒</w:t>
                  </w:r>
                </w:p>
              </w:tc>
              <w:tc>
                <w:tcPr>
                  <w:tcW w:w="698" w:type="pct"/>
                  <w:vAlign w:val="center"/>
                </w:tcPr>
                <w:p>
                  <w:pPr>
                    <w:pStyle w:val="103"/>
                    <w:rPr>
                      <w:rFonts w:ascii="Times New Roman" w:hAnsi="Times New Roman"/>
                      <w:color w:val="auto"/>
                    </w:rPr>
                  </w:pPr>
                  <w:r>
                    <w:rPr>
                      <w:rFonts w:ascii="Times New Roman" w:hAnsi="Times New Roman"/>
                      <w:color w:val="auto"/>
                    </w:rPr>
                    <w:t>非甲烷总烃</w:t>
                  </w:r>
                </w:p>
              </w:tc>
              <w:tc>
                <w:tcPr>
                  <w:tcW w:w="561" w:type="pct"/>
                  <w:tcBorders>
                    <w:bottom w:val="single" w:color="auto" w:sz="12" w:space="0"/>
                  </w:tcBorders>
                  <w:vAlign w:val="center"/>
                </w:tcPr>
                <w:p>
                  <w:pPr>
                    <w:pStyle w:val="103"/>
                    <w:rPr>
                      <w:rFonts w:ascii="Times New Roman" w:hAnsi="Times New Roman"/>
                      <w:color w:val="auto"/>
                    </w:rPr>
                  </w:pPr>
                  <w:r>
                    <w:rPr>
                      <w:rFonts w:hint="eastAsia" w:ascii="Times New Roman" w:hAnsi="Times New Roman"/>
                      <w:color w:val="auto"/>
                    </w:rPr>
                    <w:t>0.52</w:t>
                  </w:r>
                </w:p>
              </w:tc>
              <w:tc>
                <w:tcPr>
                  <w:tcW w:w="668" w:type="pct"/>
                  <w:tcBorders>
                    <w:bottom w:val="single" w:color="auto" w:sz="4" w:space="0"/>
                  </w:tcBorders>
                  <w:vAlign w:val="center"/>
                </w:tcPr>
                <w:p>
                  <w:pPr>
                    <w:pStyle w:val="103"/>
                    <w:rPr>
                      <w:rFonts w:ascii="Times New Roman" w:hAnsi="Times New Roman"/>
                      <w:color w:val="auto"/>
                    </w:rPr>
                  </w:pPr>
                  <w:r>
                    <w:rPr>
                      <w:rFonts w:hint="eastAsia" w:ascii="Times New Roman" w:hAnsi="Times New Roman"/>
                      <w:color w:val="auto"/>
                    </w:rPr>
                    <w:t>20</w:t>
                  </w:r>
                </w:p>
              </w:tc>
              <w:tc>
                <w:tcPr>
                  <w:tcW w:w="508" w:type="pct"/>
                  <w:tcBorders>
                    <w:bottom w:val="single" w:color="auto" w:sz="4" w:space="0"/>
                  </w:tcBorders>
                  <w:vAlign w:val="center"/>
                </w:tcPr>
                <w:p>
                  <w:pPr>
                    <w:pStyle w:val="103"/>
                    <w:rPr>
                      <w:rFonts w:ascii="Times New Roman" w:hAnsi="Times New Roman"/>
                      <w:color w:val="auto"/>
                    </w:rPr>
                  </w:pPr>
                  <w:r>
                    <w:rPr>
                      <w:rFonts w:hint="eastAsia" w:ascii="Times New Roman" w:hAnsi="Times New Roman"/>
                      <w:color w:val="auto"/>
                    </w:rPr>
                    <w:t>15</w:t>
                  </w:r>
                </w:p>
              </w:tc>
              <w:tc>
                <w:tcPr>
                  <w:tcW w:w="604" w:type="pct"/>
                  <w:tcBorders>
                    <w:bottom w:val="single" w:color="auto" w:sz="4" w:space="0"/>
                  </w:tcBorders>
                  <w:vAlign w:val="center"/>
                </w:tcPr>
                <w:p>
                  <w:pPr>
                    <w:pStyle w:val="103"/>
                    <w:rPr>
                      <w:rFonts w:ascii="Times New Roman" w:hAnsi="Times New Roman"/>
                      <w:color w:val="auto"/>
                    </w:rPr>
                  </w:pPr>
                  <w:r>
                    <w:rPr>
                      <w:rFonts w:hint="eastAsia" w:ascii="Times New Roman" w:hAnsi="Times New Roman"/>
                      <w:color w:val="auto"/>
                    </w:rPr>
                    <w:t>0.3</w:t>
                  </w:r>
                </w:p>
              </w:tc>
              <w:tc>
                <w:tcPr>
                  <w:tcW w:w="644" w:type="pct"/>
                  <w:tcBorders>
                    <w:bottom w:val="single" w:color="auto" w:sz="4" w:space="0"/>
                  </w:tcBorders>
                  <w:vAlign w:val="center"/>
                </w:tcPr>
                <w:p>
                  <w:pPr>
                    <w:pStyle w:val="103"/>
                    <w:rPr>
                      <w:rFonts w:ascii="Times New Roman" w:hAnsi="Times New Roman"/>
                      <w:color w:val="auto"/>
                    </w:rPr>
                  </w:pPr>
                  <w:r>
                    <w:rPr>
                      <w:rFonts w:hint="eastAsia" w:ascii="Times New Roman" w:hAnsi="Times New Roman"/>
                      <w:color w:val="auto"/>
                    </w:rPr>
                    <w:t>10000</w:t>
                  </w:r>
                </w:p>
              </w:tc>
              <w:tc>
                <w:tcPr>
                  <w:tcW w:w="424" w:type="pct"/>
                  <w:tcBorders>
                    <w:bottom w:val="single" w:color="auto" w:sz="4" w:space="0"/>
                  </w:tcBorders>
                  <w:vAlign w:val="center"/>
                </w:tcPr>
                <w:p>
                  <w:pPr>
                    <w:pStyle w:val="103"/>
                    <w:rPr>
                      <w:rFonts w:ascii="Times New Roman" w:hAnsi="Times New Roman"/>
                      <w:color w:val="auto"/>
                    </w:rPr>
                  </w:pPr>
                  <w:r>
                    <w:rPr>
                      <w:rFonts w:hint="eastAsia" w:ascii="Times New Roman" w:hAnsi="Times New Roman"/>
                      <w:color w:val="auto"/>
                    </w:rPr>
                    <w:t>39.32</w:t>
                  </w:r>
                </w:p>
              </w:tc>
            </w:tr>
          </w:tbl>
          <w:p>
            <w:pPr>
              <w:pStyle w:val="104"/>
              <w:spacing w:before="156" w:beforeLines="50"/>
              <w:ind w:firstLine="480"/>
              <w:rPr>
                <w:color w:val="auto"/>
              </w:rPr>
            </w:pPr>
            <w:r>
              <w:rPr>
                <w:color w:val="auto"/>
              </w:rPr>
              <w:t>表</w:t>
            </w:r>
            <w:r>
              <w:rPr>
                <w:rFonts w:hint="eastAsia"/>
                <w:color w:val="auto"/>
              </w:rPr>
              <w:t>18</w:t>
            </w:r>
            <w:r>
              <w:rPr>
                <w:color w:val="auto"/>
              </w:rPr>
              <w:t xml:space="preserve">         </w:t>
            </w:r>
            <w:r>
              <w:rPr>
                <w:rFonts w:hint="eastAsia"/>
                <w:color w:val="auto"/>
              </w:rPr>
              <w:t xml:space="preserve">           </w:t>
            </w:r>
            <w:r>
              <w:rPr>
                <w:color w:val="auto"/>
              </w:rPr>
              <w:t xml:space="preserve">  </w:t>
            </w:r>
            <w:r>
              <w:rPr>
                <w:rFonts w:hint="eastAsia"/>
                <w:color w:val="auto"/>
              </w:rPr>
              <w:t>估算模型参数表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3399"/>
              <w:gridCol w:w="4155"/>
              <w:gridCol w:w="1517"/>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164" w:type="pct"/>
                  <w:gridSpan w:val="2"/>
                  <w:vAlign w:val="center"/>
                </w:tcPr>
                <w:p>
                  <w:pPr>
                    <w:pStyle w:val="103"/>
                    <w:rPr>
                      <w:rFonts w:ascii="Times New Roman" w:hAnsi="Times New Roman"/>
                      <w:color w:val="auto"/>
                    </w:rPr>
                  </w:pPr>
                  <w:r>
                    <w:rPr>
                      <w:rFonts w:ascii="Times New Roman" w:hAnsi="Times New Roman"/>
                      <w:color w:val="auto"/>
                    </w:rPr>
                    <w:t>参</w:t>
                  </w:r>
                  <w:r>
                    <w:rPr>
                      <w:rFonts w:hint="eastAsia" w:ascii="Times New Roman" w:hAnsi="Times New Roman"/>
                      <w:color w:val="auto"/>
                    </w:rPr>
                    <w:t xml:space="preserve">  </w:t>
                  </w:r>
                  <w:r>
                    <w:rPr>
                      <w:rFonts w:ascii="Times New Roman" w:hAnsi="Times New Roman"/>
                      <w:color w:val="auto"/>
                    </w:rPr>
                    <w:t>数</w:t>
                  </w:r>
                </w:p>
              </w:tc>
              <w:tc>
                <w:tcPr>
                  <w:tcW w:w="836" w:type="pct"/>
                  <w:vAlign w:val="center"/>
                </w:tcPr>
                <w:p>
                  <w:pPr>
                    <w:pStyle w:val="103"/>
                    <w:rPr>
                      <w:rFonts w:ascii="Times New Roman" w:hAnsi="Times New Roman"/>
                      <w:color w:val="auto"/>
                    </w:rPr>
                  </w:pPr>
                  <w:r>
                    <w:rPr>
                      <w:rFonts w:ascii="Times New Roman" w:hAnsi="Times New Roman"/>
                      <w:color w:val="auto"/>
                    </w:rPr>
                    <w:t>取</w:t>
                  </w:r>
                  <w:r>
                    <w:rPr>
                      <w:rFonts w:hint="eastAsia" w:ascii="Times New Roman" w:hAnsi="Times New Roman"/>
                      <w:color w:val="auto"/>
                    </w:rPr>
                    <w:t xml:space="preserve">  </w:t>
                  </w:r>
                  <w:r>
                    <w:rPr>
                      <w:rFonts w:ascii="Times New Roman" w:hAnsi="Times New Roman"/>
                      <w:color w:val="auto"/>
                    </w:rPr>
                    <w:t>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74" w:type="pct"/>
                  <w:vMerge w:val="restart"/>
                  <w:vAlign w:val="center"/>
                </w:tcPr>
                <w:p>
                  <w:pPr>
                    <w:pStyle w:val="103"/>
                    <w:rPr>
                      <w:rFonts w:ascii="Times New Roman" w:hAnsi="Times New Roman"/>
                      <w:color w:val="auto"/>
                    </w:rPr>
                  </w:pPr>
                  <w:r>
                    <w:rPr>
                      <w:rFonts w:ascii="Times New Roman" w:hAnsi="Times New Roman"/>
                      <w:color w:val="auto"/>
                    </w:rPr>
                    <w:t>城市/农村选项</w:t>
                  </w:r>
                </w:p>
              </w:tc>
              <w:tc>
                <w:tcPr>
                  <w:tcW w:w="2290" w:type="pct"/>
                  <w:vAlign w:val="center"/>
                </w:tcPr>
                <w:p>
                  <w:pPr>
                    <w:pStyle w:val="103"/>
                    <w:rPr>
                      <w:rFonts w:ascii="Times New Roman" w:hAnsi="Times New Roman"/>
                      <w:color w:val="auto"/>
                    </w:rPr>
                  </w:pPr>
                  <w:r>
                    <w:rPr>
                      <w:rFonts w:ascii="Times New Roman" w:hAnsi="Times New Roman"/>
                      <w:color w:val="auto"/>
                    </w:rPr>
                    <w:t>城市/农村</w:t>
                  </w:r>
                </w:p>
              </w:tc>
              <w:tc>
                <w:tcPr>
                  <w:tcW w:w="836" w:type="pct"/>
                  <w:vAlign w:val="center"/>
                </w:tcPr>
                <w:p>
                  <w:pPr>
                    <w:pStyle w:val="103"/>
                    <w:rPr>
                      <w:rFonts w:ascii="Times New Roman" w:hAnsi="Times New Roman"/>
                      <w:color w:val="auto"/>
                    </w:rPr>
                  </w:pPr>
                  <w:r>
                    <w:rPr>
                      <w:rFonts w:hint="eastAsia" w:ascii="Times New Roman" w:hAnsi="Times New Roman"/>
                      <w:color w:val="auto"/>
                    </w:rPr>
                    <w:t>城  市</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74" w:type="pct"/>
                  <w:vMerge w:val="continue"/>
                  <w:vAlign w:val="center"/>
                </w:tcPr>
                <w:p>
                  <w:pPr>
                    <w:pStyle w:val="103"/>
                    <w:rPr>
                      <w:rFonts w:ascii="Times New Roman" w:hAnsi="Times New Roman"/>
                      <w:color w:val="auto"/>
                    </w:rPr>
                  </w:pPr>
                </w:p>
              </w:tc>
              <w:tc>
                <w:tcPr>
                  <w:tcW w:w="2290" w:type="pct"/>
                  <w:vAlign w:val="center"/>
                </w:tcPr>
                <w:p>
                  <w:pPr>
                    <w:pStyle w:val="103"/>
                    <w:rPr>
                      <w:rFonts w:ascii="Times New Roman" w:hAnsi="Times New Roman"/>
                      <w:color w:val="auto"/>
                    </w:rPr>
                  </w:pPr>
                  <w:r>
                    <w:rPr>
                      <w:rFonts w:ascii="Times New Roman" w:hAnsi="Times New Roman"/>
                      <w:color w:val="auto"/>
                    </w:rPr>
                    <w:t>人口数（城市选项时）</w:t>
                  </w:r>
                </w:p>
              </w:tc>
              <w:tc>
                <w:tcPr>
                  <w:tcW w:w="836" w:type="pct"/>
                  <w:vAlign w:val="center"/>
                </w:tcPr>
                <w:p>
                  <w:pPr>
                    <w:pStyle w:val="103"/>
                    <w:rPr>
                      <w:rFonts w:ascii="Times New Roman" w:hAnsi="Times New Roman"/>
                      <w:color w:val="auto"/>
                    </w:rPr>
                  </w:pPr>
                  <w:r>
                    <w:rPr>
                      <w:rFonts w:hint="eastAsia" w:ascii="Times New Roman" w:hAnsi="Times New Roman"/>
                      <w:color w:val="auto"/>
                    </w:rPr>
                    <w:t>7.3万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164" w:type="pct"/>
                  <w:gridSpan w:val="2"/>
                  <w:vAlign w:val="center"/>
                </w:tcPr>
                <w:p>
                  <w:pPr>
                    <w:pStyle w:val="103"/>
                    <w:rPr>
                      <w:rFonts w:ascii="Times New Roman" w:hAnsi="Times New Roman"/>
                      <w:color w:val="auto"/>
                    </w:rPr>
                  </w:pPr>
                  <w:r>
                    <w:rPr>
                      <w:rFonts w:ascii="Times New Roman" w:hAnsi="Times New Roman"/>
                      <w:color w:val="auto"/>
                    </w:rPr>
                    <w:t>最高环境温度/</w:t>
                  </w:r>
                  <w:r>
                    <w:rPr>
                      <w:rFonts w:hint="eastAsia" w:ascii="Times New Roman" w:hAnsi="Times New Roman" w:cs="宋体"/>
                      <w:color w:val="auto"/>
                    </w:rPr>
                    <w:t>K</w:t>
                  </w:r>
                </w:p>
              </w:tc>
              <w:tc>
                <w:tcPr>
                  <w:tcW w:w="836" w:type="pct"/>
                  <w:vAlign w:val="center"/>
                </w:tcPr>
                <w:p>
                  <w:pPr>
                    <w:pStyle w:val="103"/>
                    <w:rPr>
                      <w:rFonts w:ascii="Times New Roman" w:hAnsi="Times New Roman"/>
                      <w:color w:val="auto"/>
                    </w:rPr>
                  </w:pPr>
                  <w:r>
                    <w:rPr>
                      <w:rFonts w:hint="eastAsia" w:ascii="Times New Roman" w:hAnsi="Times New Roman"/>
                      <w:color w:val="auto"/>
                      <w:lang w:val="en-GB"/>
                    </w:rPr>
                    <w:t>312.1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164" w:type="pct"/>
                  <w:gridSpan w:val="2"/>
                  <w:vAlign w:val="center"/>
                </w:tcPr>
                <w:p>
                  <w:pPr>
                    <w:pStyle w:val="103"/>
                    <w:rPr>
                      <w:rFonts w:ascii="Times New Roman" w:hAnsi="Times New Roman"/>
                      <w:color w:val="auto"/>
                    </w:rPr>
                  </w:pPr>
                  <w:r>
                    <w:rPr>
                      <w:rFonts w:ascii="Times New Roman" w:hAnsi="Times New Roman"/>
                      <w:color w:val="auto"/>
                    </w:rPr>
                    <w:t>最低环境温度/</w:t>
                  </w:r>
                  <w:r>
                    <w:rPr>
                      <w:rFonts w:hint="eastAsia" w:ascii="Times New Roman" w:hAnsi="Times New Roman" w:cs="宋体"/>
                      <w:color w:val="auto"/>
                    </w:rPr>
                    <w:t>K</w:t>
                  </w:r>
                </w:p>
              </w:tc>
              <w:tc>
                <w:tcPr>
                  <w:tcW w:w="836" w:type="pct"/>
                  <w:vAlign w:val="center"/>
                </w:tcPr>
                <w:p>
                  <w:pPr>
                    <w:pStyle w:val="103"/>
                    <w:rPr>
                      <w:rFonts w:ascii="Times New Roman" w:hAnsi="Times New Roman"/>
                      <w:color w:val="auto"/>
                    </w:rPr>
                  </w:pPr>
                  <w:r>
                    <w:rPr>
                      <w:rFonts w:hint="eastAsia" w:ascii="Times New Roman" w:hAnsi="Times New Roman"/>
                      <w:color w:val="auto"/>
                    </w:rPr>
                    <w:t>248.2</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164" w:type="pct"/>
                  <w:gridSpan w:val="2"/>
                  <w:vAlign w:val="center"/>
                </w:tcPr>
                <w:p>
                  <w:pPr>
                    <w:pStyle w:val="103"/>
                    <w:rPr>
                      <w:rFonts w:ascii="Times New Roman" w:hAnsi="Times New Roman"/>
                      <w:color w:val="auto"/>
                    </w:rPr>
                  </w:pPr>
                  <w:r>
                    <w:rPr>
                      <w:rFonts w:ascii="Times New Roman" w:hAnsi="Times New Roman"/>
                      <w:color w:val="auto"/>
                    </w:rPr>
                    <w:t>土地利用类型</w:t>
                  </w:r>
                </w:p>
              </w:tc>
              <w:tc>
                <w:tcPr>
                  <w:tcW w:w="836" w:type="pct"/>
                  <w:vAlign w:val="center"/>
                </w:tcPr>
                <w:p>
                  <w:pPr>
                    <w:pStyle w:val="103"/>
                    <w:rPr>
                      <w:rFonts w:ascii="Times New Roman" w:hAnsi="Times New Roman"/>
                      <w:color w:val="auto"/>
                    </w:rPr>
                  </w:pPr>
                  <w:r>
                    <w:rPr>
                      <w:rFonts w:hint="eastAsia" w:ascii="Times New Roman" w:hAnsi="Times New Roman"/>
                      <w:color w:val="auto"/>
                    </w:rPr>
                    <w:t>城  市</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164" w:type="pct"/>
                  <w:gridSpan w:val="2"/>
                  <w:vAlign w:val="center"/>
                </w:tcPr>
                <w:p>
                  <w:pPr>
                    <w:pStyle w:val="103"/>
                    <w:rPr>
                      <w:rFonts w:ascii="Times New Roman" w:hAnsi="Times New Roman"/>
                      <w:color w:val="auto"/>
                    </w:rPr>
                  </w:pPr>
                  <w:r>
                    <w:rPr>
                      <w:rFonts w:ascii="Times New Roman" w:hAnsi="Times New Roman"/>
                      <w:color w:val="auto"/>
                    </w:rPr>
                    <w:t>区域湿度条件</w:t>
                  </w:r>
                </w:p>
              </w:tc>
              <w:tc>
                <w:tcPr>
                  <w:tcW w:w="836" w:type="pct"/>
                  <w:vAlign w:val="center"/>
                </w:tcPr>
                <w:p>
                  <w:pPr>
                    <w:pStyle w:val="103"/>
                    <w:rPr>
                      <w:rFonts w:ascii="Times New Roman" w:hAnsi="Times New Roman"/>
                      <w:color w:val="auto"/>
                    </w:rPr>
                  </w:pPr>
                  <w:r>
                    <w:rPr>
                      <w:rFonts w:hint="eastAsia" w:ascii="Times New Roman" w:hAnsi="Times New Roman"/>
                      <w:color w:val="auto"/>
                      <w:lang w:val="en-GB"/>
                    </w:rPr>
                    <w:t>干燥</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74" w:type="pct"/>
                  <w:vMerge w:val="restart"/>
                  <w:vAlign w:val="center"/>
                </w:tcPr>
                <w:p>
                  <w:pPr>
                    <w:pStyle w:val="103"/>
                    <w:rPr>
                      <w:rFonts w:ascii="Times New Roman" w:hAnsi="Times New Roman"/>
                      <w:color w:val="auto"/>
                    </w:rPr>
                  </w:pPr>
                  <w:r>
                    <w:rPr>
                      <w:rFonts w:ascii="Times New Roman" w:hAnsi="Times New Roman"/>
                      <w:color w:val="auto"/>
                    </w:rPr>
                    <w:t>是否考虑地形</w:t>
                  </w:r>
                </w:p>
              </w:tc>
              <w:tc>
                <w:tcPr>
                  <w:tcW w:w="2290" w:type="pct"/>
                  <w:vAlign w:val="center"/>
                </w:tcPr>
                <w:p>
                  <w:pPr>
                    <w:pStyle w:val="103"/>
                    <w:rPr>
                      <w:rFonts w:ascii="Times New Roman" w:hAnsi="Times New Roman"/>
                      <w:color w:val="auto"/>
                    </w:rPr>
                  </w:pPr>
                  <w:r>
                    <w:rPr>
                      <w:rFonts w:ascii="Times New Roman" w:hAnsi="Times New Roman"/>
                      <w:color w:val="auto"/>
                    </w:rPr>
                    <w:t>考虑地形</w:t>
                  </w:r>
                </w:p>
              </w:tc>
              <w:tc>
                <w:tcPr>
                  <w:tcW w:w="836" w:type="pct"/>
                  <w:vAlign w:val="center"/>
                </w:tcPr>
                <w:p>
                  <w:pPr>
                    <w:pStyle w:val="103"/>
                    <w:rPr>
                      <w:rFonts w:ascii="Times New Roman" w:hAnsi="Times New Roman"/>
                      <w:color w:val="auto"/>
                    </w:rPr>
                  </w:pPr>
                  <w:r>
                    <w:rPr>
                      <w:rFonts w:hint="eastAsia" w:ascii="Times New Roman" w:hAnsi="Times New Roman"/>
                      <w:color w:val="auto"/>
                    </w:rPr>
                    <w:t>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74" w:type="pct"/>
                  <w:vMerge w:val="continue"/>
                  <w:vAlign w:val="center"/>
                </w:tcPr>
                <w:p>
                  <w:pPr>
                    <w:pStyle w:val="103"/>
                    <w:rPr>
                      <w:rFonts w:ascii="Times New Roman" w:hAnsi="Times New Roman"/>
                      <w:color w:val="auto"/>
                    </w:rPr>
                  </w:pPr>
                </w:p>
              </w:tc>
              <w:tc>
                <w:tcPr>
                  <w:tcW w:w="2290" w:type="pct"/>
                  <w:vAlign w:val="center"/>
                </w:tcPr>
                <w:p>
                  <w:pPr>
                    <w:pStyle w:val="103"/>
                    <w:rPr>
                      <w:rFonts w:ascii="Times New Roman" w:hAnsi="Times New Roman"/>
                      <w:color w:val="auto"/>
                    </w:rPr>
                  </w:pPr>
                  <w:r>
                    <w:rPr>
                      <w:rFonts w:ascii="Times New Roman" w:hAnsi="Times New Roman"/>
                      <w:color w:val="auto"/>
                    </w:rPr>
                    <w:t>地形数据分辨率</w:t>
                  </w:r>
                </w:p>
              </w:tc>
              <w:tc>
                <w:tcPr>
                  <w:tcW w:w="836" w:type="pct"/>
                  <w:vAlign w:val="center"/>
                </w:tcPr>
                <w:p>
                  <w:pPr>
                    <w:pStyle w:val="103"/>
                    <w:rPr>
                      <w:rFonts w:ascii="Times New Roman" w:hAnsi="Times New Roman"/>
                      <w:color w:val="auto"/>
                    </w:rPr>
                  </w:pPr>
                  <w:r>
                    <w:rPr>
                      <w:rFonts w:hint="eastAsia" w:ascii="Times New Roman" w:hAnsi="Times New Roman"/>
                      <w:color w:val="auto"/>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74" w:type="pct"/>
                  <w:vMerge w:val="restart"/>
                  <w:vAlign w:val="center"/>
                </w:tcPr>
                <w:p>
                  <w:pPr>
                    <w:pStyle w:val="103"/>
                    <w:rPr>
                      <w:rFonts w:ascii="Times New Roman" w:hAnsi="Times New Roman"/>
                      <w:color w:val="auto"/>
                    </w:rPr>
                  </w:pPr>
                  <w:r>
                    <w:rPr>
                      <w:rFonts w:ascii="Times New Roman" w:hAnsi="Times New Roman"/>
                      <w:color w:val="auto"/>
                    </w:rPr>
                    <w:t>是否考虑岸线熏烟</w:t>
                  </w:r>
                </w:p>
              </w:tc>
              <w:tc>
                <w:tcPr>
                  <w:tcW w:w="2290" w:type="pct"/>
                  <w:vAlign w:val="center"/>
                </w:tcPr>
                <w:p>
                  <w:pPr>
                    <w:pStyle w:val="103"/>
                    <w:rPr>
                      <w:rFonts w:ascii="Times New Roman" w:hAnsi="Times New Roman"/>
                      <w:color w:val="auto"/>
                    </w:rPr>
                  </w:pPr>
                  <w:r>
                    <w:rPr>
                      <w:rFonts w:ascii="Times New Roman" w:hAnsi="Times New Roman"/>
                      <w:color w:val="auto"/>
                    </w:rPr>
                    <w:t>考虑岸线熏烟</w:t>
                  </w:r>
                </w:p>
              </w:tc>
              <w:tc>
                <w:tcPr>
                  <w:tcW w:w="836" w:type="pct"/>
                  <w:vAlign w:val="center"/>
                </w:tcPr>
                <w:p>
                  <w:pPr>
                    <w:pStyle w:val="103"/>
                    <w:rPr>
                      <w:rFonts w:ascii="Times New Roman" w:hAnsi="Times New Roman"/>
                      <w:color w:val="auto"/>
                    </w:rPr>
                  </w:pPr>
                  <w:r>
                    <w:rPr>
                      <w:rFonts w:hint="eastAsia" w:ascii="Times New Roman" w:hAnsi="Times New Roman"/>
                      <w:color w:val="auto"/>
                    </w:rPr>
                    <w:t>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74" w:type="pct"/>
                  <w:vMerge w:val="continue"/>
                  <w:vAlign w:val="center"/>
                </w:tcPr>
                <w:p>
                  <w:pPr>
                    <w:pStyle w:val="103"/>
                    <w:rPr>
                      <w:rFonts w:ascii="Times New Roman" w:hAnsi="Times New Roman"/>
                      <w:color w:val="auto"/>
                    </w:rPr>
                  </w:pPr>
                </w:p>
              </w:tc>
              <w:tc>
                <w:tcPr>
                  <w:tcW w:w="2290" w:type="pct"/>
                  <w:vAlign w:val="center"/>
                </w:tcPr>
                <w:p>
                  <w:pPr>
                    <w:pStyle w:val="103"/>
                    <w:rPr>
                      <w:rFonts w:ascii="Times New Roman" w:hAnsi="Times New Roman"/>
                      <w:color w:val="auto"/>
                    </w:rPr>
                  </w:pPr>
                  <w:r>
                    <w:rPr>
                      <w:rFonts w:ascii="Times New Roman" w:hAnsi="Times New Roman"/>
                      <w:color w:val="auto"/>
                    </w:rPr>
                    <w:t>岸线距离/km</w:t>
                  </w:r>
                </w:p>
              </w:tc>
              <w:tc>
                <w:tcPr>
                  <w:tcW w:w="836" w:type="pct"/>
                  <w:vAlign w:val="center"/>
                </w:tcPr>
                <w:p>
                  <w:pPr>
                    <w:pStyle w:val="103"/>
                    <w:rPr>
                      <w:rFonts w:ascii="Times New Roman" w:hAnsi="Times New Roman"/>
                      <w:color w:val="auto"/>
                    </w:rPr>
                  </w:pPr>
                  <w:r>
                    <w:rPr>
                      <w:rFonts w:hint="eastAsia" w:ascii="Times New Roman" w:hAnsi="Times New Roman"/>
                      <w:color w:val="auto"/>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74" w:type="pct"/>
                  <w:vMerge w:val="continue"/>
                  <w:vAlign w:val="center"/>
                </w:tcPr>
                <w:p>
                  <w:pPr>
                    <w:pStyle w:val="103"/>
                    <w:rPr>
                      <w:rFonts w:ascii="Times New Roman" w:hAnsi="Times New Roman"/>
                      <w:color w:val="auto"/>
                    </w:rPr>
                  </w:pPr>
                </w:p>
              </w:tc>
              <w:tc>
                <w:tcPr>
                  <w:tcW w:w="2290" w:type="pct"/>
                  <w:vAlign w:val="center"/>
                </w:tcPr>
                <w:p>
                  <w:pPr>
                    <w:pStyle w:val="103"/>
                    <w:rPr>
                      <w:rFonts w:ascii="Times New Roman" w:hAnsi="Times New Roman"/>
                      <w:color w:val="auto"/>
                    </w:rPr>
                  </w:pPr>
                  <w:r>
                    <w:rPr>
                      <w:rFonts w:ascii="Times New Roman" w:hAnsi="Times New Roman"/>
                      <w:color w:val="auto"/>
                    </w:rPr>
                    <w:t>岸线方向/°</w:t>
                  </w:r>
                </w:p>
              </w:tc>
              <w:tc>
                <w:tcPr>
                  <w:tcW w:w="836" w:type="pct"/>
                  <w:vAlign w:val="center"/>
                </w:tcPr>
                <w:p>
                  <w:pPr>
                    <w:pStyle w:val="103"/>
                    <w:rPr>
                      <w:rFonts w:ascii="Times New Roman" w:hAnsi="Times New Roman"/>
                      <w:color w:val="auto"/>
                    </w:rPr>
                  </w:pPr>
                  <w:r>
                    <w:rPr>
                      <w:rFonts w:hint="eastAsia" w:ascii="Times New Roman" w:hAnsi="Times New Roman"/>
                      <w:color w:val="auto"/>
                    </w:rPr>
                    <w:t>/</w:t>
                  </w:r>
                </w:p>
              </w:tc>
            </w:tr>
          </w:tbl>
          <w:p>
            <w:pPr>
              <w:spacing w:line="520" w:lineRule="exact"/>
              <w:ind w:firstLine="560" w:firstLineChars="200"/>
              <w:rPr>
                <w:color w:val="auto"/>
                <w:sz w:val="28"/>
                <w:szCs w:val="28"/>
              </w:rPr>
            </w:pPr>
            <w:r>
              <w:rPr>
                <w:color w:val="auto"/>
                <w:sz w:val="28"/>
                <w:szCs w:val="28"/>
              </w:rPr>
              <w:t>采用</w:t>
            </w:r>
            <w:r>
              <w:rPr>
                <w:rFonts w:hint="eastAsia"/>
                <w:color w:val="auto"/>
                <w:sz w:val="28"/>
                <w:szCs w:val="28"/>
              </w:rPr>
              <w:t>AERSCREEN</w:t>
            </w:r>
            <w:r>
              <w:rPr>
                <w:color w:val="auto"/>
                <w:sz w:val="28"/>
                <w:szCs w:val="28"/>
              </w:rPr>
              <w:t>估算模式</w:t>
            </w:r>
            <w:r>
              <w:rPr>
                <w:rFonts w:hint="eastAsia"/>
                <w:color w:val="auto"/>
                <w:sz w:val="28"/>
                <w:szCs w:val="28"/>
              </w:rPr>
              <w:t>对项目有组织废气进行预测，本项目非甲烷总烃有</w:t>
            </w:r>
            <w:r>
              <w:rPr>
                <w:color w:val="auto"/>
                <w:sz w:val="28"/>
                <w:szCs w:val="28"/>
              </w:rPr>
              <w:t>组织排放占标率</w:t>
            </w:r>
            <w:r>
              <w:rPr>
                <w:rFonts w:hint="eastAsia"/>
                <w:color w:val="auto"/>
                <w:sz w:val="28"/>
                <w:szCs w:val="28"/>
              </w:rPr>
              <w:t>计算见表19。</w:t>
            </w:r>
          </w:p>
          <w:p>
            <w:pPr>
              <w:pStyle w:val="104"/>
              <w:ind w:firstLine="480"/>
              <w:rPr>
                <w:color w:val="auto"/>
              </w:rPr>
            </w:pPr>
            <w:r>
              <w:rPr>
                <w:color w:val="auto"/>
              </w:rPr>
              <w:t>表</w:t>
            </w:r>
            <w:r>
              <w:rPr>
                <w:rFonts w:hint="eastAsia"/>
                <w:color w:val="auto"/>
              </w:rPr>
              <w:t>19</w:t>
            </w:r>
            <w:r>
              <w:rPr>
                <w:color w:val="auto"/>
              </w:rPr>
              <w:t xml:space="preserve">        </w:t>
            </w:r>
            <w:r>
              <w:rPr>
                <w:rFonts w:hint="eastAsia"/>
                <w:color w:val="auto"/>
              </w:rPr>
              <w:t xml:space="preserve">     </w:t>
            </w:r>
            <w:r>
              <w:rPr>
                <w:color w:val="auto"/>
              </w:rPr>
              <w:t xml:space="preserve"> </w:t>
            </w:r>
            <w:r>
              <w:rPr>
                <w:rFonts w:hint="eastAsia"/>
                <w:color w:val="auto"/>
              </w:rPr>
              <w:t>有组织废气最大落地浓度预测结果</w:t>
            </w:r>
          </w:p>
          <w:tbl>
            <w:tblPr>
              <w:tblStyle w:val="24"/>
              <w:tblW w:w="4999"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3364"/>
              <w:gridCol w:w="3336"/>
              <w:gridCol w:w="236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54" w:type="pct"/>
                  <w:vMerge w:val="restar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源距预测点距离</w:t>
                  </w:r>
                  <w:r>
                    <w:rPr>
                      <w:color w:val="auto"/>
                      <w:kern w:val="0"/>
                      <w:szCs w:val="21"/>
                    </w:rPr>
                    <w:t>D</w:t>
                  </w:r>
                  <w:r>
                    <w:rPr>
                      <w:rFonts w:hint="eastAsia" w:ascii="宋体" w:hAnsi="宋体" w:cs="宋体"/>
                      <w:color w:val="auto"/>
                      <w:kern w:val="0"/>
                      <w:szCs w:val="21"/>
                    </w:rPr>
                    <w:t>（</w:t>
                  </w:r>
                  <w:r>
                    <w:rPr>
                      <w:color w:val="auto"/>
                      <w:kern w:val="0"/>
                      <w:szCs w:val="21"/>
                    </w:rPr>
                    <w:t>m</w:t>
                  </w:r>
                  <w:r>
                    <w:rPr>
                      <w:rFonts w:hint="eastAsia" w:ascii="宋体" w:hAnsi="宋体" w:cs="宋体"/>
                      <w:color w:val="auto"/>
                      <w:kern w:val="0"/>
                      <w:szCs w:val="21"/>
                    </w:rPr>
                    <w:t>）</w:t>
                  </w:r>
                </w:p>
              </w:tc>
              <w:tc>
                <w:tcPr>
                  <w:tcW w:w="3145" w:type="pct"/>
                  <w:gridSpan w:val="2"/>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非甲烷总烃</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854" w:type="pct"/>
                  <w:vMerge w:val="continue"/>
                  <w:vAlign w:val="center"/>
                </w:tcPr>
                <w:p>
                  <w:pPr>
                    <w:widowControl/>
                    <w:jc w:val="center"/>
                    <w:rPr>
                      <w:rFonts w:ascii="宋体" w:hAnsi="宋体" w:cs="宋体"/>
                      <w:color w:val="auto"/>
                      <w:kern w:val="0"/>
                      <w:szCs w:val="21"/>
                    </w:rPr>
                  </w:pPr>
                </w:p>
              </w:tc>
              <w:tc>
                <w:tcPr>
                  <w:tcW w:w="1839"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落地浓度（</w:t>
                  </w:r>
                  <w:r>
                    <w:rPr>
                      <w:color w:val="auto"/>
                      <w:kern w:val="0"/>
                      <w:szCs w:val="21"/>
                    </w:rPr>
                    <w:t>μg/m</w:t>
                  </w:r>
                  <w:r>
                    <w:rPr>
                      <w:color w:val="auto"/>
                      <w:kern w:val="0"/>
                      <w:szCs w:val="21"/>
                      <w:vertAlign w:val="superscript"/>
                    </w:rPr>
                    <w:t>3</w:t>
                  </w:r>
                  <w:r>
                    <w:rPr>
                      <w:rFonts w:hint="eastAsia" w:ascii="宋体" w:hAnsi="宋体" w:cs="宋体"/>
                      <w:color w:val="auto"/>
                      <w:kern w:val="0"/>
                      <w:szCs w:val="21"/>
                    </w:rPr>
                    <w:t>）</w:t>
                  </w:r>
                </w:p>
              </w:tc>
              <w:tc>
                <w:tcPr>
                  <w:tcW w:w="1306"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占标率（</w:t>
                  </w:r>
                  <w:r>
                    <w:rPr>
                      <w:color w:val="auto"/>
                      <w:kern w:val="0"/>
                      <w:szCs w:val="21"/>
                    </w:rPr>
                    <w:t>%</w:t>
                  </w:r>
                  <w:r>
                    <w:rPr>
                      <w:rFonts w:hint="eastAsia" w:ascii="宋体" w:hAnsi="宋体" w:cs="宋体"/>
                      <w:color w:val="auto"/>
                      <w:kern w:val="0"/>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1</w:t>
                  </w:r>
                </w:p>
              </w:tc>
              <w:tc>
                <w:tcPr>
                  <w:tcW w:w="3336" w:type="dxa"/>
                  <w:shd w:val="clear" w:color="auto" w:fill="auto"/>
                  <w:vAlign w:val="center"/>
                </w:tcPr>
                <w:p>
                  <w:pPr>
                    <w:widowControl/>
                    <w:jc w:val="center"/>
                    <w:textAlignment w:val="center"/>
                    <w:rPr>
                      <w:color w:val="auto"/>
                      <w:szCs w:val="21"/>
                    </w:rPr>
                  </w:pPr>
                  <w:r>
                    <w:rPr>
                      <w:color w:val="auto"/>
                      <w:kern w:val="0"/>
                      <w:szCs w:val="21"/>
                      <w:lang w:bidi="ar"/>
                    </w:rPr>
                    <w:t>0</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noWrap/>
                  <w:vAlign w:val="center"/>
                </w:tcPr>
                <w:p>
                  <w:pPr>
                    <w:widowControl/>
                    <w:jc w:val="center"/>
                    <w:textAlignment w:val="center"/>
                    <w:rPr>
                      <w:color w:val="auto"/>
                      <w:sz w:val="22"/>
                      <w:szCs w:val="22"/>
                    </w:rPr>
                  </w:pPr>
                  <w:r>
                    <w:rPr>
                      <w:color w:val="auto"/>
                      <w:kern w:val="0"/>
                      <w:sz w:val="22"/>
                      <w:szCs w:val="22"/>
                      <w:lang w:bidi="ar"/>
                    </w:rPr>
                    <w:t>25</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0.045</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0.00225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50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7.935</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0.39675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b/>
                      <w:bCs/>
                      <w:color w:val="auto"/>
                      <w:szCs w:val="21"/>
                    </w:rPr>
                  </w:pPr>
                  <w:r>
                    <w:rPr>
                      <w:b/>
                      <w:color w:val="auto"/>
                      <w:kern w:val="0"/>
                      <w:szCs w:val="21"/>
                      <w:lang w:bidi="ar"/>
                    </w:rPr>
                    <w:t>86</w:t>
                  </w:r>
                </w:p>
              </w:tc>
              <w:tc>
                <w:tcPr>
                  <w:tcW w:w="3336" w:type="dxa"/>
                  <w:shd w:val="clear" w:color="auto" w:fill="auto"/>
                  <w:vAlign w:val="center"/>
                </w:tcPr>
                <w:p>
                  <w:pPr>
                    <w:widowControl/>
                    <w:jc w:val="center"/>
                    <w:textAlignment w:val="center"/>
                    <w:rPr>
                      <w:b/>
                      <w:bCs/>
                      <w:color w:val="auto"/>
                      <w:sz w:val="22"/>
                      <w:szCs w:val="22"/>
                    </w:rPr>
                  </w:pPr>
                  <w:r>
                    <w:rPr>
                      <w:b/>
                      <w:color w:val="auto"/>
                      <w:kern w:val="0"/>
                      <w:sz w:val="22"/>
                      <w:szCs w:val="22"/>
                      <w:lang w:bidi="ar"/>
                    </w:rPr>
                    <w:t>14.85</w:t>
                  </w:r>
                </w:p>
              </w:tc>
              <w:tc>
                <w:tcPr>
                  <w:tcW w:w="2369" w:type="dxa"/>
                  <w:shd w:val="clear" w:color="auto" w:fill="auto"/>
                  <w:vAlign w:val="center"/>
                </w:tcPr>
                <w:p>
                  <w:pPr>
                    <w:widowControl/>
                    <w:jc w:val="center"/>
                    <w:textAlignment w:val="center"/>
                    <w:rPr>
                      <w:b/>
                      <w:bCs/>
                      <w:color w:val="auto"/>
                      <w:szCs w:val="21"/>
                    </w:rPr>
                  </w:pPr>
                  <w:r>
                    <w:rPr>
                      <w:b/>
                      <w:color w:val="auto"/>
                      <w:kern w:val="0"/>
                      <w:szCs w:val="21"/>
                      <w:lang w:bidi="ar"/>
                    </w:rPr>
                    <w:t>0.7425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b/>
                      <w:bCs/>
                      <w:color w:val="auto"/>
                      <w:szCs w:val="21"/>
                    </w:rPr>
                  </w:pPr>
                  <w:r>
                    <w:rPr>
                      <w:color w:val="auto"/>
                      <w:kern w:val="0"/>
                      <w:szCs w:val="21"/>
                      <w:lang w:bidi="ar"/>
                    </w:rPr>
                    <w:t>100</w:t>
                  </w:r>
                </w:p>
              </w:tc>
              <w:tc>
                <w:tcPr>
                  <w:tcW w:w="3336" w:type="dxa"/>
                  <w:shd w:val="clear" w:color="auto" w:fill="auto"/>
                  <w:vAlign w:val="center"/>
                </w:tcPr>
                <w:p>
                  <w:pPr>
                    <w:widowControl/>
                    <w:jc w:val="center"/>
                    <w:textAlignment w:val="center"/>
                    <w:rPr>
                      <w:b/>
                      <w:bCs/>
                      <w:color w:val="auto"/>
                      <w:sz w:val="22"/>
                      <w:szCs w:val="22"/>
                    </w:rPr>
                  </w:pPr>
                  <w:r>
                    <w:rPr>
                      <w:color w:val="auto"/>
                      <w:kern w:val="0"/>
                      <w:sz w:val="22"/>
                      <w:szCs w:val="22"/>
                      <w:lang w:bidi="ar"/>
                    </w:rPr>
                    <w:t>14.47</w:t>
                  </w:r>
                </w:p>
              </w:tc>
              <w:tc>
                <w:tcPr>
                  <w:tcW w:w="2369" w:type="dxa"/>
                  <w:shd w:val="clear" w:color="auto" w:fill="auto"/>
                  <w:vAlign w:val="center"/>
                </w:tcPr>
                <w:p>
                  <w:pPr>
                    <w:widowControl/>
                    <w:jc w:val="center"/>
                    <w:textAlignment w:val="center"/>
                    <w:rPr>
                      <w:b/>
                      <w:bCs/>
                      <w:color w:val="auto"/>
                      <w:szCs w:val="21"/>
                    </w:rPr>
                  </w:pPr>
                  <w:r>
                    <w:rPr>
                      <w:color w:val="auto"/>
                      <w:kern w:val="0"/>
                      <w:szCs w:val="21"/>
                      <w:lang w:bidi="ar"/>
                    </w:rPr>
                    <w:t>0.7235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200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8.631</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0.43155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300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5.361</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0.26805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400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3.67</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0.1835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500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2.702</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0.1351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600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2.093</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0.10465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700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1.683</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0.08415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800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1.392</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0.0696</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67"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900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1.177</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0.05885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1000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1.013</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0.05065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2000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0.376</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0.0188</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3000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0.211</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0.01055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4000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 xml:space="preserve">0.140 </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0.007</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color w:val="auto"/>
                      <w:szCs w:val="21"/>
                    </w:rPr>
                  </w:pPr>
                  <w:r>
                    <w:rPr>
                      <w:color w:val="auto"/>
                      <w:kern w:val="0"/>
                      <w:szCs w:val="21"/>
                      <w:lang w:bidi="ar"/>
                    </w:rPr>
                    <w:t>5000</w:t>
                  </w:r>
                </w:p>
              </w:tc>
              <w:tc>
                <w:tcPr>
                  <w:tcW w:w="3336" w:type="dxa"/>
                  <w:shd w:val="clear" w:color="auto" w:fill="auto"/>
                  <w:vAlign w:val="center"/>
                </w:tcPr>
                <w:p>
                  <w:pPr>
                    <w:widowControl/>
                    <w:jc w:val="center"/>
                    <w:textAlignment w:val="center"/>
                    <w:rPr>
                      <w:color w:val="auto"/>
                      <w:sz w:val="22"/>
                      <w:szCs w:val="22"/>
                    </w:rPr>
                  </w:pPr>
                  <w:r>
                    <w:rPr>
                      <w:color w:val="auto"/>
                      <w:kern w:val="0"/>
                      <w:sz w:val="22"/>
                      <w:szCs w:val="22"/>
                      <w:lang w:bidi="ar"/>
                    </w:rPr>
                    <w:t>0.102</w:t>
                  </w:r>
                </w:p>
              </w:tc>
              <w:tc>
                <w:tcPr>
                  <w:tcW w:w="2369" w:type="dxa"/>
                  <w:shd w:val="clear" w:color="auto" w:fill="auto"/>
                  <w:vAlign w:val="center"/>
                </w:tcPr>
                <w:p>
                  <w:pPr>
                    <w:widowControl/>
                    <w:jc w:val="center"/>
                    <w:textAlignment w:val="center"/>
                    <w:rPr>
                      <w:color w:val="auto"/>
                      <w:szCs w:val="21"/>
                    </w:rPr>
                  </w:pPr>
                  <w:r>
                    <w:rPr>
                      <w:color w:val="auto"/>
                      <w:kern w:val="0"/>
                      <w:szCs w:val="21"/>
                      <w:lang w:bidi="ar"/>
                    </w:rPr>
                    <w:t>0.0051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rFonts w:ascii="宋体" w:hAnsi="宋体" w:cs="宋体"/>
                      <w:color w:val="auto"/>
                      <w:kern w:val="0"/>
                      <w:szCs w:val="21"/>
                    </w:rPr>
                  </w:pPr>
                  <w:r>
                    <w:rPr>
                      <w:rFonts w:hint="eastAsia" w:ascii="宋体" w:hAnsi="宋体" w:cs="宋体"/>
                      <w:color w:val="auto"/>
                      <w:kern w:val="0"/>
                      <w:szCs w:val="21"/>
                      <w:lang w:bidi="ar"/>
                    </w:rPr>
                    <w:t>最大落地浓度（</w:t>
                  </w:r>
                  <w:r>
                    <w:rPr>
                      <w:rStyle w:val="108"/>
                      <w:color w:val="auto"/>
                      <w:lang w:bidi="ar"/>
                    </w:rPr>
                    <w:t>μg/m</w:t>
                  </w:r>
                  <w:r>
                    <w:rPr>
                      <w:rStyle w:val="109"/>
                      <w:color w:val="auto"/>
                      <w:lang w:bidi="ar"/>
                    </w:rPr>
                    <w:t>3</w:t>
                  </w:r>
                  <w:r>
                    <w:rPr>
                      <w:rStyle w:val="110"/>
                      <w:rFonts w:hint="default"/>
                      <w:color w:val="auto"/>
                      <w:lang w:bidi="ar"/>
                    </w:rPr>
                    <w:t>）</w:t>
                  </w:r>
                </w:p>
              </w:tc>
              <w:tc>
                <w:tcPr>
                  <w:tcW w:w="5705" w:type="dxa"/>
                  <w:gridSpan w:val="2"/>
                  <w:shd w:val="clear" w:color="auto" w:fill="auto"/>
                  <w:vAlign w:val="center"/>
                </w:tcPr>
                <w:p>
                  <w:pPr>
                    <w:widowControl/>
                    <w:jc w:val="center"/>
                    <w:textAlignment w:val="center"/>
                    <w:rPr>
                      <w:color w:val="auto"/>
                      <w:szCs w:val="21"/>
                    </w:rPr>
                  </w:pPr>
                  <w:r>
                    <w:rPr>
                      <w:color w:val="auto"/>
                      <w:kern w:val="0"/>
                      <w:szCs w:val="21"/>
                      <w:lang w:bidi="ar"/>
                    </w:rPr>
                    <w:t>14.85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rFonts w:ascii="宋体" w:hAnsi="宋体" w:cs="宋体"/>
                      <w:color w:val="auto"/>
                      <w:kern w:val="0"/>
                      <w:szCs w:val="21"/>
                    </w:rPr>
                  </w:pPr>
                  <w:r>
                    <w:rPr>
                      <w:rFonts w:hint="eastAsia" w:ascii="宋体" w:hAnsi="宋体" w:cs="宋体"/>
                      <w:color w:val="auto"/>
                      <w:kern w:val="0"/>
                      <w:szCs w:val="21"/>
                      <w:lang w:bidi="ar"/>
                    </w:rPr>
                    <w:t>最大落地距离</w:t>
                  </w:r>
                  <w:r>
                    <w:rPr>
                      <w:rStyle w:val="108"/>
                      <w:color w:val="auto"/>
                      <w:lang w:bidi="ar"/>
                    </w:rPr>
                    <w:t>m</w:t>
                  </w:r>
                </w:p>
              </w:tc>
              <w:tc>
                <w:tcPr>
                  <w:tcW w:w="5705" w:type="dxa"/>
                  <w:gridSpan w:val="2"/>
                  <w:shd w:val="clear" w:color="auto" w:fill="auto"/>
                  <w:vAlign w:val="center"/>
                </w:tcPr>
                <w:p>
                  <w:pPr>
                    <w:widowControl/>
                    <w:jc w:val="center"/>
                    <w:textAlignment w:val="center"/>
                    <w:rPr>
                      <w:color w:val="auto"/>
                      <w:szCs w:val="21"/>
                    </w:rPr>
                  </w:pPr>
                  <w:r>
                    <w:rPr>
                      <w:color w:val="auto"/>
                      <w:kern w:val="0"/>
                      <w:szCs w:val="21"/>
                      <w:lang w:bidi="ar"/>
                    </w:rPr>
                    <w:t>86</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364" w:type="dxa"/>
                  <w:shd w:val="clear" w:color="auto" w:fill="auto"/>
                  <w:vAlign w:val="center"/>
                </w:tcPr>
                <w:p>
                  <w:pPr>
                    <w:widowControl/>
                    <w:jc w:val="center"/>
                    <w:textAlignment w:val="center"/>
                    <w:rPr>
                      <w:rFonts w:ascii="宋体" w:hAnsi="宋体" w:cs="宋体"/>
                      <w:color w:val="auto"/>
                      <w:kern w:val="0"/>
                      <w:szCs w:val="21"/>
                    </w:rPr>
                  </w:pPr>
                  <w:r>
                    <w:rPr>
                      <w:rFonts w:hint="eastAsia" w:ascii="宋体" w:hAnsi="宋体" w:cs="宋体"/>
                      <w:color w:val="auto"/>
                      <w:kern w:val="0"/>
                      <w:szCs w:val="21"/>
                      <w:lang w:bidi="ar"/>
                    </w:rPr>
                    <w:t>最大占标率</w:t>
                  </w:r>
                  <w:r>
                    <w:rPr>
                      <w:rStyle w:val="108"/>
                      <w:color w:val="auto"/>
                      <w:lang w:bidi="ar"/>
                    </w:rPr>
                    <w:t>%</w:t>
                  </w:r>
                </w:p>
              </w:tc>
              <w:tc>
                <w:tcPr>
                  <w:tcW w:w="5705" w:type="dxa"/>
                  <w:gridSpan w:val="2"/>
                  <w:shd w:val="clear" w:color="auto" w:fill="auto"/>
                  <w:vAlign w:val="center"/>
                </w:tcPr>
                <w:p>
                  <w:pPr>
                    <w:widowControl/>
                    <w:jc w:val="center"/>
                    <w:textAlignment w:val="center"/>
                    <w:rPr>
                      <w:color w:val="auto"/>
                      <w:szCs w:val="21"/>
                    </w:rPr>
                  </w:pPr>
                  <w:r>
                    <w:rPr>
                      <w:color w:val="auto"/>
                      <w:kern w:val="0"/>
                      <w:sz w:val="24"/>
                      <w:lang w:bidi="ar"/>
                    </w:rPr>
                    <w:t>0.7425</w:t>
                  </w:r>
                </w:p>
              </w:tc>
            </w:tr>
          </w:tbl>
          <w:p>
            <w:pPr>
              <w:spacing w:line="520" w:lineRule="exact"/>
              <w:ind w:firstLine="560" w:firstLineChars="200"/>
              <w:rPr>
                <w:color w:val="auto"/>
                <w:sz w:val="28"/>
                <w:szCs w:val="28"/>
              </w:rPr>
            </w:pPr>
            <w:r>
              <w:rPr>
                <w:rFonts w:hint="eastAsia"/>
                <w:color w:val="auto"/>
                <w:sz w:val="28"/>
                <w:szCs w:val="28"/>
              </w:rPr>
              <w:t>根据AERSCREEN</w:t>
            </w:r>
            <w:r>
              <w:rPr>
                <w:color w:val="auto"/>
                <w:sz w:val="28"/>
                <w:szCs w:val="28"/>
              </w:rPr>
              <w:t>估算模式</w:t>
            </w:r>
            <w:r>
              <w:rPr>
                <w:rFonts w:hint="eastAsia"/>
                <w:color w:val="auto"/>
                <w:sz w:val="28"/>
                <w:szCs w:val="28"/>
              </w:rPr>
              <w:t>对项目有组织废气的预测结果，</w:t>
            </w:r>
            <w:r>
              <w:rPr>
                <w:color w:val="auto"/>
                <w:sz w:val="28"/>
                <w:szCs w:val="28"/>
              </w:rPr>
              <w:t>本项目</w:t>
            </w:r>
            <w:r>
              <w:rPr>
                <w:rFonts w:hint="eastAsia"/>
                <w:color w:val="auto"/>
                <w:sz w:val="28"/>
                <w:szCs w:val="28"/>
              </w:rPr>
              <w:t>有组织废气排放</w:t>
            </w:r>
            <w:r>
              <w:rPr>
                <w:color w:val="auto"/>
                <w:sz w:val="28"/>
                <w:szCs w:val="28"/>
              </w:rPr>
              <w:t>的最大地面浓度占标率（P</w:t>
            </w:r>
            <w:r>
              <w:rPr>
                <w:color w:val="auto"/>
                <w:sz w:val="28"/>
                <w:szCs w:val="28"/>
                <w:vertAlign w:val="subscript"/>
              </w:rPr>
              <w:t>max</w:t>
            </w:r>
            <w:r>
              <w:rPr>
                <w:color w:val="auto"/>
                <w:sz w:val="28"/>
                <w:szCs w:val="28"/>
              </w:rPr>
              <w:t>）最大值为</w:t>
            </w:r>
            <w:r>
              <w:rPr>
                <w:rFonts w:hint="eastAsia"/>
                <w:color w:val="auto"/>
                <w:sz w:val="28"/>
                <w:szCs w:val="28"/>
              </w:rPr>
              <w:t>0.7425</w:t>
            </w:r>
            <w:r>
              <w:rPr>
                <w:color w:val="auto"/>
                <w:sz w:val="28"/>
                <w:szCs w:val="28"/>
              </w:rPr>
              <w:t>%，最大占标率P</w:t>
            </w:r>
            <w:r>
              <w:rPr>
                <w:color w:val="auto"/>
                <w:sz w:val="28"/>
                <w:szCs w:val="28"/>
                <w:vertAlign w:val="subscript"/>
              </w:rPr>
              <w:t>max</w:t>
            </w:r>
            <w:r>
              <w:rPr>
                <w:color w:val="auto"/>
                <w:sz w:val="28"/>
                <w:szCs w:val="28"/>
              </w:rPr>
              <w:t>＜1%</w:t>
            </w:r>
            <w:r>
              <w:rPr>
                <w:rFonts w:hint="eastAsia"/>
                <w:color w:val="auto"/>
                <w:sz w:val="28"/>
                <w:szCs w:val="28"/>
              </w:rPr>
              <w:t>，根据</w:t>
            </w:r>
            <w:r>
              <w:rPr>
                <w:color w:val="auto"/>
                <w:sz w:val="28"/>
                <w:szCs w:val="28"/>
              </w:rPr>
              <w:t>《环境影响评价技术导则 大气环境》（HJ2.2-2018）</w:t>
            </w:r>
            <w:r>
              <w:rPr>
                <w:rFonts w:hint="eastAsia"/>
                <w:color w:val="auto"/>
                <w:sz w:val="28"/>
                <w:szCs w:val="28"/>
              </w:rPr>
              <w:t>表2评价等级判定表</w:t>
            </w:r>
            <w:r>
              <w:rPr>
                <w:color w:val="auto"/>
                <w:sz w:val="28"/>
                <w:szCs w:val="28"/>
              </w:rPr>
              <w:t>，本项目大气环境影响评价工作等级定为</w:t>
            </w:r>
            <w:r>
              <w:rPr>
                <w:rFonts w:hint="eastAsia"/>
                <w:color w:val="auto"/>
                <w:sz w:val="28"/>
                <w:szCs w:val="28"/>
              </w:rPr>
              <w:t>三</w:t>
            </w:r>
            <w:r>
              <w:rPr>
                <w:color w:val="auto"/>
                <w:sz w:val="28"/>
                <w:szCs w:val="28"/>
              </w:rPr>
              <w:t>级。</w:t>
            </w:r>
          </w:p>
          <w:p>
            <w:pPr>
              <w:pStyle w:val="107"/>
              <w:ind w:firstLine="560"/>
              <w:rPr>
                <w:color w:val="auto"/>
              </w:rPr>
            </w:pPr>
            <w:r>
              <w:rPr>
                <w:rFonts w:hint="eastAsia"/>
                <w:color w:val="auto"/>
              </w:rPr>
              <w:t>（2）无组织废气</w:t>
            </w:r>
          </w:p>
          <w:p>
            <w:pPr>
              <w:spacing w:line="520" w:lineRule="exact"/>
              <w:ind w:firstLine="560" w:firstLineChars="200"/>
              <w:rPr>
                <w:color w:val="auto"/>
                <w:sz w:val="28"/>
                <w:szCs w:val="28"/>
              </w:rPr>
            </w:pPr>
            <w:r>
              <w:rPr>
                <w:rFonts w:hint="eastAsia"/>
                <w:color w:val="auto"/>
                <w:sz w:val="28"/>
                <w:szCs w:val="28"/>
              </w:rPr>
              <w:t>项目产生无组织废气主要为非甲烷总烃废气，</w:t>
            </w:r>
            <w:r>
              <w:rPr>
                <w:color w:val="auto"/>
                <w:sz w:val="28"/>
                <w:szCs w:val="28"/>
              </w:rPr>
              <w:t>采用</w:t>
            </w:r>
            <w:r>
              <w:rPr>
                <w:rFonts w:hint="eastAsia"/>
                <w:color w:val="auto"/>
                <w:sz w:val="28"/>
                <w:szCs w:val="28"/>
              </w:rPr>
              <w:t>AERSCREEN</w:t>
            </w:r>
            <w:r>
              <w:rPr>
                <w:color w:val="auto"/>
                <w:sz w:val="28"/>
                <w:szCs w:val="28"/>
              </w:rPr>
              <w:t>估算模式</w:t>
            </w:r>
            <w:r>
              <w:rPr>
                <w:rFonts w:hint="eastAsia"/>
                <w:color w:val="auto"/>
                <w:sz w:val="28"/>
                <w:szCs w:val="28"/>
              </w:rPr>
              <w:t>对项目有组织废气进行预测。</w:t>
            </w:r>
          </w:p>
          <w:p>
            <w:pPr>
              <w:pStyle w:val="104"/>
              <w:ind w:firstLine="480"/>
              <w:rPr>
                <w:color w:val="auto"/>
              </w:rPr>
            </w:pPr>
            <w:r>
              <w:rPr>
                <w:color w:val="auto"/>
              </w:rPr>
              <w:t>表</w:t>
            </w:r>
            <w:r>
              <w:rPr>
                <w:rFonts w:hint="eastAsia"/>
                <w:color w:val="auto"/>
              </w:rPr>
              <w:t>20</w:t>
            </w:r>
            <w:r>
              <w:rPr>
                <w:color w:val="auto"/>
              </w:rPr>
              <w:t xml:space="preserve">            </w:t>
            </w:r>
            <w:r>
              <w:rPr>
                <w:rFonts w:hint="eastAsia"/>
                <w:color w:val="auto"/>
              </w:rPr>
              <w:t xml:space="preserve">       </w:t>
            </w:r>
            <w:r>
              <w:rPr>
                <w:color w:val="auto"/>
              </w:rPr>
              <w:t xml:space="preserve">  </w:t>
            </w:r>
            <w:r>
              <w:rPr>
                <w:rFonts w:hint="eastAsia"/>
                <w:color w:val="auto"/>
              </w:rPr>
              <w:t>污染源</w:t>
            </w:r>
            <w:r>
              <w:rPr>
                <w:color w:val="auto"/>
              </w:rPr>
              <w:t>参数表</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893"/>
              <w:gridCol w:w="1194"/>
              <w:gridCol w:w="1312"/>
              <w:gridCol w:w="1277"/>
              <w:gridCol w:w="989"/>
              <w:gridCol w:w="1138"/>
              <w:gridCol w:w="1134"/>
              <w:gridCol w:w="1134"/>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654" w:hRule="atLeast"/>
              </w:trPr>
              <w:tc>
                <w:tcPr>
                  <w:tcW w:w="493"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编号</w:t>
                  </w:r>
                </w:p>
              </w:tc>
              <w:tc>
                <w:tcPr>
                  <w:tcW w:w="658"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污染源</w:t>
                  </w:r>
                </w:p>
              </w:tc>
              <w:tc>
                <w:tcPr>
                  <w:tcW w:w="723"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污染物</w:t>
                  </w:r>
                </w:p>
              </w:tc>
              <w:tc>
                <w:tcPr>
                  <w:tcW w:w="704"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污染源强</w:t>
                  </w:r>
                </w:p>
                <w:p>
                  <w:pPr>
                    <w:jc w:val="center"/>
                    <w:rPr>
                      <w:rFonts w:ascii="宋体" w:hAnsi="宋体" w:cs="宋体"/>
                      <w:color w:val="auto"/>
                      <w:kern w:val="0"/>
                      <w:szCs w:val="21"/>
                    </w:rPr>
                  </w:pPr>
                  <w:r>
                    <w:rPr>
                      <w:rFonts w:hint="eastAsia" w:ascii="宋体" w:hAnsi="宋体" w:cs="宋体"/>
                      <w:color w:val="auto"/>
                      <w:kern w:val="0"/>
                      <w:szCs w:val="21"/>
                    </w:rPr>
                    <w:t>（</w:t>
                  </w:r>
                  <w:r>
                    <w:rPr>
                      <w:color w:val="auto"/>
                      <w:kern w:val="0"/>
                      <w:szCs w:val="21"/>
                    </w:rPr>
                    <w:t>kg/h</w:t>
                  </w:r>
                  <w:r>
                    <w:rPr>
                      <w:rFonts w:hint="eastAsia" w:ascii="宋体" w:hAnsi="宋体" w:cs="宋体"/>
                      <w:color w:val="auto"/>
                      <w:kern w:val="0"/>
                      <w:szCs w:val="21"/>
                    </w:rPr>
                    <w:t>）</w:t>
                  </w:r>
                </w:p>
              </w:tc>
              <w:tc>
                <w:tcPr>
                  <w:tcW w:w="545"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面源</w:t>
                  </w:r>
                </w:p>
                <w:p>
                  <w:pPr>
                    <w:jc w:val="center"/>
                    <w:rPr>
                      <w:rFonts w:ascii="宋体" w:hAnsi="宋体" w:cs="宋体"/>
                      <w:color w:val="auto"/>
                      <w:kern w:val="0"/>
                      <w:szCs w:val="21"/>
                    </w:rPr>
                  </w:pPr>
                  <w:r>
                    <w:rPr>
                      <w:rFonts w:hint="eastAsia" w:ascii="宋体" w:hAnsi="宋体" w:cs="宋体"/>
                      <w:color w:val="auto"/>
                      <w:kern w:val="0"/>
                      <w:szCs w:val="21"/>
                    </w:rPr>
                    <w:t>宽度（m）</w:t>
                  </w:r>
                </w:p>
              </w:tc>
              <w:tc>
                <w:tcPr>
                  <w:tcW w:w="627"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面源</w:t>
                  </w:r>
                </w:p>
                <w:p>
                  <w:pPr>
                    <w:jc w:val="center"/>
                    <w:rPr>
                      <w:rFonts w:ascii="宋体" w:hAnsi="宋体" w:cs="宋体"/>
                      <w:color w:val="auto"/>
                      <w:kern w:val="0"/>
                      <w:szCs w:val="21"/>
                    </w:rPr>
                  </w:pPr>
                  <w:r>
                    <w:rPr>
                      <w:rFonts w:hint="eastAsia" w:ascii="宋体" w:hAnsi="宋体" w:cs="宋体"/>
                      <w:color w:val="auto"/>
                      <w:kern w:val="0"/>
                      <w:szCs w:val="21"/>
                    </w:rPr>
                    <w:t>长度（m）</w:t>
                  </w:r>
                </w:p>
              </w:tc>
              <w:tc>
                <w:tcPr>
                  <w:tcW w:w="625"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有效</w:t>
                  </w:r>
                </w:p>
                <w:p>
                  <w:pPr>
                    <w:jc w:val="center"/>
                    <w:rPr>
                      <w:rFonts w:ascii="宋体" w:hAnsi="宋体" w:cs="宋体"/>
                      <w:color w:val="auto"/>
                      <w:kern w:val="0"/>
                      <w:szCs w:val="21"/>
                    </w:rPr>
                  </w:pPr>
                  <w:r>
                    <w:rPr>
                      <w:rFonts w:hint="eastAsia" w:ascii="宋体" w:hAnsi="宋体" w:cs="宋体"/>
                      <w:color w:val="auto"/>
                      <w:kern w:val="0"/>
                      <w:szCs w:val="21"/>
                    </w:rPr>
                    <w:t>高</w:t>
                  </w:r>
                  <w:r>
                    <w:rPr>
                      <w:color w:val="auto"/>
                      <w:kern w:val="0"/>
                      <w:szCs w:val="21"/>
                    </w:rPr>
                    <w:t>He</w:t>
                  </w:r>
                  <w:r>
                    <w:rPr>
                      <w:rFonts w:hint="eastAsia"/>
                      <w:color w:val="auto"/>
                      <w:kern w:val="0"/>
                      <w:szCs w:val="21"/>
                    </w:rPr>
                    <w:t>（m）</w:t>
                  </w:r>
                </w:p>
              </w:tc>
              <w:tc>
                <w:tcPr>
                  <w:tcW w:w="625"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污染源</w:t>
                  </w:r>
                </w:p>
                <w:p>
                  <w:pPr>
                    <w:jc w:val="center"/>
                    <w:rPr>
                      <w:rFonts w:ascii="宋体" w:hAnsi="宋体" w:cs="宋体"/>
                      <w:color w:val="auto"/>
                      <w:kern w:val="0"/>
                      <w:szCs w:val="21"/>
                    </w:rPr>
                  </w:pPr>
                  <w:r>
                    <w:rPr>
                      <w:rFonts w:hint="eastAsia" w:ascii="宋体" w:hAnsi="宋体" w:cs="宋体"/>
                      <w:color w:val="auto"/>
                      <w:kern w:val="0"/>
                      <w:szCs w:val="21"/>
                    </w:rPr>
                    <w:t>性质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93" w:type="pct"/>
                  <w:shd w:val="clear" w:color="auto" w:fill="auto"/>
                  <w:vAlign w:val="center"/>
                </w:tcPr>
                <w:p>
                  <w:pPr>
                    <w:widowControl/>
                    <w:jc w:val="center"/>
                    <w:rPr>
                      <w:color w:val="auto"/>
                      <w:kern w:val="0"/>
                      <w:szCs w:val="21"/>
                    </w:rPr>
                  </w:pPr>
                  <w:r>
                    <w:rPr>
                      <w:rFonts w:hint="eastAsia"/>
                      <w:color w:val="auto"/>
                      <w:kern w:val="0"/>
                      <w:szCs w:val="21"/>
                    </w:rPr>
                    <w:t>1</w:t>
                  </w:r>
                </w:p>
              </w:tc>
              <w:tc>
                <w:tcPr>
                  <w:tcW w:w="658" w:type="pct"/>
                  <w:shd w:val="clear" w:color="auto" w:fill="auto"/>
                  <w:vAlign w:val="center"/>
                </w:tcPr>
                <w:p>
                  <w:pPr>
                    <w:widowControl/>
                    <w:jc w:val="center"/>
                    <w:rPr>
                      <w:color w:val="auto"/>
                      <w:kern w:val="0"/>
                      <w:szCs w:val="21"/>
                    </w:rPr>
                  </w:pPr>
                  <w:r>
                    <w:rPr>
                      <w:rFonts w:hint="eastAsia"/>
                      <w:color w:val="auto"/>
                      <w:kern w:val="0"/>
                      <w:szCs w:val="21"/>
                    </w:rPr>
                    <w:t>塑料熔融</w:t>
                  </w:r>
                </w:p>
              </w:tc>
              <w:tc>
                <w:tcPr>
                  <w:tcW w:w="723"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非甲烷总烃</w:t>
                  </w:r>
                </w:p>
              </w:tc>
              <w:tc>
                <w:tcPr>
                  <w:tcW w:w="704" w:type="pct"/>
                  <w:shd w:val="clear" w:color="auto" w:fill="auto"/>
                  <w:vAlign w:val="center"/>
                </w:tcPr>
                <w:p>
                  <w:pPr>
                    <w:widowControl/>
                    <w:jc w:val="center"/>
                    <w:rPr>
                      <w:color w:val="auto"/>
                      <w:kern w:val="0"/>
                      <w:szCs w:val="21"/>
                      <w:vertAlign w:val="superscript"/>
                    </w:rPr>
                  </w:pPr>
                  <w:r>
                    <w:rPr>
                      <w:rFonts w:hint="eastAsia"/>
                      <w:color w:val="auto"/>
                      <w:kern w:val="0"/>
                      <w:szCs w:val="21"/>
                    </w:rPr>
                    <w:t>0.287</w:t>
                  </w:r>
                </w:p>
              </w:tc>
              <w:tc>
                <w:tcPr>
                  <w:tcW w:w="545" w:type="pct"/>
                  <w:shd w:val="clear" w:color="auto" w:fill="auto"/>
                  <w:vAlign w:val="center"/>
                </w:tcPr>
                <w:p>
                  <w:pPr>
                    <w:widowControl/>
                    <w:jc w:val="center"/>
                    <w:rPr>
                      <w:color w:val="auto"/>
                      <w:kern w:val="0"/>
                      <w:szCs w:val="21"/>
                    </w:rPr>
                  </w:pPr>
                  <w:r>
                    <w:rPr>
                      <w:rFonts w:hint="eastAsia"/>
                      <w:color w:val="auto"/>
                      <w:kern w:val="0"/>
                      <w:szCs w:val="21"/>
                    </w:rPr>
                    <w:t>7</w:t>
                  </w:r>
                </w:p>
              </w:tc>
              <w:tc>
                <w:tcPr>
                  <w:tcW w:w="627" w:type="pct"/>
                  <w:shd w:val="clear" w:color="auto" w:fill="auto"/>
                  <w:vAlign w:val="center"/>
                </w:tcPr>
                <w:p>
                  <w:pPr>
                    <w:widowControl/>
                    <w:jc w:val="center"/>
                    <w:rPr>
                      <w:color w:val="auto"/>
                      <w:kern w:val="0"/>
                      <w:szCs w:val="21"/>
                    </w:rPr>
                  </w:pPr>
                  <w:r>
                    <w:rPr>
                      <w:rFonts w:hint="eastAsia"/>
                      <w:color w:val="auto"/>
                      <w:kern w:val="0"/>
                      <w:szCs w:val="21"/>
                    </w:rPr>
                    <w:t>10</w:t>
                  </w:r>
                </w:p>
              </w:tc>
              <w:tc>
                <w:tcPr>
                  <w:tcW w:w="625" w:type="pct"/>
                  <w:shd w:val="clear" w:color="auto" w:fill="auto"/>
                  <w:vAlign w:val="center"/>
                </w:tcPr>
                <w:p>
                  <w:pPr>
                    <w:widowControl/>
                    <w:jc w:val="center"/>
                    <w:rPr>
                      <w:color w:val="auto"/>
                      <w:kern w:val="0"/>
                      <w:szCs w:val="21"/>
                    </w:rPr>
                  </w:pPr>
                  <w:r>
                    <w:rPr>
                      <w:rFonts w:hint="eastAsia"/>
                      <w:color w:val="auto"/>
                      <w:kern w:val="0"/>
                      <w:szCs w:val="21"/>
                    </w:rPr>
                    <w:t>4</w:t>
                  </w:r>
                </w:p>
              </w:tc>
              <w:tc>
                <w:tcPr>
                  <w:tcW w:w="625"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面源排放</w:t>
                  </w:r>
                </w:p>
              </w:tc>
            </w:tr>
          </w:tbl>
          <w:p>
            <w:pPr>
              <w:pStyle w:val="104"/>
              <w:spacing w:before="156" w:beforeLines="50"/>
              <w:ind w:firstLine="480"/>
              <w:rPr>
                <w:color w:val="auto"/>
              </w:rPr>
            </w:pPr>
            <w:r>
              <w:rPr>
                <w:color w:val="auto"/>
              </w:rPr>
              <w:t>表</w:t>
            </w:r>
            <w:r>
              <w:rPr>
                <w:rFonts w:hint="eastAsia"/>
                <w:color w:val="auto"/>
              </w:rPr>
              <w:t>21</w:t>
            </w:r>
            <w:r>
              <w:rPr>
                <w:color w:val="auto"/>
              </w:rPr>
              <w:t xml:space="preserve">          </w:t>
            </w:r>
            <w:r>
              <w:rPr>
                <w:rFonts w:hint="eastAsia"/>
                <w:color w:val="auto"/>
              </w:rPr>
              <w:t xml:space="preserve">       </w:t>
            </w:r>
            <w:r>
              <w:rPr>
                <w:color w:val="auto"/>
              </w:rPr>
              <w:t xml:space="preserve"> </w:t>
            </w:r>
            <w:r>
              <w:rPr>
                <w:rFonts w:hint="eastAsia"/>
                <w:color w:val="auto"/>
              </w:rPr>
              <w:t>无组织废气</w:t>
            </w:r>
            <w:r>
              <w:rPr>
                <w:color w:val="auto"/>
              </w:rPr>
              <w:t>做大落地浓度预测结果</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3803"/>
              <w:gridCol w:w="3053"/>
              <w:gridCol w:w="2215"/>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2096" w:type="pct"/>
                  <w:vMerge w:val="restart"/>
                  <w:shd w:val="clear" w:color="auto" w:fill="auto"/>
                  <w:vAlign w:val="center"/>
                </w:tcPr>
                <w:p>
                  <w:pPr>
                    <w:widowControl/>
                    <w:jc w:val="center"/>
                    <w:rPr>
                      <w:color w:val="auto"/>
                      <w:kern w:val="0"/>
                      <w:szCs w:val="21"/>
                    </w:rPr>
                  </w:pPr>
                  <w:r>
                    <w:rPr>
                      <w:color w:val="auto"/>
                      <w:kern w:val="0"/>
                      <w:szCs w:val="21"/>
                    </w:rPr>
                    <w:t>源距预测点距离D（m）</w:t>
                  </w:r>
                </w:p>
              </w:tc>
              <w:tc>
                <w:tcPr>
                  <w:tcW w:w="2904" w:type="pct"/>
                  <w:gridSpan w:val="2"/>
                  <w:shd w:val="clear" w:color="auto" w:fill="auto"/>
                  <w:vAlign w:val="center"/>
                </w:tcPr>
                <w:p>
                  <w:pPr>
                    <w:widowControl/>
                    <w:jc w:val="center"/>
                    <w:rPr>
                      <w:color w:val="auto"/>
                      <w:kern w:val="0"/>
                      <w:szCs w:val="21"/>
                    </w:rPr>
                  </w:pPr>
                  <w:r>
                    <w:rPr>
                      <w:rFonts w:hint="eastAsia"/>
                      <w:color w:val="auto"/>
                      <w:kern w:val="0"/>
                      <w:szCs w:val="21"/>
                    </w:rPr>
                    <w:t>非甲烷总烃</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2096" w:type="pct"/>
                  <w:vMerge w:val="continue"/>
                  <w:vAlign w:val="center"/>
                </w:tcPr>
                <w:p>
                  <w:pPr>
                    <w:widowControl/>
                    <w:jc w:val="center"/>
                    <w:rPr>
                      <w:color w:val="auto"/>
                      <w:kern w:val="0"/>
                      <w:szCs w:val="21"/>
                    </w:rPr>
                  </w:pPr>
                </w:p>
              </w:tc>
              <w:tc>
                <w:tcPr>
                  <w:tcW w:w="1683" w:type="pct"/>
                  <w:shd w:val="clear" w:color="auto" w:fill="auto"/>
                  <w:vAlign w:val="center"/>
                </w:tcPr>
                <w:p>
                  <w:pPr>
                    <w:widowControl/>
                    <w:jc w:val="center"/>
                    <w:rPr>
                      <w:color w:val="auto"/>
                      <w:kern w:val="0"/>
                      <w:szCs w:val="21"/>
                    </w:rPr>
                  </w:pPr>
                  <w:r>
                    <w:rPr>
                      <w:color w:val="auto"/>
                      <w:kern w:val="0"/>
                      <w:szCs w:val="21"/>
                    </w:rPr>
                    <w:t>落地浓度（μg/m</w:t>
                  </w:r>
                  <w:r>
                    <w:rPr>
                      <w:color w:val="auto"/>
                      <w:kern w:val="0"/>
                      <w:szCs w:val="21"/>
                      <w:vertAlign w:val="superscript"/>
                    </w:rPr>
                    <w:t>3</w:t>
                  </w:r>
                  <w:r>
                    <w:rPr>
                      <w:color w:val="auto"/>
                      <w:kern w:val="0"/>
                      <w:szCs w:val="21"/>
                    </w:rPr>
                    <w:t>）</w:t>
                  </w:r>
                </w:p>
              </w:tc>
              <w:tc>
                <w:tcPr>
                  <w:tcW w:w="1221" w:type="pct"/>
                  <w:shd w:val="clear" w:color="auto" w:fill="auto"/>
                  <w:vAlign w:val="center"/>
                </w:tcPr>
                <w:p>
                  <w:pPr>
                    <w:widowControl/>
                    <w:jc w:val="center"/>
                    <w:rPr>
                      <w:color w:val="auto"/>
                      <w:kern w:val="0"/>
                      <w:szCs w:val="21"/>
                    </w:rPr>
                  </w:pPr>
                  <w:r>
                    <w:rPr>
                      <w:color w:val="auto"/>
                      <w:kern w:val="0"/>
                      <w:szCs w:val="21"/>
                    </w:rPr>
                    <w:t>占标率（%）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1</w:t>
                  </w:r>
                </w:p>
              </w:tc>
              <w:tc>
                <w:tcPr>
                  <w:tcW w:w="3053" w:type="dxa"/>
                  <w:shd w:val="clear" w:color="auto" w:fill="auto"/>
                  <w:noWrap/>
                  <w:vAlign w:val="center"/>
                </w:tcPr>
                <w:p>
                  <w:pPr>
                    <w:widowControl/>
                    <w:jc w:val="center"/>
                    <w:textAlignment w:val="center"/>
                    <w:rPr>
                      <w:color w:val="auto"/>
                      <w:szCs w:val="21"/>
                    </w:rPr>
                  </w:pPr>
                  <w:r>
                    <w:rPr>
                      <w:color w:val="auto"/>
                      <w:kern w:val="0"/>
                      <w:szCs w:val="21"/>
                      <w:lang w:bidi="ar"/>
                    </w:rPr>
                    <w:t>93.55</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4.68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noWrap/>
                  <w:vAlign w:val="center"/>
                </w:tcPr>
                <w:p>
                  <w:pPr>
                    <w:widowControl/>
                    <w:jc w:val="center"/>
                    <w:textAlignment w:val="center"/>
                    <w:rPr>
                      <w:color w:val="auto"/>
                      <w:sz w:val="22"/>
                      <w:szCs w:val="22"/>
                    </w:rPr>
                  </w:pPr>
                  <w:r>
                    <w:rPr>
                      <w:b/>
                      <w:color w:val="auto"/>
                      <w:kern w:val="0"/>
                      <w:sz w:val="22"/>
                      <w:szCs w:val="22"/>
                      <w:lang w:bidi="ar"/>
                    </w:rPr>
                    <w:t>24</w:t>
                  </w:r>
                </w:p>
              </w:tc>
              <w:tc>
                <w:tcPr>
                  <w:tcW w:w="3053" w:type="dxa"/>
                  <w:shd w:val="clear" w:color="auto" w:fill="auto"/>
                  <w:noWrap/>
                  <w:vAlign w:val="center"/>
                </w:tcPr>
                <w:p>
                  <w:pPr>
                    <w:widowControl/>
                    <w:jc w:val="center"/>
                    <w:textAlignment w:val="center"/>
                    <w:rPr>
                      <w:color w:val="auto"/>
                      <w:sz w:val="22"/>
                      <w:szCs w:val="22"/>
                    </w:rPr>
                  </w:pPr>
                  <w:r>
                    <w:rPr>
                      <w:b/>
                      <w:color w:val="auto"/>
                      <w:kern w:val="0"/>
                      <w:sz w:val="22"/>
                      <w:szCs w:val="22"/>
                      <w:lang w:bidi="ar"/>
                    </w:rPr>
                    <w:t>173.3</w:t>
                  </w:r>
                </w:p>
              </w:tc>
              <w:tc>
                <w:tcPr>
                  <w:tcW w:w="2215" w:type="dxa"/>
                  <w:shd w:val="clear" w:color="auto" w:fill="auto"/>
                  <w:vAlign w:val="center"/>
                </w:tcPr>
                <w:p>
                  <w:pPr>
                    <w:widowControl/>
                    <w:jc w:val="center"/>
                    <w:textAlignment w:val="center"/>
                    <w:rPr>
                      <w:color w:val="auto"/>
                      <w:szCs w:val="21"/>
                    </w:rPr>
                  </w:pPr>
                  <w:r>
                    <w:rPr>
                      <w:b/>
                      <w:color w:val="auto"/>
                      <w:kern w:val="0"/>
                      <w:szCs w:val="21"/>
                      <w:lang w:bidi="ar"/>
                    </w:rPr>
                    <w:t xml:space="preserve">8.67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b/>
                      <w:bCs/>
                      <w:color w:val="auto"/>
                      <w:szCs w:val="21"/>
                    </w:rPr>
                  </w:pPr>
                  <w:r>
                    <w:rPr>
                      <w:color w:val="auto"/>
                      <w:kern w:val="0"/>
                      <w:szCs w:val="21"/>
                      <w:lang w:bidi="ar"/>
                    </w:rPr>
                    <w:t>50</w:t>
                  </w:r>
                </w:p>
              </w:tc>
              <w:tc>
                <w:tcPr>
                  <w:tcW w:w="3053" w:type="dxa"/>
                  <w:shd w:val="clear" w:color="auto" w:fill="auto"/>
                  <w:noWrap/>
                  <w:vAlign w:val="center"/>
                </w:tcPr>
                <w:p>
                  <w:pPr>
                    <w:widowControl/>
                    <w:jc w:val="center"/>
                    <w:textAlignment w:val="center"/>
                    <w:rPr>
                      <w:b/>
                      <w:bCs/>
                      <w:color w:val="auto"/>
                      <w:sz w:val="22"/>
                      <w:szCs w:val="22"/>
                    </w:rPr>
                  </w:pPr>
                  <w:r>
                    <w:rPr>
                      <w:color w:val="auto"/>
                      <w:kern w:val="0"/>
                      <w:sz w:val="22"/>
                      <w:szCs w:val="22"/>
                      <w:lang w:bidi="ar"/>
                    </w:rPr>
                    <w:t>54.47</w:t>
                  </w:r>
                </w:p>
              </w:tc>
              <w:tc>
                <w:tcPr>
                  <w:tcW w:w="2215" w:type="dxa"/>
                  <w:shd w:val="clear" w:color="auto" w:fill="auto"/>
                  <w:vAlign w:val="center"/>
                </w:tcPr>
                <w:p>
                  <w:pPr>
                    <w:widowControl/>
                    <w:jc w:val="center"/>
                    <w:textAlignment w:val="center"/>
                    <w:rPr>
                      <w:b/>
                      <w:bCs/>
                      <w:color w:val="auto"/>
                      <w:szCs w:val="21"/>
                    </w:rPr>
                  </w:pPr>
                  <w:r>
                    <w:rPr>
                      <w:color w:val="auto"/>
                      <w:kern w:val="0"/>
                      <w:szCs w:val="21"/>
                      <w:lang w:bidi="ar"/>
                    </w:rPr>
                    <w:t xml:space="preserve">2.72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100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17.4</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0.87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200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5.997</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0.30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300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3.296</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0.16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400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2.176</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0.11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500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1.581</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0.08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600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1.221</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0.06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700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0.982</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0.05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800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0.814</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0.04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900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 xml:space="preserve">0.690 </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0.03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1000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0.595</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0.03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2000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0.227</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0.01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3000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 xml:space="preserve">0.130 </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 xml:space="preserve">0.01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4000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0.089</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0.00</w:t>
                  </w:r>
                  <w:r>
                    <w:rPr>
                      <w:rFonts w:hint="eastAsia"/>
                      <w:color w:val="auto"/>
                      <w:kern w:val="0"/>
                      <w:szCs w:val="21"/>
                      <w:lang w:bidi="ar"/>
                    </w:rPr>
                    <w:t>4</w:t>
                  </w:r>
                  <w:r>
                    <w:rPr>
                      <w:color w:val="auto"/>
                      <w:kern w:val="0"/>
                      <w:szCs w:val="21"/>
                      <w:lang w:bidi="ar"/>
                    </w:rPr>
                    <w:t xml:space="preserve">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szCs w:val="21"/>
                    </w:rPr>
                  </w:pPr>
                  <w:r>
                    <w:rPr>
                      <w:color w:val="auto"/>
                      <w:kern w:val="0"/>
                      <w:szCs w:val="21"/>
                      <w:lang w:bidi="ar"/>
                    </w:rPr>
                    <w:t>5000</w:t>
                  </w:r>
                </w:p>
              </w:tc>
              <w:tc>
                <w:tcPr>
                  <w:tcW w:w="3053" w:type="dxa"/>
                  <w:shd w:val="clear" w:color="auto" w:fill="auto"/>
                  <w:noWrap/>
                  <w:vAlign w:val="center"/>
                </w:tcPr>
                <w:p>
                  <w:pPr>
                    <w:widowControl/>
                    <w:jc w:val="center"/>
                    <w:textAlignment w:val="center"/>
                    <w:rPr>
                      <w:color w:val="auto"/>
                      <w:sz w:val="22"/>
                      <w:szCs w:val="22"/>
                    </w:rPr>
                  </w:pPr>
                  <w:r>
                    <w:rPr>
                      <w:color w:val="auto"/>
                      <w:kern w:val="0"/>
                      <w:sz w:val="22"/>
                      <w:szCs w:val="22"/>
                      <w:lang w:bidi="ar"/>
                    </w:rPr>
                    <w:t>0.069</w:t>
                  </w:r>
                </w:p>
              </w:tc>
              <w:tc>
                <w:tcPr>
                  <w:tcW w:w="2215" w:type="dxa"/>
                  <w:shd w:val="clear" w:color="auto" w:fill="auto"/>
                  <w:vAlign w:val="center"/>
                </w:tcPr>
                <w:p>
                  <w:pPr>
                    <w:widowControl/>
                    <w:jc w:val="center"/>
                    <w:textAlignment w:val="center"/>
                    <w:rPr>
                      <w:color w:val="auto"/>
                      <w:szCs w:val="21"/>
                    </w:rPr>
                  </w:pPr>
                  <w:r>
                    <w:rPr>
                      <w:color w:val="auto"/>
                      <w:kern w:val="0"/>
                      <w:szCs w:val="21"/>
                      <w:lang w:bidi="ar"/>
                    </w:rPr>
                    <w:t>0.00</w:t>
                  </w:r>
                  <w:r>
                    <w:rPr>
                      <w:rFonts w:hint="eastAsia"/>
                      <w:color w:val="auto"/>
                      <w:kern w:val="0"/>
                      <w:szCs w:val="21"/>
                      <w:lang w:bidi="ar"/>
                    </w:rPr>
                    <w:t>3</w:t>
                  </w:r>
                  <w:r>
                    <w:rPr>
                      <w:color w:val="auto"/>
                      <w:kern w:val="0"/>
                      <w:szCs w:val="21"/>
                      <w:lang w:bidi="ar"/>
                    </w:rPr>
                    <w:t xml:space="preserve">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kern w:val="0"/>
                      <w:szCs w:val="21"/>
                    </w:rPr>
                  </w:pPr>
                  <w:r>
                    <w:rPr>
                      <w:color w:val="auto"/>
                      <w:kern w:val="0"/>
                      <w:szCs w:val="21"/>
                      <w:lang w:bidi="ar"/>
                    </w:rPr>
                    <w:t>最大落地浓度（μg/m</w:t>
                  </w:r>
                  <w:r>
                    <w:rPr>
                      <w:color w:val="auto"/>
                      <w:kern w:val="0"/>
                      <w:szCs w:val="21"/>
                      <w:vertAlign w:val="superscript"/>
                      <w:lang w:bidi="ar"/>
                    </w:rPr>
                    <w:t>3</w:t>
                  </w:r>
                  <w:r>
                    <w:rPr>
                      <w:rStyle w:val="111"/>
                      <w:color w:val="auto"/>
                      <w:lang w:bidi="ar"/>
                    </w:rPr>
                    <w:t>）</w:t>
                  </w:r>
                </w:p>
              </w:tc>
              <w:tc>
                <w:tcPr>
                  <w:tcW w:w="5268" w:type="dxa"/>
                  <w:gridSpan w:val="2"/>
                  <w:shd w:val="clear" w:color="auto" w:fill="auto"/>
                  <w:vAlign w:val="center"/>
                </w:tcPr>
                <w:p>
                  <w:pPr>
                    <w:widowControl/>
                    <w:jc w:val="center"/>
                    <w:textAlignment w:val="center"/>
                    <w:rPr>
                      <w:color w:val="auto"/>
                      <w:szCs w:val="21"/>
                    </w:rPr>
                  </w:pPr>
                  <w:r>
                    <w:rPr>
                      <w:color w:val="auto"/>
                      <w:kern w:val="0"/>
                      <w:szCs w:val="21"/>
                      <w:lang w:bidi="ar"/>
                    </w:rPr>
                    <w:t>173.3</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kern w:val="0"/>
                      <w:szCs w:val="21"/>
                    </w:rPr>
                  </w:pPr>
                  <w:r>
                    <w:rPr>
                      <w:color w:val="auto"/>
                      <w:kern w:val="0"/>
                      <w:szCs w:val="21"/>
                      <w:lang w:bidi="ar"/>
                    </w:rPr>
                    <w:t>最大落地距离m</w:t>
                  </w:r>
                </w:p>
              </w:tc>
              <w:tc>
                <w:tcPr>
                  <w:tcW w:w="5268" w:type="dxa"/>
                  <w:gridSpan w:val="2"/>
                  <w:shd w:val="clear" w:color="auto" w:fill="auto"/>
                  <w:vAlign w:val="center"/>
                </w:tcPr>
                <w:p>
                  <w:pPr>
                    <w:widowControl/>
                    <w:jc w:val="center"/>
                    <w:textAlignment w:val="center"/>
                    <w:rPr>
                      <w:color w:val="auto"/>
                      <w:szCs w:val="21"/>
                    </w:rPr>
                  </w:pPr>
                  <w:r>
                    <w:rPr>
                      <w:color w:val="auto"/>
                      <w:kern w:val="0"/>
                      <w:szCs w:val="21"/>
                      <w:lang w:bidi="ar"/>
                    </w:rPr>
                    <w:t>24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3803" w:type="dxa"/>
                  <w:shd w:val="clear" w:color="auto" w:fill="auto"/>
                  <w:vAlign w:val="center"/>
                </w:tcPr>
                <w:p>
                  <w:pPr>
                    <w:widowControl/>
                    <w:jc w:val="center"/>
                    <w:textAlignment w:val="center"/>
                    <w:rPr>
                      <w:color w:val="auto"/>
                      <w:kern w:val="0"/>
                      <w:szCs w:val="21"/>
                    </w:rPr>
                  </w:pPr>
                  <w:r>
                    <w:rPr>
                      <w:color w:val="auto"/>
                      <w:kern w:val="0"/>
                      <w:szCs w:val="21"/>
                      <w:lang w:bidi="ar"/>
                    </w:rPr>
                    <w:t>最大占标率%</w:t>
                  </w:r>
                </w:p>
              </w:tc>
              <w:tc>
                <w:tcPr>
                  <w:tcW w:w="5268" w:type="dxa"/>
                  <w:gridSpan w:val="2"/>
                  <w:shd w:val="clear" w:color="auto" w:fill="auto"/>
                  <w:vAlign w:val="center"/>
                </w:tcPr>
                <w:p>
                  <w:pPr>
                    <w:widowControl/>
                    <w:jc w:val="center"/>
                    <w:textAlignment w:val="center"/>
                    <w:rPr>
                      <w:color w:val="auto"/>
                      <w:szCs w:val="21"/>
                    </w:rPr>
                  </w:pPr>
                  <w:r>
                    <w:rPr>
                      <w:color w:val="auto"/>
                      <w:kern w:val="0"/>
                      <w:sz w:val="24"/>
                      <w:lang w:bidi="ar"/>
                    </w:rPr>
                    <w:t>8.665</w:t>
                  </w:r>
                </w:p>
              </w:tc>
            </w:tr>
          </w:tbl>
          <w:p>
            <w:pPr>
              <w:spacing w:line="520" w:lineRule="exact"/>
              <w:ind w:firstLine="560" w:firstLineChars="200"/>
              <w:rPr>
                <w:color w:val="auto"/>
                <w:sz w:val="28"/>
                <w:szCs w:val="28"/>
              </w:rPr>
            </w:pPr>
            <w:r>
              <w:rPr>
                <w:rFonts w:hint="eastAsia"/>
                <w:color w:val="auto"/>
                <w:sz w:val="28"/>
                <w:szCs w:val="28"/>
              </w:rPr>
              <w:t>根据</w:t>
            </w:r>
            <w:r>
              <w:rPr>
                <w:color w:val="auto"/>
                <w:sz w:val="28"/>
                <w:szCs w:val="28"/>
              </w:rPr>
              <w:t>估算模式</w:t>
            </w:r>
            <w:r>
              <w:rPr>
                <w:rFonts w:hint="eastAsia"/>
                <w:color w:val="auto"/>
                <w:sz w:val="28"/>
                <w:szCs w:val="28"/>
              </w:rPr>
              <w:t>对项目无组织废气的预测结果，无组织废气排放污染物最大落地浓度距离为24m，最大落地浓度占标率为1%＜</w:t>
            </w:r>
            <w:r>
              <w:rPr>
                <w:color w:val="auto"/>
                <w:sz w:val="28"/>
                <w:szCs w:val="28"/>
              </w:rPr>
              <w:t>P</w:t>
            </w:r>
            <w:r>
              <w:rPr>
                <w:color w:val="auto"/>
                <w:sz w:val="28"/>
                <w:szCs w:val="28"/>
                <w:vertAlign w:val="subscript"/>
              </w:rPr>
              <w:t>max</w:t>
            </w:r>
            <w:r>
              <w:rPr>
                <w:rFonts w:hint="eastAsia"/>
                <w:color w:val="auto"/>
                <w:sz w:val="28"/>
                <w:szCs w:val="28"/>
              </w:rPr>
              <w:t>=0.4181%＜10%，大气环境影响评价等级判定为二级，本项目无组织排放浓度满足《挥发性有机物无组织排放控制标准》（GB37822-2019），由于本项目生产工序均在厂房内生产，且项目无组织废气排放量较小，项目区距离周边居民区及政府、学校等敏感点较远，无组织废气排放对大气环境影响较小。</w:t>
            </w:r>
          </w:p>
          <w:p>
            <w:pPr>
              <w:adjustRightInd w:val="0"/>
              <w:snapToGrid w:val="0"/>
              <w:spacing w:line="520" w:lineRule="exact"/>
              <w:rPr>
                <w:rFonts w:hint="eastAsia"/>
                <w:b/>
                <w:color w:val="auto"/>
                <w:sz w:val="28"/>
                <w:szCs w:val="28"/>
                <w:lang w:val="en-US" w:eastAsia="zh-CN"/>
              </w:rPr>
            </w:pPr>
            <w:r>
              <w:rPr>
                <w:rFonts w:hint="eastAsia"/>
                <w:b/>
                <w:color w:val="auto"/>
                <w:sz w:val="28"/>
                <w:szCs w:val="28"/>
                <w:lang w:val="en-US" w:eastAsia="zh-CN"/>
              </w:rPr>
              <w:t>1.2.2大气环境防护距离</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color w:val="auto"/>
                <w:lang w:val="en-US" w:eastAsia="zh-CN"/>
              </w:rPr>
            </w:pPr>
            <w:r>
              <w:rPr>
                <w:rFonts w:hint="default" w:ascii="Times New Roman" w:hAnsi="Times New Roman" w:cs="Times New Roman"/>
                <w:color w:val="auto"/>
                <w:sz w:val="28"/>
                <w:szCs w:val="28"/>
                <w:lang w:val="en-US" w:eastAsia="zh-CN"/>
              </w:rPr>
              <w:t>根据《环境影响评价技术导则-大气环境》（HJ2.2-2018），</w:t>
            </w:r>
            <w:r>
              <w:rPr>
                <w:rFonts w:hint="eastAsia" w:ascii="Times New Roman" w:hAnsi="Times New Roman" w:cs="Times New Roman"/>
                <w:color w:val="auto"/>
                <w:sz w:val="28"/>
                <w:szCs w:val="28"/>
                <w:lang w:val="en-US" w:eastAsia="zh-CN"/>
              </w:rPr>
              <w:t>本项目大气环境影响评价等级判定为二级，</w:t>
            </w:r>
            <w:r>
              <w:rPr>
                <w:rFonts w:hint="default" w:ascii="Times New Roman" w:hAnsi="Times New Roman" w:cs="Times New Roman"/>
                <w:color w:val="auto"/>
                <w:sz w:val="28"/>
                <w:szCs w:val="28"/>
                <w:lang w:val="en-US" w:eastAsia="zh-CN"/>
              </w:rPr>
              <w:t>二级评价不需设置大气环境防护距离</w:t>
            </w:r>
            <w:r>
              <w:rPr>
                <w:rFonts w:hint="eastAsia" w:ascii="Times New Roman" w:hAnsi="Times New Roman" w:cs="Times New Roman"/>
                <w:color w:val="auto"/>
                <w:sz w:val="28"/>
                <w:szCs w:val="28"/>
                <w:lang w:val="en-US" w:eastAsia="zh-CN"/>
              </w:rPr>
              <w:t>。</w:t>
            </w:r>
          </w:p>
          <w:p>
            <w:pPr>
              <w:adjustRightInd w:val="0"/>
              <w:snapToGrid w:val="0"/>
              <w:spacing w:line="520" w:lineRule="exact"/>
              <w:rPr>
                <w:b/>
                <w:color w:val="auto"/>
                <w:sz w:val="28"/>
                <w:szCs w:val="28"/>
              </w:rPr>
            </w:pPr>
            <w:r>
              <w:rPr>
                <w:rFonts w:hint="eastAsia"/>
                <w:b/>
                <w:color w:val="auto"/>
                <w:sz w:val="28"/>
                <w:szCs w:val="28"/>
              </w:rPr>
              <w:t>1.2.</w:t>
            </w:r>
            <w:r>
              <w:rPr>
                <w:rFonts w:hint="eastAsia"/>
                <w:b/>
                <w:color w:val="auto"/>
                <w:sz w:val="28"/>
                <w:szCs w:val="28"/>
                <w:lang w:val="en-US" w:eastAsia="zh-CN"/>
              </w:rPr>
              <w:t>3</w:t>
            </w:r>
            <w:r>
              <w:rPr>
                <w:rFonts w:hint="eastAsia"/>
                <w:b/>
                <w:color w:val="auto"/>
                <w:sz w:val="28"/>
                <w:szCs w:val="28"/>
              </w:rPr>
              <w:t>卫生防护距离</w:t>
            </w:r>
          </w:p>
          <w:p>
            <w:pPr>
              <w:spacing w:line="520" w:lineRule="exact"/>
              <w:ind w:firstLine="560" w:firstLineChars="200"/>
              <w:rPr>
                <w:color w:val="auto"/>
                <w:sz w:val="28"/>
                <w:szCs w:val="28"/>
              </w:rPr>
            </w:pPr>
            <w:r>
              <w:rPr>
                <w:rFonts w:hint="eastAsia"/>
                <w:color w:val="auto"/>
                <w:sz w:val="28"/>
                <w:szCs w:val="28"/>
              </w:rPr>
              <w:t>工业企业卫生防护距离制定目的是保证工业企业项目投产后产生的污染物不致影响居住区人群健康。针对各类有害因素特点，找出有害因素发生、扩散、稀释、衰减、降解特征。</w:t>
            </w:r>
          </w:p>
          <w:p>
            <w:pPr>
              <w:spacing w:line="520" w:lineRule="exact"/>
              <w:ind w:firstLine="560" w:firstLineChars="200"/>
              <w:rPr>
                <w:color w:val="auto"/>
                <w:sz w:val="28"/>
                <w:szCs w:val="28"/>
              </w:rPr>
            </w:pPr>
            <w:r>
              <w:rPr>
                <w:rFonts w:hint="eastAsia"/>
                <w:color w:val="auto"/>
                <w:sz w:val="28"/>
                <w:szCs w:val="28"/>
              </w:rPr>
              <w:t>根据《制定地方大气污染物排放标准的技术方法》（GB/T13201－91）7.2无组织排放有害气体进入呼吸带大气层时，其浓度如超过GB3095规定的居住区允许浓度限值，则无组织排放源所在的产生单元（生产区、车间或工段）与居住区之间应设置卫生防护距离。根据估算模式预测，本项目非甲烷总烃废气无组织排放最大落地浓度为173.3</w:t>
            </w:r>
            <w:r>
              <w:rPr>
                <w:color w:val="auto"/>
                <w:sz w:val="28"/>
                <w:szCs w:val="28"/>
              </w:rPr>
              <w:t>μg/m</w:t>
            </w:r>
            <w:r>
              <w:rPr>
                <w:color w:val="auto"/>
                <w:sz w:val="28"/>
                <w:szCs w:val="28"/>
                <w:vertAlign w:val="superscript"/>
              </w:rPr>
              <w:t>3</w:t>
            </w:r>
            <w:r>
              <w:rPr>
                <w:color w:val="auto"/>
                <w:sz w:val="28"/>
                <w:szCs w:val="28"/>
              </w:rPr>
              <w:t>＜</w:t>
            </w:r>
            <w:r>
              <w:rPr>
                <w:rFonts w:hint="eastAsia"/>
                <w:color w:val="auto"/>
                <w:sz w:val="28"/>
                <w:szCs w:val="28"/>
              </w:rPr>
              <w:t>2000</w:t>
            </w:r>
            <w:r>
              <w:rPr>
                <w:color w:val="auto"/>
                <w:sz w:val="28"/>
                <w:szCs w:val="28"/>
              </w:rPr>
              <w:t>μg/m</w:t>
            </w:r>
            <w:r>
              <w:rPr>
                <w:color w:val="auto"/>
                <w:sz w:val="28"/>
                <w:szCs w:val="28"/>
                <w:vertAlign w:val="superscript"/>
              </w:rPr>
              <w:t>3</w:t>
            </w:r>
            <w:r>
              <w:rPr>
                <w:rFonts w:hint="eastAsia"/>
                <w:color w:val="auto"/>
                <w:sz w:val="28"/>
                <w:szCs w:val="28"/>
              </w:rPr>
              <w:t>，因此本项目无需设置大气卫生防护距离。</w:t>
            </w:r>
          </w:p>
          <w:p>
            <w:pPr>
              <w:pStyle w:val="5"/>
              <w:jc w:val="both"/>
              <w:rPr>
                <w:bCs w:val="0"/>
                <w:color w:val="auto"/>
                <w:szCs w:val="28"/>
              </w:rPr>
            </w:pPr>
            <w:r>
              <w:rPr>
                <w:bCs w:val="0"/>
                <w:color w:val="auto"/>
                <w:kern w:val="2"/>
                <w:szCs w:val="28"/>
              </w:rPr>
              <w:t>2废</w:t>
            </w:r>
            <w:r>
              <w:rPr>
                <w:color w:val="auto"/>
              </w:rPr>
              <w:t>水</w:t>
            </w:r>
          </w:p>
          <w:p>
            <w:pPr>
              <w:adjustRightInd w:val="0"/>
              <w:snapToGrid w:val="0"/>
              <w:spacing w:line="520" w:lineRule="exact"/>
              <w:rPr>
                <w:b/>
                <w:color w:val="auto"/>
                <w:sz w:val="28"/>
                <w:szCs w:val="28"/>
              </w:rPr>
            </w:pPr>
            <w:r>
              <w:rPr>
                <w:rFonts w:hint="eastAsia"/>
                <w:b/>
                <w:color w:val="auto"/>
                <w:sz w:val="28"/>
                <w:szCs w:val="28"/>
              </w:rPr>
              <w:t>2.1生产废水</w:t>
            </w:r>
          </w:p>
          <w:p>
            <w:pPr>
              <w:adjustRightInd w:val="0"/>
              <w:snapToGrid w:val="0"/>
              <w:spacing w:line="520" w:lineRule="exact"/>
              <w:ind w:firstLine="560" w:firstLineChars="200"/>
              <w:rPr>
                <w:color w:val="auto"/>
                <w:sz w:val="28"/>
                <w:szCs w:val="28"/>
              </w:rPr>
            </w:pPr>
            <w:r>
              <w:rPr>
                <w:rFonts w:hint="eastAsia"/>
                <w:color w:val="auto"/>
                <w:sz w:val="28"/>
                <w:szCs w:val="28"/>
              </w:rPr>
              <w:t>生产用水主要为厂区内设1m</w:t>
            </w:r>
            <w:r>
              <w:rPr>
                <w:rFonts w:hint="eastAsia"/>
                <w:color w:val="auto"/>
                <w:sz w:val="28"/>
                <w:szCs w:val="28"/>
                <w:vertAlign w:val="superscript"/>
              </w:rPr>
              <w:t>3</w:t>
            </w:r>
            <w:r>
              <w:rPr>
                <w:rFonts w:hint="eastAsia"/>
                <w:color w:val="auto"/>
                <w:sz w:val="28"/>
                <w:szCs w:val="28"/>
              </w:rPr>
              <w:t>冷却塔，冷却水经冷却塔循环使用，不外排，项目无生产废水排放，仅补充生产过程中的部分消耗水。</w:t>
            </w:r>
          </w:p>
          <w:p>
            <w:pPr>
              <w:spacing w:line="520" w:lineRule="exact"/>
              <w:rPr>
                <w:b/>
                <w:bCs/>
                <w:color w:val="auto"/>
                <w:kern w:val="44"/>
                <w:sz w:val="28"/>
                <w:szCs w:val="44"/>
              </w:rPr>
            </w:pPr>
            <w:r>
              <w:rPr>
                <w:rFonts w:hint="eastAsia"/>
                <w:b/>
                <w:bCs/>
                <w:color w:val="auto"/>
                <w:kern w:val="44"/>
                <w:sz w:val="28"/>
                <w:szCs w:val="44"/>
              </w:rPr>
              <w:t>2.2生活废水</w:t>
            </w:r>
          </w:p>
          <w:p>
            <w:pPr>
              <w:adjustRightInd w:val="0"/>
              <w:snapToGrid w:val="0"/>
              <w:spacing w:line="520" w:lineRule="exact"/>
              <w:ind w:firstLine="560" w:firstLineChars="200"/>
              <w:rPr>
                <w:color w:val="auto"/>
                <w:sz w:val="28"/>
                <w:szCs w:val="28"/>
              </w:rPr>
            </w:pPr>
            <w:r>
              <w:rPr>
                <w:rFonts w:hint="eastAsia"/>
                <w:color w:val="auto"/>
                <w:sz w:val="28"/>
                <w:szCs w:val="28"/>
              </w:rPr>
              <w:t>本项目运行期间为厂区职工提供食宿，每天在厂职工人数20人，生活用水量为1.1m</w:t>
            </w:r>
            <w:r>
              <w:rPr>
                <w:rFonts w:hint="eastAsia"/>
                <w:color w:val="auto"/>
                <w:sz w:val="28"/>
                <w:szCs w:val="28"/>
                <w:vertAlign w:val="superscript"/>
              </w:rPr>
              <w:t>3</w:t>
            </w:r>
            <w:r>
              <w:rPr>
                <w:rFonts w:hint="eastAsia"/>
                <w:color w:val="auto"/>
                <w:sz w:val="28"/>
                <w:szCs w:val="28"/>
              </w:rPr>
              <w:t>/d，污水排放量按80%计算，生活污水量为0.88m</w:t>
            </w:r>
            <w:r>
              <w:rPr>
                <w:rFonts w:hint="eastAsia"/>
                <w:color w:val="auto"/>
                <w:sz w:val="28"/>
                <w:szCs w:val="28"/>
                <w:vertAlign w:val="superscript"/>
              </w:rPr>
              <w:t>3</w:t>
            </w:r>
            <w:r>
              <w:rPr>
                <w:rFonts w:hint="eastAsia"/>
                <w:color w:val="auto"/>
                <w:sz w:val="28"/>
                <w:szCs w:val="28"/>
              </w:rPr>
              <w:t>/d。餐饮用水量0.2m</w:t>
            </w:r>
            <w:r>
              <w:rPr>
                <w:rFonts w:hint="eastAsia"/>
                <w:color w:val="auto"/>
                <w:sz w:val="28"/>
                <w:szCs w:val="28"/>
                <w:vertAlign w:val="superscript"/>
              </w:rPr>
              <w:t>3</w:t>
            </w:r>
            <w:r>
              <w:rPr>
                <w:rFonts w:hint="eastAsia"/>
                <w:color w:val="auto"/>
                <w:sz w:val="28"/>
                <w:szCs w:val="28"/>
              </w:rPr>
              <w:t>/d，污水排放量按80%计算，餐饮废水产生量为0.16m</w:t>
            </w:r>
            <w:r>
              <w:rPr>
                <w:rFonts w:hint="eastAsia"/>
                <w:color w:val="auto"/>
                <w:sz w:val="28"/>
                <w:szCs w:val="28"/>
                <w:vertAlign w:val="superscript"/>
              </w:rPr>
              <w:t>3</w:t>
            </w:r>
            <w:r>
              <w:rPr>
                <w:rFonts w:hint="eastAsia"/>
                <w:color w:val="auto"/>
                <w:sz w:val="28"/>
                <w:szCs w:val="28"/>
              </w:rPr>
              <w:t>/d。</w:t>
            </w:r>
            <w:r>
              <w:rPr>
                <w:color w:val="auto"/>
                <w:sz w:val="28"/>
                <w:szCs w:val="28"/>
              </w:rPr>
              <w:t>生活污水</w:t>
            </w:r>
            <w:r>
              <w:rPr>
                <w:rFonts w:hint="eastAsia"/>
                <w:color w:val="auto"/>
                <w:sz w:val="28"/>
                <w:szCs w:val="28"/>
              </w:rPr>
              <w:t>及餐饮废水</w:t>
            </w:r>
            <w:r>
              <w:rPr>
                <w:color w:val="auto"/>
                <w:sz w:val="28"/>
                <w:szCs w:val="28"/>
              </w:rPr>
              <w:t>中主要污染物COD、BOD、NH</w:t>
            </w:r>
            <w:r>
              <w:rPr>
                <w:color w:val="auto"/>
                <w:sz w:val="28"/>
                <w:szCs w:val="28"/>
                <w:vertAlign w:val="subscript"/>
              </w:rPr>
              <w:t>3</w:t>
            </w:r>
            <w:r>
              <w:rPr>
                <w:color w:val="auto"/>
                <w:sz w:val="28"/>
                <w:szCs w:val="28"/>
              </w:rPr>
              <w:t>-N、SS</w:t>
            </w:r>
            <w:r>
              <w:rPr>
                <w:rFonts w:hint="eastAsia"/>
                <w:color w:val="auto"/>
                <w:sz w:val="28"/>
                <w:szCs w:val="28"/>
              </w:rPr>
              <w:t>、动植物油</w:t>
            </w:r>
            <w:r>
              <w:rPr>
                <w:color w:val="auto"/>
                <w:sz w:val="28"/>
                <w:szCs w:val="28"/>
              </w:rPr>
              <w:t>的浓度一般为350mg/L、200mg/L、30mg/L、250mg/L</w:t>
            </w:r>
            <w:r>
              <w:rPr>
                <w:rFonts w:hint="eastAsia"/>
                <w:color w:val="auto"/>
                <w:sz w:val="28"/>
                <w:szCs w:val="28"/>
              </w:rPr>
              <w:t>、80mg/L</w:t>
            </w:r>
            <w:r>
              <w:rPr>
                <w:color w:val="auto"/>
                <w:sz w:val="28"/>
                <w:szCs w:val="28"/>
              </w:rPr>
              <w:t>，</w:t>
            </w:r>
            <w:r>
              <w:rPr>
                <w:rFonts w:hint="eastAsia"/>
                <w:color w:val="auto"/>
                <w:sz w:val="28"/>
                <w:szCs w:val="28"/>
              </w:rPr>
              <w:t>项目所在区域敷设有市政污水管网，本</w:t>
            </w:r>
            <w:r>
              <w:rPr>
                <w:rFonts w:hint="eastAsia"/>
                <w:color w:val="auto"/>
                <w:sz w:val="28"/>
                <w:szCs w:val="28"/>
              </w:rPr>
              <w:t>项目产生的生活污水及</w:t>
            </w:r>
            <w:r>
              <w:rPr>
                <w:rFonts w:hint="eastAsia"/>
                <w:color w:val="auto"/>
                <w:sz w:val="28"/>
                <w:szCs w:val="28"/>
                <w:lang w:eastAsia="zh-CN"/>
              </w:rPr>
              <w:t>隔油池处理后的</w:t>
            </w:r>
            <w:r>
              <w:rPr>
                <w:rFonts w:hint="eastAsia"/>
                <w:color w:val="auto"/>
                <w:sz w:val="28"/>
                <w:szCs w:val="28"/>
              </w:rPr>
              <w:t>餐饮废水排入污水管网，由污水处理厂进行处理。</w:t>
            </w:r>
          </w:p>
          <w:p>
            <w:pPr>
              <w:pStyle w:val="5"/>
              <w:jc w:val="both"/>
              <w:rPr>
                <w:color w:val="auto"/>
                <w:szCs w:val="28"/>
              </w:rPr>
            </w:pPr>
            <w:r>
              <w:rPr>
                <w:color w:val="auto"/>
              </w:rPr>
              <w:t>3固体废弃物</w:t>
            </w:r>
          </w:p>
          <w:p>
            <w:pPr>
              <w:spacing w:line="520" w:lineRule="exact"/>
              <w:ind w:firstLine="560" w:firstLineChars="200"/>
              <w:rPr>
                <w:color w:val="auto"/>
                <w:sz w:val="28"/>
                <w:szCs w:val="28"/>
              </w:rPr>
            </w:pPr>
            <w:r>
              <w:rPr>
                <w:rFonts w:hint="eastAsia"/>
                <w:color w:val="auto"/>
                <w:sz w:val="28"/>
                <w:szCs w:val="28"/>
              </w:rPr>
              <w:t>固废主要来自塑料拖鞋边角料、废次品，经破碎后当做原料继续回用；成品包装过程会产生少量废包装袋及包装箱；废弃原料袋及职工生活垃圾；危险废物为废活性炭、废灯管和废机油。</w:t>
            </w:r>
          </w:p>
          <w:p>
            <w:pPr>
              <w:spacing w:line="520" w:lineRule="exact"/>
              <w:rPr>
                <w:b/>
                <w:color w:val="auto"/>
                <w:sz w:val="28"/>
                <w:szCs w:val="28"/>
              </w:rPr>
            </w:pPr>
            <w:r>
              <w:rPr>
                <w:rFonts w:hint="eastAsia"/>
                <w:b/>
                <w:color w:val="auto"/>
                <w:sz w:val="28"/>
                <w:szCs w:val="28"/>
              </w:rPr>
              <w:t>3.1不合格产品</w:t>
            </w:r>
          </w:p>
          <w:p>
            <w:pPr>
              <w:spacing w:line="520" w:lineRule="exact"/>
              <w:ind w:firstLine="560" w:firstLineChars="200"/>
              <w:rPr>
                <w:color w:val="auto"/>
                <w:sz w:val="28"/>
                <w:szCs w:val="28"/>
              </w:rPr>
            </w:pPr>
            <w:r>
              <w:rPr>
                <w:rFonts w:hint="eastAsia"/>
                <w:color w:val="auto"/>
                <w:sz w:val="28"/>
                <w:szCs w:val="28"/>
              </w:rPr>
              <w:t>生产过程中产生的不合格PVC/EVA塑料拖鞋及边角料产生量约为2t/a，经厂区破碎机破碎后可直接加入物料进口，当做原料继续回用。</w:t>
            </w:r>
          </w:p>
          <w:p>
            <w:pPr>
              <w:spacing w:line="520" w:lineRule="exact"/>
              <w:rPr>
                <w:b/>
                <w:color w:val="auto"/>
                <w:sz w:val="28"/>
                <w:szCs w:val="28"/>
              </w:rPr>
            </w:pPr>
            <w:r>
              <w:rPr>
                <w:rFonts w:hint="eastAsia"/>
                <w:b/>
                <w:color w:val="auto"/>
                <w:sz w:val="28"/>
                <w:szCs w:val="28"/>
              </w:rPr>
              <w:t>3.2废包装</w:t>
            </w:r>
          </w:p>
          <w:p>
            <w:pPr>
              <w:pStyle w:val="107"/>
              <w:ind w:firstLine="560"/>
              <w:rPr>
                <w:color w:val="auto"/>
              </w:rPr>
            </w:pPr>
            <w:r>
              <w:rPr>
                <w:rFonts w:hint="eastAsia"/>
                <w:color w:val="auto"/>
              </w:rPr>
              <w:t>本项目成品拖鞋由工人手工包装，会产生部分废包装袋及包装箱，产生量约占使用量的2%，则产生的废包装袋及包装箱约为0.06t，收集后外售给废品回收站。</w:t>
            </w:r>
          </w:p>
          <w:p>
            <w:pPr>
              <w:spacing w:line="520" w:lineRule="exact"/>
              <w:rPr>
                <w:b/>
                <w:color w:val="auto"/>
                <w:sz w:val="28"/>
                <w:szCs w:val="28"/>
              </w:rPr>
            </w:pPr>
            <w:r>
              <w:rPr>
                <w:rFonts w:hint="eastAsia"/>
                <w:b/>
                <w:color w:val="auto"/>
                <w:sz w:val="28"/>
                <w:szCs w:val="28"/>
              </w:rPr>
              <w:t>3.3废原料袋</w:t>
            </w:r>
          </w:p>
          <w:p>
            <w:pPr>
              <w:spacing w:line="520" w:lineRule="exact"/>
              <w:ind w:firstLine="560" w:firstLineChars="200"/>
              <w:rPr>
                <w:color w:val="auto"/>
                <w:sz w:val="28"/>
                <w:szCs w:val="28"/>
              </w:rPr>
            </w:pPr>
            <w:r>
              <w:rPr>
                <w:rFonts w:hint="eastAsia"/>
                <w:color w:val="auto"/>
                <w:sz w:val="28"/>
                <w:szCs w:val="28"/>
              </w:rPr>
              <w:t>本项目使用的原料为PVC、EVA塑料颗粒，原料用于生产后，装原料的包装袋产生量约为0.8t，收集后可外售给废品收购站。</w:t>
            </w:r>
          </w:p>
          <w:p>
            <w:pPr>
              <w:spacing w:line="520" w:lineRule="exact"/>
              <w:rPr>
                <w:b/>
                <w:color w:val="auto"/>
                <w:sz w:val="28"/>
                <w:szCs w:val="28"/>
              </w:rPr>
            </w:pPr>
            <w:r>
              <w:rPr>
                <w:rFonts w:hint="eastAsia"/>
                <w:b/>
                <w:color w:val="auto"/>
                <w:sz w:val="28"/>
                <w:szCs w:val="28"/>
              </w:rPr>
              <w:t>3.4生活垃圾</w:t>
            </w:r>
          </w:p>
          <w:p>
            <w:pPr>
              <w:spacing w:line="520" w:lineRule="exact"/>
              <w:ind w:firstLine="560" w:firstLineChars="200"/>
              <w:rPr>
                <w:color w:val="auto"/>
                <w:sz w:val="28"/>
                <w:szCs w:val="28"/>
              </w:rPr>
            </w:pPr>
            <w:r>
              <w:rPr>
                <w:rFonts w:hint="eastAsia"/>
                <w:color w:val="auto"/>
                <w:sz w:val="28"/>
                <w:szCs w:val="28"/>
              </w:rPr>
              <w:t>每天在厂职工人数20人，产生生活垃圾量为20kg/d（5.4t/a），厂区内设置生活垃圾收集箱，生活垃圾委托巩留县环卫部门定期清运处理。</w:t>
            </w:r>
          </w:p>
          <w:p>
            <w:pPr>
              <w:spacing w:line="520" w:lineRule="exact"/>
              <w:rPr>
                <w:b/>
                <w:color w:val="auto"/>
                <w:sz w:val="28"/>
                <w:szCs w:val="28"/>
              </w:rPr>
            </w:pPr>
            <w:r>
              <w:rPr>
                <w:rFonts w:hint="eastAsia"/>
                <w:b/>
                <w:color w:val="auto"/>
                <w:sz w:val="28"/>
                <w:szCs w:val="28"/>
              </w:rPr>
              <w:t>3.5危险废物</w:t>
            </w:r>
          </w:p>
          <w:p>
            <w:pPr>
              <w:spacing w:line="520" w:lineRule="exact"/>
              <w:ind w:firstLine="560" w:firstLineChars="200"/>
              <w:rPr>
                <w:color w:val="auto"/>
                <w:sz w:val="28"/>
                <w:szCs w:val="28"/>
              </w:rPr>
            </w:pPr>
            <w:r>
              <w:rPr>
                <w:rFonts w:hint="eastAsia"/>
                <w:color w:val="auto"/>
                <w:sz w:val="28"/>
                <w:szCs w:val="28"/>
              </w:rPr>
              <w:t>非甲烷总烃采用光催化氧化装置+活性炭吸附装置进行处理，通过计算得年产生废弃活性炭5.58t/a，为保证净化能力，每2～3个月进行一次活性炭的更换；光催化氧化装置一年进行一次灯管的更换，产生的废灯管数量为20支；项目机械设备维修，产生的废机油量为0.005t/a。建设单位应根据《危险废物贮存污染控制标准》（GB18597-2001）在厂区库房内设置危废暂存间和防渗容器储存危险废物，委托有资质单位定期进行清运处理，建立危废五联单，以保障环境主管部门的检查工作。</w:t>
            </w:r>
          </w:p>
          <w:p>
            <w:pPr>
              <w:spacing w:line="520" w:lineRule="exact"/>
              <w:rPr>
                <w:b/>
                <w:color w:val="auto"/>
                <w:sz w:val="28"/>
                <w:szCs w:val="28"/>
              </w:rPr>
            </w:pPr>
            <w:r>
              <w:rPr>
                <w:b/>
                <w:color w:val="auto"/>
                <w:sz w:val="28"/>
                <w:szCs w:val="28"/>
              </w:rPr>
              <w:t>4噪声</w:t>
            </w:r>
          </w:p>
          <w:p>
            <w:pPr>
              <w:spacing w:line="520" w:lineRule="exact"/>
              <w:ind w:firstLine="560" w:firstLineChars="200"/>
              <w:rPr>
                <w:color w:val="auto"/>
                <w:sz w:val="28"/>
                <w:szCs w:val="28"/>
              </w:rPr>
            </w:pPr>
            <w:r>
              <w:rPr>
                <w:rFonts w:hint="eastAsia"/>
                <w:bCs/>
                <w:color w:val="auto"/>
                <w:sz w:val="28"/>
                <w:szCs w:val="28"/>
              </w:rPr>
              <w:t>运营期的</w:t>
            </w:r>
            <w:r>
              <w:rPr>
                <w:bCs/>
                <w:color w:val="auto"/>
                <w:sz w:val="28"/>
                <w:szCs w:val="28"/>
              </w:rPr>
              <w:t>噪声污染主要为生产设备运行产生的噪声</w:t>
            </w:r>
            <w:r>
              <w:rPr>
                <w:rFonts w:hint="eastAsia"/>
                <w:bCs/>
                <w:color w:val="auto"/>
                <w:sz w:val="28"/>
                <w:szCs w:val="28"/>
              </w:rPr>
              <w:t>。</w:t>
            </w:r>
            <w:r>
              <w:rPr>
                <w:color w:val="auto"/>
                <w:sz w:val="28"/>
                <w:szCs w:val="28"/>
              </w:rPr>
              <w:t>随着传播距离的增加，必将引起</w:t>
            </w:r>
            <w:r>
              <w:rPr>
                <w:rFonts w:hint="eastAsia"/>
                <w:color w:val="auto"/>
                <w:sz w:val="28"/>
                <w:szCs w:val="28"/>
              </w:rPr>
              <w:t>噪声的</w:t>
            </w:r>
            <w:r>
              <w:rPr>
                <w:color w:val="auto"/>
                <w:sz w:val="28"/>
                <w:szCs w:val="28"/>
              </w:rPr>
              <w:t>衰减，衰减值的计算公式为：</w:t>
            </w:r>
          </w:p>
          <w:p>
            <w:pPr>
              <w:jc w:val="center"/>
              <w:rPr>
                <w:color w:val="auto"/>
                <w:sz w:val="28"/>
                <w:szCs w:val="28"/>
              </w:rPr>
            </w:pPr>
            <w:r>
              <w:rPr>
                <w:i/>
                <w:color w:val="auto"/>
                <w:position w:val="-14"/>
                <w:sz w:val="28"/>
                <w:szCs w:val="28"/>
              </w:rPr>
              <w:t>L</w:t>
            </w:r>
            <w:r>
              <w:rPr>
                <w:rFonts w:hint="eastAsia"/>
                <w:color w:val="auto"/>
                <w:position w:val="-14"/>
                <w:sz w:val="28"/>
                <w:szCs w:val="28"/>
                <w:vertAlign w:val="subscript"/>
              </w:rPr>
              <w:t>p</w:t>
            </w:r>
            <w:r>
              <w:rPr>
                <w:rFonts w:hint="eastAsia"/>
                <w:color w:val="auto"/>
                <w:position w:val="-14"/>
                <w:sz w:val="28"/>
                <w:szCs w:val="28"/>
              </w:rPr>
              <w:t>（</w:t>
            </w:r>
            <w:r>
              <w:rPr>
                <w:rFonts w:hint="eastAsia"/>
                <w:i/>
                <w:color w:val="auto"/>
                <w:position w:val="-14"/>
                <w:sz w:val="28"/>
                <w:szCs w:val="28"/>
              </w:rPr>
              <w:t>r</w:t>
            </w:r>
            <w:r>
              <w:rPr>
                <w:rFonts w:hint="eastAsia"/>
                <w:color w:val="auto"/>
                <w:position w:val="-14"/>
                <w:sz w:val="28"/>
                <w:szCs w:val="28"/>
              </w:rPr>
              <w:t>）=</w:t>
            </w:r>
            <w:r>
              <w:rPr>
                <w:i/>
                <w:color w:val="auto"/>
                <w:position w:val="-14"/>
                <w:sz w:val="28"/>
                <w:szCs w:val="28"/>
              </w:rPr>
              <w:t>L</w:t>
            </w:r>
            <w:r>
              <w:rPr>
                <w:rFonts w:hint="eastAsia"/>
                <w:i/>
                <w:color w:val="auto"/>
                <w:position w:val="-14"/>
                <w:sz w:val="28"/>
                <w:szCs w:val="28"/>
                <w:vertAlign w:val="subscript"/>
              </w:rPr>
              <w:t>p</w:t>
            </w:r>
            <w:r>
              <w:rPr>
                <w:rFonts w:hint="eastAsia"/>
                <w:color w:val="auto"/>
                <w:position w:val="-14"/>
                <w:sz w:val="28"/>
                <w:szCs w:val="28"/>
              </w:rPr>
              <w:t>（r</w:t>
            </w:r>
            <w:r>
              <w:rPr>
                <w:rFonts w:hint="eastAsia"/>
                <w:color w:val="auto"/>
                <w:position w:val="-14"/>
                <w:sz w:val="28"/>
                <w:szCs w:val="28"/>
                <w:vertAlign w:val="subscript"/>
              </w:rPr>
              <w:t>0</w:t>
            </w:r>
            <w:r>
              <w:rPr>
                <w:rFonts w:hint="eastAsia"/>
                <w:color w:val="auto"/>
                <w:position w:val="-14"/>
                <w:sz w:val="28"/>
                <w:szCs w:val="28"/>
              </w:rPr>
              <w:t>）</w:t>
            </w:r>
            <w:r>
              <w:rPr>
                <w:color w:val="auto"/>
                <w:position w:val="-14"/>
                <w:sz w:val="28"/>
                <w:szCs w:val="28"/>
              </w:rPr>
              <w:t>-20</w:t>
            </w:r>
            <w:r>
              <w:rPr>
                <w:rFonts w:hint="eastAsia"/>
                <w:color w:val="auto"/>
                <w:position w:val="-14"/>
                <w:sz w:val="28"/>
                <w:szCs w:val="28"/>
              </w:rPr>
              <w:t>l</w:t>
            </w:r>
            <w:r>
              <w:rPr>
                <w:color w:val="auto"/>
                <w:position w:val="-14"/>
                <w:sz w:val="28"/>
                <w:szCs w:val="28"/>
              </w:rPr>
              <w:t>g</w:t>
            </w:r>
            <w:r>
              <w:rPr>
                <w:rFonts w:hint="eastAsia"/>
                <w:color w:val="auto"/>
                <w:position w:val="-14"/>
                <w:sz w:val="28"/>
                <w:szCs w:val="28"/>
              </w:rPr>
              <w:t>（r/r</w:t>
            </w:r>
            <w:r>
              <w:rPr>
                <w:rFonts w:hint="eastAsia"/>
                <w:color w:val="auto"/>
                <w:position w:val="-14"/>
                <w:sz w:val="28"/>
                <w:szCs w:val="28"/>
                <w:vertAlign w:val="subscript"/>
              </w:rPr>
              <w:t>0</w:t>
            </w:r>
            <w:r>
              <w:rPr>
                <w:rFonts w:hint="eastAsia"/>
                <w:color w:val="auto"/>
                <w:position w:val="-14"/>
                <w:sz w:val="28"/>
                <w:szCs w:val="28"/>
              </w:rPr>
              <w:t>）</w:t>
            </w:r>
          </w:p>
          <w:p>
            <w:pPr>
              <w:spacing w:line="520" w:lineRule="exact"/>
              <w:ind w:firstLine="560" w:firstLineChars="200"/>
              <w:rPr>
                <w:color w:val="auto"/>
                <w:sz w:val="28"/>
                <w:szCs w:val="28"/>
              </w:rPr>
            </w:pPr>
            <w:r>
              <w:rPr>
                <w:rFonts w:hint="eastAsia"/>
                <w:color w:val="auto"/>
                <w:sz w:val="28"/>
                <w:szCs w:val="28"/>
              </w:rPr>
              <w:t>式中：</w:t>
            </w:r>
            <w:r>
              <w:rPr>
                <w:rFonts w:hint="eastAsia"/>
                <w:i/>
                <w:color w:val="auto"/>
                <w:sz w:val="28"/>
                <w:szCs w:val="28"/>
              </w:rPr>
              <w:t>Lp</w:t>
            </w:r>
            <w:r>
              <w:rPr>
                <w:rFonts w:hint="eastAsia"/>
                <w:color w:val="auto"/>
                <w:sz w:val="28"/>
                <w:szCs w:val="28"/>
              </w:rPr>
              <w:t>（r）—距离声源</w:t>
            </w:r>
            <w:r>
              <w:rPr>
                <w:rFonts w:hint="eastAsia"/>
                <w:i/>
                <w:color w:val="auto"/>
                <w:sz w:val="28"/>
                <w:szCs w:val="28"/>
              </w:rPr>
              <w:t>r</w:t>
            </w:r>
            <w:r>
              <w:rPr>
                <w:rFonts w:hint="eastAsia"/>
                <w:color w:val="auto"/>
                <w:sz w:val="28"/>
                <w:szCs w:val="28"/>
              </w:rPr>
              <w:t>处的倍频带声压级，</w:t>
            </w:r>
            <w:r>
              <w:rPr>
                <w:color w:val="auto"/>
                <w:sz w:val="28"/>
                <w:szCs w:val="28"/>
              </w:rPr>
              <w:t>dB</w:t>
            </w:r>
            <w:r>
              <w:rPr>
                <w:rFonts w:hint="eastAsia"/>
                <w:color w:val="auto"/>
                <w:sz w:val="28"/>
                <w:szCs w:val="28"/>
              </w:rPr>
              <w:t>；</w:t>
            </w:r>
          </w:p>
          <w:p>
            <w:pPr>
              <w:spacing w:line="520" w:lineRule="exact"/>
              <w:ind w:firstLine="1400" w:firstLineChars="500"/>
              <w:rPr>
                <w:color w:val="auto"/>
                <w:sz w:val="28"/>
                <w:szCs w:val="28"/>
              </w:rPr>
            </w:pPr>
            <w:r>
              <w:rPr>
                <w:rFonts w:hint="eastAsia"/>
                <w:i/>
                <w:color w:val="auto"/>
                <w:sz w:val="28"/>
                <w:szCs w:val="28"/>
              </w:rPr>
              <w:t>Lp（r</w:t>
            </w:r>
            <w:r>
              <w:rPr>
                <w:rFonts w:hint="eastAsia"/>
                <w:i/>
                <w:color w:val="auto"/>
                <w:sz w:val="28"/>
                <w:szCs w:val="28"/>
                <w:vertAlign w:val="subscript"/>
              </w:rPr>
              <w:t>0</w:t>
            </w:r>
            <w:r>
              <w:rPr>
                <w:rFonts w:hint="eastAsia"/>
                <w:i/>
                <w:color w:val="auto"/>
                <w:sz w:val="28"/>
                <w:szCs w:val="28"/>
              </w:rPr>
              <w:t>）</w:t>
            </w:r>
            <w:r>
              <w:rPr>
                <w:rFonts w:hint="eastAsia"/>
                <w:color w:val="auto"/>
                <w:sz w:val="28"/>
                <w:szCs w:val="28"/>
              </w:rPr>
              <w:t>—参考位置</w:t>
            </w:r>
            <w:r>
              <w:rPr>
                <w:rFonts w:hint="eastAsia"/>
                <w:i/>
                <w:color w:val="auto"/>
                <w:sz w:val="28"/>
                <w:szCs w:val="28"/>
              </w:rPr>
              <w:t>r</w:t>
            </w:r>
            <w:r>
              <w:rPr>
                <w:rFonts w:hint="eastAsia"/>
                <w:i/>
                <w:color w:val="auto"/>
                <w:sz w:val="28"/>
                <w:szCs w:val="28"/>
                <w:vertAlign w:val="subscript"/>
              </w:rPr>
              <w:t>0</w:t>
            </w:r>
            <w:r>
              <w:rPr>
                <w:rFonts w:hint="eastAsia"/>
                <w:color w:val="auto"/>
                <w:sz w:val="28"/>
                <w:szCs w:val="28"/>
              </w:rPr>
              <w:t>处的倍频带声压级，</w:t>
            </w:r>
            <w:r>
              <w:rPr>
                <w:color w:val="auto"/>
                <w:sz w:val="28"/>
                <w:szCs w:val="28"/>
              </w:rPr>
              <w:t>dB</w:t>
            </w:r>
            <w:r>
              <w:rPr>
                <w:rFonts w:hint="eastAsia"/>
                <w:color w:val="auto"/>
                <w:sz w:val="28"/>
                <w:szCs w:val="28"/>
              </w:rPr>
              <w:t>；</w:t>
            </w:r>
          </w:p>
          <w:p>
            <w:pPr>
              <w:spacing w:line="520" w:lineRule="exact"/>
              <w:ind w:firstLine="1400" w:firstLineChars="500"/>
              <w:rPr>
                <w:color w:val="auto"/>
                <w:sz w:val="28"/>
                <w:szCs w:val="28"/>
              </w:rPr>
            </w:pPr>
            <w:r>
              <w:rPr>
                <w:color w:val="auto"/>
                <w:sz w:val="28"/>
                <w:szCs w:val="28"/>
              </w:rPr>
              <w:t>r</w:t>
            </w:r>
            <w:r>
              <w:rPr>
                <w:rFonts w:hint="eastAsia"/>
                <w:color w:val="auto"/>
                <w:sz w:val="28"/>
                <w:szCs w:val="28"/>
              </w:rPr>
              <w:t>—预测点距声源的距离，</w:t>
            </w:r>
            <w:r>
              <w:rPr>
                <w:color w:val="auto"/>
                <w:sz w:val="28"/>
                <w:szCs w:val="28"/>
              </w:rPr>
              <w:t>m</w:t>
            </w:r>
            <w:r>
              <w:rPr>
                <w:rFonts w:hint="eastAsia"/>
                <w:color w:val="auto"/>
                <w:sz w:val="28"/>
                <w:szCs w:val="28"/>
              </w:rPr>
              <w:t>。</w:t>
            </w:r>
          </w:p>
          <w:p>
            <w:pPr>
              <w:ind w:firstLine="480" w:firstLineChars="200"/>
              <w:rPr>
                <w:rFonts w:eastAsia="黑体"/>
                <w:color w:val="auto"/>
                <w:kern w:val="0"/>
                <w:sz w:val="24"/>
              </w:rPr>
            </w:pPr>
            <w:r>
              <w:rPr>
                <w:rFonts w:hint="eastAsia" w:eastAsia="黑体"/>
                <w:color w:val="auto"/>
                <w:kern w:val="0"/>
                <w:sz w:val="24"/>
              </w:rPr>
              <w:t>表22                     设备声级衰减表                单位dB（A）</w:t>
            </w:r>
          </w:p>
          <w:tbl>
            <w:tblPr>
              <w:tblStyle w:val="24"/>
              <w:tblW w:w="4997"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151"/>
              <w:gridCol w:w="977"/>
              <w:gridCol w:w="735"/>
              <w:gridCol w:w="734"/>
              <w:gridCol w:w="704"/>
              <w:gridCol w:w="689"/>
              <w:gridCol w:w="749"/>
              <w:gridCol w:w="823"/>
              <w:gridCol w:w="861"/>
              <w:gridCol w:w="823"/>
              <w:gridCol w:w="82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634" w:type="pct"/>
                  <w:vMerge w:val="restar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综合源强</w:t>
                  </w:r>
                </w:p>
              </w:tc>
              <w:tc>
                <w:tcPr>
                  <w:tcW w:w="538" w:type="pct"/>
                  <w:vMerge w:val="restar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厂房外</w:t>
                  </w:r>
                </w:p>
              </w:tc>
              <w:tc>
                <w:tcPr>
                  <w:tcW w:w="2920" w:type="pct"/>
                  <w:gridSpan w:val="7"/>
                </w:tcPr>
                <w:p>
                  <w:pPr>
                    <w:widowControl/>
                    <w:jc w:val="center"/>
                    <w:rPr>
                      <w:rFonts w:ascii="宋体" w:hAnsi="宋体" w:cs="宋体"/>
                      <w:color w:val="auto"/>
                      <w:kern w:val="0"/>
                      <w:szCs w:val="21"/>
                    </w:rPr>
                  </w:pPr>
                  <w:r>
                    <w:rPr>
                      <w:rFonts w:hint="eastAsia" w:ascii="宋体" w:hAnsi="宋体" w:cs="宋体"/>
                      <w:color w:val="auto"/>
                      <w:kern w:val="0"/>
                      <w:szCs w:val="21"/>
                    </w:rPr>
                    <w:t>距离（</w:t>
                  </w:r>
                  <w:r>
                    <w:rPr>
                      <w:color w:val="auto"/>
                      <w:kern w:val="0"/>
                      <w:szCs w:val="21"/>
                    </w:rPr>
                    <w:t>m</w:t>
                  </w:r>
                  <w:r>
                    <w:rPr>
                      <w:rFonts w:hint="eastAsia" w:ascii="宋体" w:hAnsi="宋体" w:cs="宋体"/>
                      <w:color w:val="auto"/>
                      <w:kern w:val="0"/>
                      <w:szCs w:val="21"/>
                    </w:rPr>
                    <w:t>）</w:t>
                  </w:r>
                </w:p>
              </w:tc>
              <w:tc>
                <w:tcPr>
                  <w:tcW w:w="906" w:type="pct"/>
                  <w:gridSpan w:val="2"/>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标准值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634" w:type="pct"/>
                  <w:vMerge w:val="continue"/>
                  <w:vAlign w:val="center"/>
                </w:tcPr>
                <w:p>
                  <w:pPr>
                    <w:widowControl/>
                    <w:jc w:val="center"/>
                    <w:rPr>
                      <w:rFonts w:ascii="宋体" w:hAnsi="宋体" w:cs="宋体"/>
                      <w:color w:val="auto"/>
                      <w:kern w:val="0"/>
                      <w:szCs w:val="21"/>
                    </w:rPr>
                  </w:pPr>
                </w:p>
              </w:tc>
              <w:tc>
                <w:tcPr>
                  <w:tcW w:w="538" w:type="pct"/>
                  <w:vMerge w:val="continue"/>
                  <w:vAlign w:val="center"/>
                </w:tcPr>
                <w:p>
                  <w:pPr>
                    <w:widowControl/>
                    <w:jc w:val="center"/>
                    <w:rPr>
                      <w:rFonts w:ascii="宋体" w:hAnsi="宋体" w:cs="宋体"/>
                      <w:color w:val="auto"/>
                      <w:kern w:val="0"/>
                      <w:szCs w:val="21"/>
                    </w:rPr>
                  </w:pPr>
                </w:p>
              </w:tc>
              <w:tc>
                <w:tcPr>
                  <w:tcW w:w="405" w:type="pct"/>
                  <w:shd w:val="clear" w:color="auto" w:fill="auto"/>
                  <w:vAlign w:val="center"/>
                </w:tcPr>
                <w:p>
                  <w:pPr>
                    <w:widowControl/>
                    <w:jc w:val="center"/>
                    <w:rPr>
                      <w:color w:val="auto"/>
                      <w:kern w:val="0"/>
                      <w:szCs w:val="21"/>
                    </w:rPr>
                  </w:pPr>
                  <w:r>
                    <w:rPr>
                      <w:rFonts w:hint="eastAsia"/>
                      <w:color w:val="auto"/>
                      <w:kern w:val="0"/>
                      <w:szCs w:val="21"/>
                    </w:rPr>
                    <w:t>5</w:t>
                  </w:r>
                </w:p>
              </w:tc>
              <w:tc>
                <w:tcPr>
                  <w:tcW w:w="405" w:type="pct"/>
                  <w:shd w:val="clear" w:color="auto" w:fill="auto"/>
                  <w:vAlign w:val="center"/>
                </w:tcPr>
                <w:p>
                  <w:pPr>
                    <w:widowControl/>
                    <w:jc w:val="center"/>
                    <w:rPr>
                      <w:color w:val="auto"/>
                      <w:kern w:val="0"/>
                      <w:szCs w:val="21"/>
                    </w:rPr>
                  </w:pPr>
                  <w:r>
                    <w:rPr>
                      <w:color w:val="auto"/>
                      <w:kern w:val="0"/>
                      <w:szCs w:val="21"/>
                    </w:rPr>
                    <w:t>10</w:t>
                  </w:r>
                </w:p>
              </w:tc>
              <w:tc>
                <w:tcPr>
                  <w:tcW w:w="388" w:type="pct"/>
                  <w:shd w:val="clear" w:color="auto" w:fill="auto"/>
                  <w:vAlign w:val="center"/>
                </w:tcPr>
                <w:p>
                  <w:pPr>
                    <w:widowControl/>
                    <w:jc w:val="center"/>
                    <w:rPr>
                      <w:color w:val="auto"/>
                      <w:kern w:val="0"/>
                      <w:szCs w:val="21"/>
                    </w:rPr>
                  </w:pPr>
                  <w:r>
                    <w:rPr>
                      <w:color w:val="auto"/>
                      <w:kern w:val="0"/>
                      <w:szCs w:val="21"/>
                    </w:rPr>
                    <w:t>20</w:t>
                  </w:r>
                </w:p>
              </w:tc>
              <w:tc>
                <w:tcPr>
                  <w:tcW w:w="380" w:type="pct"/>
                </w:tcPr>
                <w:p>
                  <w:pPr>
                    <w:widowControl/>
                    <w:jc w:val="center"/>
                    <w:rPr>
                      <w:color w:val="auto"/>
                      <w:kern w:val="0"/>
                      <w:szCs w:val="21"/>
                    </w:rPr>
                  </w:pPr>
                  <w:r>
                    <w:rPr>
                      <w:rFonts w:hint="eastAsia"/>
                      <w:color w:val="auto"/>
                      <w:kern w:val="0"/>
                      <w:szCs w:val="21"/>
                    </w:rPr>
                    <w:t>30</w:t>
                  </w:r>
                </w:p>
              </w:tc>
              <w:tc>
                <w:tcPr>
                  <w:tcW w:w="413" w:type="pct"/>
                  <w:shd w:val="clear" w:color="auto" w:fill="auto"/>
                  <w:vAlign w:val="center"/>
                </w:tcPr>
                <w:p>
                  <w:pPr>
                    <w:jc w:val="center"/>
                    <w:rPr>
                      <w:color w:val="auto"/>
                      <w:szCs w:val="21"/>
                    </w:rPr>
                  </w:pPr>
                  <w:r>
                    <w:rPr>
                      <w:color w:val="auto"/>
                      <w:szCs w:val="21"/>
                    </w:rPr>
                    <w:t>60</w:t>
                  </w:r>
                </w:p>
              </w:tc>
              <w:tc>
                <w:tcPr>
                  <w:tcW w:w="454" w:type="pct"/>
                  <w:shd w:val="clear" w:color="auto" w:fill="auto"/>
                  <w:vAlign w:val="center"/>
                </w:tcPr>
                <w:p>
                  <w:pPr>
                    <w:widowControl/>
                    <w:jc w:val="center"/>
                    <w:rPr>
                      <w:color w:val="auto"/>
                      <w:kern w:val="0"/>
                      <w:szCs w:val="21"/>
                    </w:rPr>
                  </w:pPr>
                  <w:r>
                    <w:rPr>
                      <w:color w:val="auto"/>
                      <w:kern w:val="0"/>
                      <w:szCs w:val="21"/>
                    </w:rPr>
                    <w:t>80</w:t>
                  </w:r>
                </w:p>
              </w:tc>
              <w:tc>
                <w:tcPr>
                  <w:tcW w:w="471" w:type="pct"/>
                  <w:shd w:val="clear" w:color="auto" w:fill="auto"/>
                  <w:vAlign w:val="center"/>
                </w:tcPr>
                <w:p>
                  <w:pPr>
                    <w:widowControl/>
                    <w:jc w:val="center"/>
                    <w:rPr>
                      <w:color w:val="auto"/>
                      <w:kern w:val="0"/>
                      <w:szCs w:val="21"/>
                    </w:rPr>
                  </w:pPr>
                  <w:r>
                    <w:rPr>
                      <w:color w:val="auto"/>
                      <w:kern w:val="0"/>
                      <w:szCs w:val="21"/>
                    </w:rPr>
                    <w:t>100</w:t>
                  </w:r>
                </w:p>
              </w:tc>
              <w:tc>
                <w:tcPr>
                  <w:tcW w:w="454"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昼间</w:t>
                  </w:r>
                </w:p>
              </w:tc>
              <w:tc>
                <w:tcPr>
                  <w:tcW w:w="451"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夜间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634" w:type="pct"/>
                  <w:shd w:val="clear" w:color="auto" w:fill="auto"/>
                  <w:vAlign w:val="center"/>
                </w:tcPr>
                <w:p>
                  <w:pPr>
                    <w:widowControl/>
                    <w:jc w:val="center"/>
                    <w:rPr>
                      <w:color w:val="auto"/>
                      <w:kern w:val="0"/>
                      <w:szCs w:val="21"/>
                    </w:rPr>
                  </w:pPr>
                  <w:r>
                    <w:rPr>
                      <w:rFonts w:hint="eastAsia"/>
                      <w:color w:val="auto"/>
                      <w:kern w:val="0"/>
                      <w:szCs w:val="21"/>
                    </w:rPr>
                    <w:t>84.56</w:t>
                  </w:r>
                </w:p>
              </w:tc>
              <w:tc>
                <w:tcPr>
                  <w:tcW w:w="538" w:type="pct"/>
                  <w:shd w:val="clear" w:color="auto" w:fill="auto"/>
                  <w:vAlign w:val="center"/>
                </w:tcPr>
                <w:p>
                  <w:pPr>
                    <w:jc w:val="center"/>
                    <w:rPr>
                      <w:color w:val="auto"/>
                      <w:szCs w:val="21"/>
                    </w:rPr>
                  </w:pPr>
                  <w:r>
                    <w:rPr>
                      <w:rFonts w:hint="eastAsia"/>
                      <w:color w:val="auto"/>
                      <w:szCs w:val="21"/>
                    </w:rPr>
                    <w:t>69.56</w:t>
                  </w:r>
                </w:p>
              </w:tc>
              <w:tc>
                <w:tcPr>
                  <w:tcW w:w="405" w:type="pct"/>
                  <w:shd w:val="clear" w:color="auto" w:fill="auto"/>
                  <w:vAlign w:val="center"/>
                </w:tcPr>
                <w:p>
                  <w:pPr>
                    <w:widowControl/>
                    <w:jc w:val="center"/>
                    <w:textAlignment w:val="center"/>
                    <w:rPr>
                      <w:color w:val="auto"/>
                      <w:kern w:val="0"/>
                      <w:szCs w:val="21"/>
                      <w:lang w:bidi="ar"/>
                    </w:rPr>
                  </w:pPr>
                  <w:r>
                    <w:rPr>
                      <w:rFonts w:hint="eastAsia"/>
                      <w:color w:val="auto"/>
                      <w:kern w:val="0"/>
                      <w:szCs w:val="21"/>
                      <w:lang w:bidi="ar"/>
                    </w:rPr>
                    <w:t>55.58</w:t>
                  </w:r>
                </w:p>
              </w:tc>
              <w:tc>
                <w:tcPr>
                  <w:tcW w:w="405" w:type="pct"/>
                  <w:shd w:val="clear" w:color="auto" w:fill="auto"/>
                  <w:vAlign w:val="center"/>
                </w:tcPr>
                <w:p>
                  <w:pPr>
                    <w:widowControl/>
                    <w:jc w:val="center"/>
                    <w:textAlignment w:val="center"/>
                    <w:rPr>
                      <w:color w:val="auto"/>
                      <w:szCs w:val="21"/>
                    </w:rPr>
                  </w:pPr>
                  <w:r>
                    <w:rPr>
                      <w:color w:val="auto"/>
                      <w:kern w:val="0"/>
                      <w:szCs w:val="21"/>
                      <w:lang w:bidi="ar"/>
                    </w:rPr>
                    <w:t>49.56</w:t>
                  </w:r>
                </w:p>
              </w:tc>
              <w:tc>
                <w:tcPr>
                  <w:tcW w:w="388" w:type="pct"/>
                  <w:shd w:val="clear" w:color="auto" w:fill="auto"/>
                  <w:vAlign w:val="center"/>
                </w:tcPr>
                <w:p>
                  <w:pPr>
                    <w:widowControl/>
                    <w:jc w:val="center"/>
                    <w:textAlignment w:val="center"/>
                    <w:rPr>
                      <w:color w:val="auto"/>
                      <w:szCs w:val="21"/>
                    </w:rPr>
                  </w:pPr>
                  <w:r>
                    <w:rPr>
                      <w:color w:val="auto"/>
                      <w:kern w:val="0"/>
                      <w:szCs w:val="21"/>
                      <w:lang w:bidi="ar"/>
                    </w:rPr>
                    <w:t xml:space="preserve">43.54 </w:t>
                  </w:r>
                </w:p>
              </w:tc>
              <w:tc>
                <w:tcPr>
                  <w:tcW w:w="380" w:type="pct"/>
                  <w:vAlign w:val="center"/>
                </w:tcPr>
                <w:p>
                  <w:pPr>
                    <w:widowControl/>
                    <w:jc w:val="center"/>
                    <w:textAlignment w:val="center"/>
                    <w:rPr>
                      <w:color w:val="auto"/>
                      <w:szCs w:val="21"/>
                    </w:rPr>
                  </w:pPr>
                  <w:r>
                    <w:rPr>
                      <w:color w:val="auto"/>
                      <w:kern w:val="0"/>
                      <w:szCs w:val="21"/>
                      <w:lang w:bidi="ar"/>
                    </w:rPr>
                    <w:t xml:space="preserve">40.02 </w:t>
                  </w:r>
                </w:p>
              </w:tc>
              <w:tc>
                <w:tcPr>
                  <w:tcW w:w="413" w:type="pct"/>
                  <w:shd w:val="clear" w:color="auto" w:fill="auto"/>
                  <w:vAlign w:val="center"/>
                </w:tcPr>
                <w:p>
                  <w:pPr>
                    <w:widowControl/>
                    <w:jc w:val="center"/>
                    <w:textAlignment w:val="center"/>
                    <w:rPr>
                      <w:color w:val="auto"/>
                      <w:szCs w:val="21"/>
                    </w:rPr>
                  </w:pPr>
                  <w:r>
                    <w:rPr>
                      <w:color w:val="auto"/>
                      <w:kern w:val="0"/>
                      <w:szCs w:val="21"/>
                      <w:lang w:bidi="ar"/>
                    </w:rPr>
                    <w:t xml:space="preserve">34.00 </w:t>
                  </w:r>
                </w:p>
              </w:tc>
              <w:tc>
                <w:tcPr>
                  <w:tcW w:w="454" w:type="pct"/>
                  <w:shd w:val="clear" w:color="auto" w:fill="auto"/>
                  <w:vAlign w:val="center"/>
                </w:tcPr>
                <w:p>
                  <w:pPr>
                    <w:widowControl/>
                    <w:jc w:val="center"/>
                    <w:textAlignment w:val="center"/>
                    <w:rPr>
                      <w:color w:val="auto"/>
                      <w:szCs w:val="21"/>
                    </w:rPr>
                  </w:pPr>
                  <w:r>
                    <w:rPr>
                      <w:color w:val="auto"/>
                      <w:kern w:val="0"/>
                      <w:szCs w:val="21"/>
                      <w:lang w:bidi="ar"/>
                    </w:rPr>
                    <w:t xml:space="preserve">31.50 </w:t>
                  </w:r>
                </w:p>
              </w:tc>
              <w:tc>
                <w:tcPr>
                  <w:tcW w:w="471" w:type="pct"/>
                  <w:shd w:val="clear" w:color="auto" w:fill="auto"/>
                  <w:vAlign w:val="center"/>
                </w:tcPr>
                <w:p>
                  <w:pPr>
                    <w:widowControl/>
                    <w:jc w:val="center"/>
                    <w:textAlignment w:val="center"/>
                    <w:rPr>
                      <w:color w:val="auto"/>
                      <w:szCs w:val="21"/>
                    </w:rPr>
                  </w:pPr>
                  <w:r>
                    <w:rPr>
                      <w:color w:val="auto"/>
                      <w:kern w:val="0"/>
                      <w:szCs w:val="21"/>
                      <w:lang w:bidi="ar"/>
                    </w:rPr>
                    <w:t xml:space="preserve">29.56 </w:t>
                  </w:r>
                </w:p>
              </w:tc>
              <w:tc>
                <w:tcPr>
                  <w:tcW w:w="454" w:type="pct"/>
                  <w:shd w:val="clear" w:color="auto" w:fill="auto"/>
                  <w:vAlign w:val="center"/>
                </w:tcPr>
                <w:p>
                  <w:pPr>
                    <w:widowControl/>
                    <w:jc w:val="center"/>
                    <w:rPr>
                      <w:color w:val="auto"/>
                      <w:kern w:val="0"/>
                      <w:szCs w:val="21"/>
                    </w:rPr>
                  </w:pPr>
                  <w:r>
                    <w:rPr>
                      <w:color w:val="auto"/>
                      <w:kern w:val="0"/>
                      <w:szCs w:val="21"/>
                    </w:rPr>
                    <w:t>6</w:t>
                  </w:r>
                  <w:r>
                    <w:rPr>
                      <w:rFonts w:hint="eastAsia"/>
                      <w:color w:val="auto"/>
                      <w:kern w:val="0"/>
                      <w:szCs w:val="21"/>
                    </w:rPr>
                    <w:t>0</w:t>
                  </w:r>
                </w:p>
              </w:tc>
              <w:tc>
                <w:tcPr>
                  <w:tcW w:w="451" w:type="pct"/>
                  <w:shd w:val="clear" w:color="auto" w:fill="auto"/>
                  <w:vAlign w:val="center"/>
                </w:tcPr>
                <w:p>
                  <w:pPr>
                    <w:widowControl/>
                    <w:jc w:val="center"/>
                    <w:rPr>
                      <w:color w:val="auto"/>
                      <w:kern w:val="0"/>
                      <w:szCs w:val="21"/>
                    </w:rPr>
                  </w:pPr>
                  <w:r>
                    <w:rPr>
                      <w:color w:val="auto"/>
                      <w:kern w:val="0"/>
                      <w:szCs w:val="21"/>
                    </w:rPr>
                    <w:t>5</w:t>
                  </w:r>
                  <w:r>
                    <w:rPr>
                      <w:rFonts w:hint="eastAsia"/>
                      <w:color w:val="auto"/>
                      <w:kern w:val="0"/>
                      <w:szCs w:val="21"/>
                    </w:rPr>
                    <w:t>0</w:t>
                  </w:r>
                </w:p>
              </w:tc>
            </w:tr>
          </w:tbl>
          <w:p>
            <w:pPr>
              <w:spacing w:before="156" w:beforeLines="50"/>
              <w:ind w:firstLine="480" w:firstLineChars="200"/>
              <w:rPr>
                <w:rFonts w:eastAsia="黑体"/>
                <w:color w:val="auto"/>
                <w:kern w:val="0"/>
                <w:sz w:val="24"/>
              </w:rPr>
            </w:pPr>
            <w:r>
              <w:rPr>
                <w:rFonts w:hint="eastAsia" w:eastAsia="黑体"/>
                <w:color w:val="auto"/>
                <w:kern w:val="0"/>
                <w:sz w:val="24"/>
              </w:rPr>
              <w:t>表23                   厂界噪声达标情况表                单位dB（A）</w:t>
            </w:r>
          </w:p>
          <w:tbl>
            <w:tblPr>
              <w:tblStyle w:val="24"/>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912"/>
              <w:gridCol w:w="1912"/>
              <w:gridCol w:w="1912"/>
              <w:gridCol w:w="2021"/>
              <w:gridCol w:w="657"/>
              <w:gridCol w:w="657"/>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4275" w:type="pct"/>
                  <w:gridSpan w:val="4"/>
                  <w:tcBorders>
                    <w:right w:val="single" w:color="auto" w:sz="4" w:space="0"/>
                  </w:tcBorders>
                </w:tcPr>
                <w:p>
                  <w:pPr>
                    <w:widowControl/>
                    <w:jc w:val="center"/>
                    <w:rPr>
                      <w:rFonts w:ascii="宋体" w:hAnsi="宋体" w:cs="宋体"/>
                      <w:color w:val="auto"/>
                      <w:kern w:val="0"/>
                      <w:szCs w:val="21"/>
                    </w:rPr>
                  </w:pPr>
                  <w:r>
                    <w:rPr>
                      <w:rFonts w:hint="eastAsia" w:ascii="宋体" w:hAnsi="宋体" w:cs="宋体"/>
                      <w:color w:val="auto"/>
                      <w:kern w:val="0"/>
                      <w:szCs w:val="21"/>
                    </w:rPr>
                    <w:t>厂界四周距离（</w:t>
                  </w:r>
                  <w:r>
                    <w:rPr>
                      <w:rFonts w:hint="eastAsia" w:cs="宋体"/>
                      <w:color w:val="auto"/>
                      <w:kern w:val="0"/>
                      <w:szCs w:val="21"/>
                    </w:rPr>
                    <w:t>m</w:t>
                  </w:r>
                  <w:r>
                    <w:rPr>
                      <w:rFonts w:hint="eastAsia" w:ascii="宋体" w:hAnsi="宋体" w:cs="宋体"/>
                      <w:color w:val="auto"/>
                      <w:kern w:val="0"/>
                      <w:szCs w:val="21"/>
                    </w:rPr>
                    <w:t>）</w:t>
                  </w:r>
                </w:p>
              </w:tc>
              <w:tc>
                <w:tcPr>
                  <w:tcW w:w="725" w:type="pct"/>
                  <w:gridSpan w:val="2"/>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标准值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54" w:type="pct"/>
                  <w:shd w:val="clear" w:color="auto" w:fill="auto"/>
                  <w:vAlign w:val="center"/>
                </w:tcPr>
                <w:p>
                  <w:pPr>
                    <w:widowControl/>
                    <w:jc w:val="center"/>
                    <w:rPr>
                      <w:color w:val="auto"/>
                      <w:kern w:val="0"/>
                      <w:szCs w:val="21"/>
                    </w:rPr>
                  </w:pPr>
                  <w:r>
                    <w:rPr>
                      <w:rFonts w:hint="eastAsia"/>
                      <w:color w:val="auto"/>
                      <w:kern w:val="0"/>
                      <w:szCs w:val="21"/>
                    </w:rPr>
                    <w:t>东侧厂界（30m）</w:t>
                  </w:r>
                </w:p>
              </w:tc>
              <w:tc>
                <w:tcPr>
                  <w:tcW w:w="1054" w:type="pct"/>
                  <w:shd w:val="clear" w:color="auto" w:fill="auto"/>
                  <w:vAlign w:val="center"/>
                </w:tcPr>
                <w:p>
                  <w:pPr>
                    <w:widowControl/>
                    <w:jc w:val="center"/>
                    <w:rPr>
                      <w:color w:val="auto"/>
                      <w:kern w:val="0"/>
                      <w:szCs w:val="21"/>
                    </w:rPr>
                  </w:pPr>
                  <w:r>
                    <w:rPr>
                      <w:rFonts w:hint="eastAsia"/>
                      <w:color w:val="auto"/>
                      <w:kern w:val="0"/>
                      <w:szCs w:val="21"/>
                    </w:rPr>
                    <w:t>南侧厂界（30m）</w:t>
                  </w:r>
                </w:p>
              </w:tc>
              <w:tc>
                <w:tcPr>
                  <w:tcW w:w="1054" w:type="pct"/>
                </w:tcPr>
                <w:p>
                  <w:pPr>
                    <w:widowControl/>
                    <w:jc w:val="center"/>
                    <w:rPr>
                      <w:color w:val="auto"/>
                      <w:kern w:val="0"/>
                      <w:szCs w:val="21"/>
                    </w:rPr>
                  </w:pPr>
                  <w:r>
                    <w:rPr>
                      <w:rFonts w:hint="eastAsia"/>
                      <w:color w:val="auto"/>
                      <w:kern w:val="0"/>
                      <w:szCs w:val="21"/>
                    </w:rPr>
                    <w:t>西侧厂界（5m）</w:t>
                  </w:r>
                </w:p>
              </w:tc>
              <w:tc>
                <w:tcPr>
                  <w:tcW w:w="1114" w:type="pct"/>
                  <w:tcBorders>
                    <w:right w:val="single" w:color="auto" w:sz="4" w:space="0"/>
                  </w:tcBorders>
                  <w:shd w:val="clear" w:color="auto" w:fill="auto"/>
                  <w:vAlign w:val="center"/>
                </w:tcPr>
                <w:p>
                  <w:pPr>
                    <w:widowControl/>
                    <w:jc w:val="center"/>
                    <w:rPr>
                      <w:color w:val="auto"/>
                      <w:kern w:val="0"/>
                      <w:szCs w:val="21"/>
                    </w:rPr>
                  </w:pPr>
                  <w:r>
                    <w:rPr>
                      <w:rFonts w:hint="eastAsia"/>
                      <w:color w:val="auto"/>
                      <w:kern w:val="0"/>
                      <w:szCs w:val="21"/>
                    </w:rPr>
                    <w:t>北侧厂界（45m）</w:t>
                  </w:r>
                </w:p>
              </w:tc>
              <w:tc>
                <w:tcPr>
                  <w:tcW w:w="362"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昼间</w:t>
                  </w:r>
                </w:p>
              </w:tc>
              <w:tc>
                <w:tcPr>
                  <w:tcW w:w="362" w:type="pct"/>
                  <w:shd w:val="clear" w:color="auto" w:fill="auto"/>
                  <w:vAlign w:val="center"/>
                </w:tcPr>
                <w:p>
                  <w:pPr>
                    <w:widowControl/>
                    <w:jc w:val="center"/>
                    <w:rPr>
                      <w:rFonts w:ascii="宋体" w:hAnsi="宋体" w:cs="宋体"/>
                      <w:color w:val="auto"/>
                      <w:kern w:val="0"/>
                      <w:szCs w:val="21"/>
                    </w:rPr>
                  </w:pPr>
                  <w:r>
                    <w:rPr>
                      <w:rFonts w:hint="eastAsia" w:ascii="宋体" w:hAnsi="宋体" w:cs="宋体"/>
                      <w:color w:val="auto"/>
                      <w:kern w:val="0"/>
                      <w:szCs w:val="21"/>
                    </w:rPr>
                    <w:t>夜间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054" w:type="pct"/>
                  <w:shd w:val="clear" w:color="auto" w:fill="auto"/>
                  <w:vAlign w:val="center"/>
                </w:tcPr>
                <w:p>
                  <w:pPr>
                    <w:widowControl/>
                    <w:jc w:val="center"/>
                    <w:rPr>
                      <w:color w:val="auto"/>
                      <w:kern w:val="0"/>
                      <w:szCs w:val="21"/>
                    </w:rPr>
                  </w:pPr>
                  <w:r>
                    <w:rPr>
                      <w:rFonts w:hint="eastAsia"/>
                      <w:color w:val="auto"/>
                      <w:kern w:val="0"/>
                      <w:szCs w:val="21"/>
                    </w:rPr>
                    <w:t>40.02</w:t>
                  </w:r>
                </w:p>
              </w:tc>
              <w:tc>
                <w:tcPr>
                  <w:tcW w:w="1054" w:type="pct"/>
                  <w:shd w:val="clear" w:color="auto" w:fill="auto"/>
                  <w:vAlign w:val="center"/>
                </w:tcPr>
                <w:p>
                  <w:pPr>
                    <w:widowControl/>
                    <w:jc w:val="center"/>
                    <w:rPr>
                      <w:color w:val="auto"/>
                      <w:kern w:val="0"/>
                      <w:szCs w:val="21"/>
                    </w:rPr>
                  </w:pPr>
                  <w:r>
                    <w:rPr>
                      <w:rFonts w:hint="eastAsia"/>
                      <w:color w:val="auto"/>
                      <w:kern w:val="0"/>
                      <w:szCs w:val="21"/>
                    </w:rPr>
                    <w:t>40.02</w:t>
                  </w:r>
                </w:p>
              </w:tc>
              <w:tc>
                <w:tcPr>
                  <w:tcW w:w="1054" w:type="pct"/>
                </w:tcPr>
                <w:p>
                  <w:pPr>
                    <w:widowControl/>
                    <w:jc w:val="center"/>
                    <w:rPr>
                      <w:color w:val="auto"/>
                      <w:kern w:val="0"/>
                      <w:szCs w:val="21"/>
                    </w:rPr>
                  </w:pPr>
                  <w:r>
                    <w:rPr>
                      <w:rFonts w:hint="eastAsia"/>
                      <w:color w:val="auto"/>
                      <w:kern w:val="0"/>
                      <w:szCs w:val="21"/>
                    </w:rPr>
                    <w:t>55.58</w:t>
                  </w:r>
                </w:p>
              </w:tc>
              <w:tc>
                <w:tcPr>
                  <w:tcW w:w="1114" w:type="pct"/>
                  <w:shd w:val="clear" w:color="auto" w:fill="auto"/>
                  <w:vAlign w:val="center"/>
                </w:tcPr>
                <w:p>
                  <w:pPr>
                    <w:widowControl/>
                    <w:jc w:val="center"/>
                    <w:rPr>
                      <w:color w:val="auto"/>
                      <w:kern w:val="0"/>
                      <w:szCs w:val="21"/>
                    </w:rPr>
                  </w:pPr>
                  <w:r>
                    <w:rPr>
                      <w:rFonts w:hint="eastAsia"/>
                      <w:color w:val="auto"/>
                      <w:kern w:val="0"/>
                      <w:szCs w:val="21"/>
                    </w:rPr>
                    <w:t>36.50</w:t>
                  </w:r>
                </w:p>
              </w:tc>
              <w:tc>
                <w:tcPr>
                  <w:tcW w:w="362" w:type="pct"/>
                  <w:shd w:val="clear" w:color="auto" w:fill="auto"/>
                  <w:vAlign w:val="center"/>
                </w:tcPr>
                <w:p>
                  <w:pPr>
                    <w:widowControl/>
                    <w:jc w:val="center"/>
                    <w:rPr>
                      <w:rFonts w:hint="eastAsia" w:eastAsia="宋体"/>
                      <w:color w:val="auto"/>
                      <w:kern w:val="0"/>
                      <w:szCs w:val="21"/>
                      <w:lang w:eastAsia="zh-CN"/>
                    </w:rPr>
                  </w:pPr>
                  <w:r>
                    <w:rPr>
                      <w:color w:val="auto"/>
                      <w:kern w:val="0"/>
                      <w:szCs w:val="21"/>
                    </w:rPr>
                    <w:t>6</w:t>
                  </w:r>
                  <w:r>
                    <w:rPr>
                      <w:rFonts w:hint="eastAsia"/>
                      <w:color w:val="auto"/>
                      <w:kern w:val="0"/>
                      <w:szCs w:val="21"/>
                      <w:lang w:val="en-US" w:eastAsia="zh-CN"/>
                    </w:rPr>
                    <w:t>5</w:t>
                  </w:r>
                </w:p>
              </w:tc>
              <w:tc>
                <w:tcPr>
                  <w:tcW w:w="362" w:type="pct"/>
                  <w:shd w:val="clear" w:color="auto" w:fill="auto"/>
                  <w:vAlign w:val="center"/>
                </w:tcPr>
                <w:p>
                  <w:pPr>
                    <w:widowControl/>
                    <w:jc w:val="center"/>
                    <w:rPr>
                      <w:rFonts w:hint="eastAsia" w:eastAsia="宋体"/>
                      <w:color w:val="auto"/>
                      <w:kern w:val="0"/>
                      <w:szCs w:val="21"/>
                      <w:lang w:eastAsia="zh-CN"/>
                    </w:rPr>
                  </w:pPr>
                  <w:r>
                    <w:rPr>
                      <w:color w:val="auto"/>
                      <w:kern w:val="0"/>
                      <w:szCs w:val="21"/>
                    </w:rPr>
                    <w:t>5</w:t>
                  </w:r>
                  <w:r>
                    <w:rPr>
                      <w:rFonts w:hint="eastAsia"/>
                      <w:color w:val="auto"/>
                      <w:kern w:val="0"/>
                      <w:szCs w:val="21"/>
                      <w:lang w:val="en-US" w:eastAsia="zh-CN"/>
                    </w:rPr>
                    <w:t>5</w:t>
                  </w:r>
                </w:p>
              </w:tc>
            </w:tr>
          </w:tbl>
          <w:p>
            <w:pPr>
              <w:spacing w:line="520" w:lineRule="exact"/>
              <w:ind w:firstLine="560" w:firstLineChars="200"/>
              <w:rPr>
                <w:color w:val="auto"/>
                <w:sz w:val="28"/>
                <w:szCs w:val="28"/>
              </w:rPr>
            </w:pPr>
            <w:r>
              <w:rPr>
                <w:rFonts w:hint="eastAsia"/>
                <w:color w:val="auto"/>
                <w:sz w:val="28"/>
                <w:szCs w:val="28"/>
              </w:rPr>
              <w:t>通过分析，项目在运营期，各生产设备噪声叠加后噪声值为84.56dB（A），厂房墙体阻隔</w:t>
            </w:r>
            <w:r>
              <w:rPr>
                <w:color w:val="auto"/>
                <w:sz w:val="28"/>
                <w:szCs w:val="28"/>
              </w:rPr>
              <w:t>引起的A声级衰减约为</w:t>
            </w:r>
            <w:r>
              <w:rPr>
                <w:rFonts w:hint="eastAsia"/>
                <w:color w:val="auto"/>
                <w:sz w:val="28"/>
                <w:szCs w:val="28"/>
              </w:rPr>
              <w:t>15</w:t>
            </w:r>
            <w:r>
              <w:rPr>
                <w:color w:val="auto"/>
                <w:sz w:val="28"/>
                <w:szCs w:val="28"/>
              </w:rPr>
              <w:t>dB（A）</w:t>
            </w:r>
            <w:r>
              <w:rPr>
                <w:rFonts w:hint="eastAsia"/>
                <w:color w:val="auto"/>
                <w:sz w:val="28"/>
                <w:szCs w:val="28"/>
              </w:rPr>
              <w:t>，经过衰减后声级为69.56</w:t>
            </w:r>
            <w:r>
              <w:rPr>
                <w:color w:val="auto"/>
                <w:sz w:val="28"/>
                <w:szCs w:val="28"/>
              </w:rPr>
              <w:t>dB（A）</w:t>
            </w:r>
            <w:r>
              <w:rPr>
                <w:rFonts w:hint="eastAsia"/>
                <w:color w:val="auto"/>
                <w:sz w:val="28"/>
                <w:szCs w:val="28"/>
              </w:rPr>
              <w:t>。昼间距离厂房大于5m，夜间距离厂房大于10m时，满足《工业企业厂界环境噪声排放标准》（GB12348-2008）</w:t>
            </w:r>
            <w:r>
              <w:rPr>
                <w:rFonts w:hint="eastAsia"/>
                <w:color w:val="auto"/>
                <w:sz w:val="28"/>
                <w:szCs w:val="28"/>
                <w:lang w:val="en-US" w:eastAsia="zh-CN"/>
              </w:rPr>
              <w:t>3</w:t>
            </w:r>
            <w:r>
              <w:rPr>
                <w:rFonts w:hint="eastAsia"/>
                <w:color w:val="auto"/>
                <w:sz w:val="28"/>
                <w:szCs w:val="28"/>
              </w:rPr>
              <w:t>类标准昼间6</w:t>
            </w:r>
            <w:r>
              <w:rPr>
                <w:rFonts w:hint="eastAsia"/>
                <w:color w:val="auto"/>
                <w:sz w:val="28"/>
                <w:szCs w:val="28"/>
                <w:lang w:val="en-US" w:eastAsia="zh-CN"/>
              </w:rPr>
              <w:t>5</w:t>
            </w:r>
            <w:r>
              <w:rPr>
                <w:rFonts w:hint="eastAsia"/>
                <w:color w:val="auto"/>
                <w:sz w:val="28"/>
                <w:szCs w:val="28"/>
              </w:rPr>
              <w:t>dB（A），夜间5</w:t>
            </w:r>
            <w:r>
              <w:rPr>
                <w:rFonts w:hint="eastAsia"/>
                <w:color w:val="auto"/>
                <w:sz w:val="28"/>
                <w:szCs w:val="28"/>
                <w:lang w:val="en-US" w:eastAsia="zh-CN"/>
              </w:rPr>
              <w:t>5</w:t>
            </w:r>
            <w:r>
              <w:rPr>
                <w:rFonts w:hint="eastAsia"/>
                <w:color w:val="auto"/>
                <w:sz w:val="28"/>
                <w:szCs w:val="28"/>
              </w:rPr>
              <w:t>dB（A）。根据表35的计算数据，项目运行期间昼间厂界噪声贡献值均达标，夜间厂界噪声贡献值东侧、南侧、北侧均达标，西侧不达标，由于本项目夜间不生产，故本项目厂界噪声均达标。</w:t>
            </w:r>
          </w:p>
          <w:p>
            <w:pPr>
              <w:spacing w:line="520" w:lineRule="exact"/>
              <w:ind w:left="554" w:leftChars="264"/>
              <w:rPr>
                <w:color w:val="auto"/>
                <w:sz w:val="28"/>
                <w:szCs w:val="28"/>
              </w:rPr>
            </w:pPr>
            <w:r>
              <w:rPr>
                <w:b/>
                <w:color w:val="auto"/>
                <w:sz w:val="28"/>
                <w:szCs w:val="28"/>
              </w:rPr>
              <w:t>防治措施：</w:t>
            </w:r>
          </w:p>
          <w:p>
            <w:pPr>
              <w:numPr>
                <w:ilvl w:val="0"/>
                <w:numId w:val="1"/>
              </w:numPr>
              <w:autoSpaceDE w:val="0"/>
              <w:autoSpaceDN w:val="0"/>
              <w:adjustRightInd w:val="0"/>
              <w:spacing w:line="520" w:lineRule="exact"/>
              <w:ind w:firstLine="560" w:firstLineChars="200"/>
              <w:rPr>
                <w:color w:val="auto"/>
                <w:sz w:val="28"/>
                <w:szCs w:val="28"/>
              </w:rPr>
            </w:pPr>
            <w:r>
              <w:rPr>
                <w:rFonts w:hint="eastAsia"/>
                <w:color w:val="auto"/>
                <w:sz w:val="28"/>
                <w:szCs w:val="28"/>
              </w:rPr>
              <w:t>为进一步降低噪声污染可</w:t>
            </w:r>
            <w:r>
              <w:rPr>
                <w:color w:val="auto"/>
                <w:sz w:val="28"/>
                <w:szCs w:val="28"/>
              </w:rPr>
              <w:t>对设备</w:t>
            </w:r>
            <w:r>
              <w:rPr>
                <w:rFonts w:hint="eastAsia"/>
                <w:color w:val="auto"/>
                <w:sz w:val="28"/>
                <w:szCs w:val="28"/>
              </w:rPr>
              <w:t>增加减震垫</w:t>
            </w:r>
            <w:r>
              <w:rPr>
                <w:color w:val="auto"/>
                <w:sz w:val="28"/>
                <w:szCs w:val="28"/>
              </w:rPr>
              <w:t>，降低设备</w:t>
            </w:r>
            <w:r>
              <w:rPr>
                <w:rFonts w:hint="eastAsia"/>
                <w:color w:val="auto"/>
                <w:sz w:val="28"/>
                <w:szCs w:val="28"/>
              </w:rPr>
              <w:t>震动</w:t>
            </w:r>
            <w:r>
              <w:rPr>
                <w:color w:val="auto"/>
                <w:sz w:val="28"/>
                <w:szCs w:val="28"/>
              </w:rPr>
              <w:t>的声级；</w:t>
            </w:r>
          </w:p>
          <w:p>
            <w:pPr>
              <w:numPr>
                <w:ilvl w:val="0"/>
                <w:numId w:val="1"/>
              </w:numPr>
              <w:autoSpaceDE w:val="0"/>
              <w:autoSpaceDN w:val="0"/>
              <w:adjustRightInd w:val="0"/>
              <w:spacing w:line="520" w:lineRule="exact"/>
              <w:ind w:firstLine="560" w:firstLineChars="200"/>
              <w:rPr>
                <w:color w:val="auto"/>
                <w:sz w:val="28"/>
                <w:szCs w:val="28"/>
              </w:rPr>
            </w:pPr>
            <w:r>
              <w:rPr>
                <w:rFonts w:hint="eastAsia"/>
                <w:color w:val="auto"/>
                <w:sz w:val="28"/>
                <w:szCs w:val="28"/>
              </w:rPr>
              <w:t>部分声功率较大的设备可加装隔声罩；</w:t>
            </w:r>
          </w:p>
          <w:p>
            <w:pPr>
              <w:numPr>
                <w:ilvl w:val="0"/>
                <w:numId w:val="1"/>
              </w:numPr>
              <w:autoSpaceDE w:val="0"/>
              <w:autoSpaceDN w:val="0"/>
              <w:adjustRightInd w:val="0"/>
              <w:spacing w:line="520" w:lineRule="exact"/>
              <w:ind w:firstLine="560" w:firstLineChars="200"/>
              <w:rPr>
                <w:color w:val="auto"/>
                <w:sz w:val="28"/>
                <w:szCs w:val="28"/>
              </w:rPr>
            </w:pPr>
            <w:r>
              <w:rPr>
                <w:color w:val="auto"/>
                <w:sz w:val="28"/>
                <w:szCs w:val="28"/>
              </w:rPr>
              <w:t>定期进行设备的维护，发现问题及时处理，防止设备异常运行产生的噪声；</w:t>
            </w:r>
          </w:p>
          <w:p>
            <w:pPr>
              <w:numPr>
                <w:ilvl w:val="0"/>
                <w:numId w:val="1"/>
              </w:numPr>
              <w:autoSpaceDE w:val="0"/>
              <w:autoSpaceDN w:val="0"/>
              <w:adjustRightInd w:val="0"/>
              <w:spacing w:line="520" w:lineRule="exact"/>
              <w:ind w:firstLine="560" w:firstLineChars="200"/>
              <w:rPr>
                <w:color w:val="auto"/>
                <w:sz w:val="28"/>
                <w:szCs w:val="28"/>
              </w:rPr>
            </w:pPr>
            <w:r>
              <w:rPr>
                <w:rFonts w:hint="eastAsia"/>
                <w:color w:val="auto"/>
                <w:sz w:val="28"/>
                <w:szCs w:val="28"/>
              </w:rPr>
              <w:t>为</w:t>
            </w:r>
            <w:r>
              <w:rPr>
                <w:color w:val="auto"/>
                <w:sz w:val="28"/>
                <w:szCs w:val="28"/>
              </w:rPr>
              <w:t>职工配置隔噪防护</w:t>
            </w:r>
            <w:r>
              <w:rPr>
                <w:rFonts w:hint="eastAsia"/>
                <w:color w:val="auto"/>
                <w:sz w:val="28"/>
                <w:szCs w:val="28"/>
              </w:rPr>
              <w:t>设备；</w:t>
            </w:r>
          </w:p>
          <w:p>
            <w:pPr>
              <w:tabs>
                <w:tab w:val="left" w:pos="720"/>
              </w:tabs>
              <w:spacing w:line="520" w:lineRule="exact"/>
              <w:ind w:firstLine="560" w:firstLineChars="200"/>
              <w:rPr>
                <w:color w:val="auto"/>
                <w:sz w:val="28"/>
                <w:szCs w:val="28"/>
              </w:rPr>
            </w:pPr>
            <w:r>
              <w:rPr>
                <w:color w:val="auto"/>
                <w:sz w:val="28"/>
                <w:szCs w:val="28"/>
              </w:rPr>
              <w:t>经采取以上措施后，可保证设备运行时因噪声产生的影响降低到最小</w:t>
            </w:r>
            <w:r>
              <w:rPr>
                <w:rFonts w:hint="eastAsia"/>
                <w:color w:val="auto"/>
                <w:sz w:val="28"/>
                <w:szCs w:val="28"/>
              </w:rPr>
              <w:t>，厂区周边无敏感点，生产运行噪声造成的影响微弱</w:t>
            </w:r>
            <w:r>
              <w:rPr>
                <w:color w:val="auto"/>
                <w:sz w:val="28"/>
                <w:szCs w:val="28"/>
              </w:rPr>
              <w:t>。</w:t>
            </w:r>
          </w:p>
          <w:p>
            <w:pPr>
              <w:pStyle w:val="5"/>
              <w:jc w:val="both"/>
              <w:rPr>
                <w:color w:val="auto"/>
              </w:rPr>
            </w:pPr>
            <w:r>
              <w:rPr>
                <w:rFonts w:hint="eastAsia"/>
                <w:color w:val="auto"/>
              </w:rPr>
              <w:t>5</w:t>
            </w:r>
            <w:r>
              <w:rPr>
                <w:color w:val="auto"/>
              </w:rPr>
              <w:t>产业政策符合性分析</w:t>
            </w:r>
          </w:p>
          <w:p>
            <w:pPr>
              <w:spacing w:line="520" w:lineRule="exact"/>
              <w:ind w:right="25" w:rightChars="12" w:firstLine="560" w:firstLineChars="200"/>
              <w:rPr>
                <w:color w:val="auto"/>
                <w:sz w:val="28"/>
                <w:szCs w:val="28"/>
              </w:rPr>
            </w:pPr>
            <w:r>
              <w:rPr>
                <w:rFonts w:hint="eastAsia"/>
                <w:color w:val="auto"/>
                <w:sz w:val="28"/>
                <w:szCs w:val="28"/>
              </w:rPr>
              <w:t>根据</w:t>
            </w:r>
            <w:r>
              <w:rPr>
                <w:color w:val="auto"/>
                <w:sz w:val="28"/>
                <w:szCs w:val="28"/>
              </w:rPr>
              <w:t>《产业结构调整导向目录（</w:t>
            </w:r>
            <w:r>
              <w:rPr>
                <w:rFonts w:hint="eastAsia"/>
                <w:color w:val="auto"/>
                <w:sz w:val="28"/>
                <w:szCs w:val="28"/>
              </w:rPr>
              <w:t>2019年本）</w:t>
            </w:r>
            <w:r>
              <w:rPr>
                <w:color w:val="auto"/>
                <w:sz w:val="28"/>
                <w:szCs w:val="28"/>
              </w:rPr>
              <w:t>》</w:t>
            </w:r>
            <w:r>
              <w:rPr>
                <w:rFonts w:hint="eastAsia"/>
                <w:color w:val="auto"/>
                <w:sz w:val="28"/>
                <w:szCs w:val="28"/>
              </w:rPr>
              <w:t>，本项目外购PVC、EVA全新料为原料生产PVC/EVA塑料拖鞋，其生产设备、生产工艺均不属于</w:t>
            </w:r>
            <w:r>
              <w:rPr>
                <w:color w:val="auto"/>
                <w:sz w:val="28"/>
                <w:szCs w:val="28"/>
              </w:rPr>
              <w:t>《产业结构调整导向目录（</w:t>
            </w:r>
            <w:r>
              <w:rPr>
                <w:rFonts w:hint="eastAsia"/>
                <w:color w:val="auto"/>
                <w:sz w:val="28"/>
                <w:szCs w:val="28"/>
              </w:rPr>
              <w:t>2019年本）</w:t>
            </w:r>
            <w:r>
              <w:rPr>
                <w:color w:val="auto"/>
                <w:sz w:val="28"/>
                <w:szCs w:val="28"/>
              </w:rPr>
              <w:t>》</w:t>
            </w:r>
            <w:r>
              <w:rPr>
                <w:rFonts w:hint="eastAsia"/>
                <w:color w:val="auto"/>
                <w:sz w:val="28"/>
                <w:szCs w:val="28"/>
              </w:rPr>
              <w:t>中的限制类和淘汰类，本项目属于允许类，</w:t>
            </w:r>
            <w:r>
              <w:rPr>
                <w:color w:val="auto"/>
                <w:sz w:val="28"/>
                <w:szCs w:val="28"/>
              </w:rPr>
              <w:t>符合国家产业政策要求。</w:t>
            </w:r>
          </w:p>
          <w:p>
            <w:pPr>
              <w:pStyle w:val="5"/>
              <w:jc w:val="both"/>
              <w:rPr>
                <w:color w:val="auto"/>
              </w:rPr>
            </w:pPr>
            <w:r>
              <w:rPr>
                <w:rFonts w:hint="eastAsia"/>
                <w:color w:val="auto"/>
              </w:rPr>
              <w:t>6</w:t>
            </w:r>
            <w:r>
              <w:rPr>
                <w:color w:val="auto"/>
              </w:rPr>
              <w:t>项目选址合理性分析</w:t>
            </w:r>
          </w:p>
          <w:p>
            <w:pPr>
              <w:spacing w:line="520" w:lineRule="exact"/>
              <w:ind w:right="25" w:rightChars="12" w:firstLine="560" w:firstLineChars="200"/>
              <w:rPr>
                <w:color w:val="auto"/>
                <w:sz w:val="28"/>
                <w:szCs w:val="28"/>
              </w:rPr>
            </w:pPr>
            <w:r>
              <w:rPr>
                <w:rFonts w:hint="eastAsia"/>
                <w:color w:val="auto"/>
                <w:sz w:val="28"/>
                <w:szCs w:val="28"/>
              </w:rPr>
              <w:t>本项目选址</w:t>
            </w:r>
            <w:r>
              <w:rPr>
                <w:rFonts w:hint="eastAsia"/>
                <w:bCs/>
                <w:color w:val="auto"/>
                <w:kern w:val="0"/>
                <w:sz w:val="28"/>
              </w:rPr>
              <w:t>位于巩留县恰甫其海路南侧众帮苯板厂院内</w:t>
            </w:r>
            <w:r>
              <w:rPr>
                <w:rFonts w:hint="eastAsia"/>
                <w:color w:val="auto"/>
                <w:sz w:val="28"/>
                <w:szCs w:val="28"/>
              </w:rPr>
              <w:t>，</w:t>
            </w:r>
            <w:r>
              <w:rPr>
                <w:rFonts w:hint="eastAsia"/>
                <w:color w:val="auto"/>
                <w:sz w:val="28"/>
                <w:szCs w:val="28"/>
                <w:lang w:eastAsia="zh-CN"/>
              </w:rPr>
              <w:t>本项目租赁众帮苯板厂库房作为厂区，项目用地性质为工业用地，</w:t>
            </w:r>
            <w:r>
              <w:rPr>
                <w:rFonts w:hint="eastAsia"/>
                <w:color w:val="auto"/>
                <w:sz w:val="28"/>
                <w:szCs w:val="28"/>
              </w:rPr>
              <w:t>项目区东侧为文化路，南侧为众帮苯板厂，西侧为巩留县天汇商贸有限责任公司，北侧为恰甫其海路。拟建项目区周围无学校、医院、居民区、军事基地、自然保护区等环境敏感点。综上所述，本项目选址是合理的。</w:t>
            </w:r>
          </w:p>
          <w:p>
            <w:pPr>
              <w:pStyle w:val="5"/>
              <w:jc w:val="both"/>
              <w:rPr>
                <w:color w:val="auto"/>
                <w:szCs w:val="28"/>
              </w:rPr>
            </w:pPr>
            <w:r>
              <w:rPr>
                <w:rFonts w:hint="eastAsia"/>
                <w:color w:val="auto"/>
              </w:rPr>
              <w:t>7平面布置合理性</w:t>
            </w:r>
          </w:p>
          <w:p>
            <w:pPr>
              <w:spacing w:line="520" w:lineRule="exact"/>
              <w:ind w:right="25" w:rightChars="12" w:firstLine="560" w:firstLineChars="200"/>
              <w:rPr>
                <w:color w:val="auto"/>
                <w:sz w:val="28"/>
                <w:szCs w:val="28"/>
              </w:rPr>
            </w:pPr>
            <w:r>
              <w:rPr>
                <w:rFonts w:hint="eastAsia"/>
                <w:color w:val="auto"/>
                <w:sz w:val="28"/>
                <w:szCs w:val="28"/>
              </w:rPr>
              <w:t>项目租用众帮苯板厂空余库房为生产车间及库房，厂区入口位于项目区北侧，入口右侧依次为值班室、办公室、生活用房，厂区南侧为生产车间及库房，生产车间内设置PVC拖鞋生产线一条，EVA拖鞋生产线一条，库房与生产车间经夹芯板隔开</w:t>
            </w:r>
            <w:r>
              <w:rPr>
                <w:rFonts w:hint="eastAsia"/>
                <w:bCs/>
                <w:color w:val="auto"/>
                <w:sz w:val="28"/>
                <w:szCs w:val="28"/>
              </w:rPr>
              <w:t>。</w:t>
            </w:r>
          </w:p>
          <w:p>
            <w:pPr>
              <w:spacing w:line="520" w:lineRule="exact"/>
              <w:ind w:right="25" w:rightChars="12" w:firstLine="560" w:firstLineChars="200"/>
              <w:rPr>
                <w:color w:val="auto"/>
                <w:sz w:val="28"/>
                <w:szCs w:val="28"/>
              </w:rPr>
            </w:pPr>
            <w:r>
              <w:rPr>
                <w:rFonts w:hint="eastAsia"/>
                <w:color w:val="auto"/>
                <w:sz w:val="28"/>
                <w:szCs w:val="28"/>
              </w:rPr>
              <w:t>本项目从原料入厂、输送，到生产过程，再到产品，整体工艺流水线布置合理，物料流向合理。厂区分块合理，办公区与生产区分开，生产过程中产生的噪声对办公影响较小。综上所述，本项目厂区平面布置合理可行。</w:t>
            </w:r>
          </w:p>
          <w:p>
            <w:pPr>
              <w:pStyle w:val="5"/>
              <w:jc w:val="both"/>
              <w:rPr>
                <w:color w:val="auto"/>
                <w:szCs w:val="28"/>
              </w:rPr>
            </w:pPr>
            <w:r>
              <w:rPr>
                <w:rFonts w:hint="eastAsia"/>
                <w:color w:val="auto"/>
              </w:rPr>
              <w:t>8</w:t>
            </w:r>
            <w:r>
              <w:rPr>
                <w:color w:val="auto"/>
              </w:rPr>
              <w:t>环保投资</w:t>
            </w:r>
          </w:p>
          <w:p>
            <w:pPr>
              <w:spacing w:line="520" w:lineRule="exact"/>
              <w:ind w:firstLine="560" w:firstLineChars="200"/>
              <w:rPr>
                <w:color w:val="auto"/>
                <w:sz w:val="28"/>
                <w:szCs w:val="28"/>
              </w:rPr>
            </w:pPr>
            <w:r>
              <w:rPr>
                <w:color w:val="auto"/>
                <w:sz w:val="28"/>
                <w:szCs w:val="28"/>
              </w:rPr>
              <w:t>环保投资是与治理预防有关的基建工程投资，它即包括治理污染保护环境的设施费用，又包括为生产需要和污染治理的服务费用，但主要目的是为改善环境质量。该项目总投资</w:t>
            </w:r>
            <w:r>
              <w:rPr>
                <w:rFonts w:hint="eastAsia"/>
                <w:color w:val="auto"/>
                <w:sz w:val="28"/>
                <w:szCs w:val="28"/>
              </w:rPr>
              <w:t>500</w:t>
            </w:r>
            <w:r>
              <w:rPr>
                <w:color w:val="auto"/>
                <w:sz w:val="28"/>
                <w:szCs w:val="28"/>
              </w:rPr>
              <w:t>万元，其中环保投资为</w:t>
            </w:r>
            <w:r>
              <w:rPr>
                <w:rFonts w:hint="eastAsia"/>
                <w:color w:val="auto"/>
                <w:sz w:val="28"/>
                <w:szCs w:val="28"/>
              </w:rPr>
              <w:t>16.7</w:t>
            </w:r>
            <w:r>
              <w:rPr>
                <w:color w:val="auto"/>
                <w:sz w:val="28"/>
                <w:szCs w:val="28"/>
              </w:rPr>
              <w:t>万元，占总投资的</w:t>
            </w:r>
            <w:r>
              <w:rPr>
                <w:rFonts w:hint="eastAsia"/>
                <w:color w:val="auto"/>
                <w:sz w:val="28"/>
                <w:szCs w:val="28"/>
              </w:rPr>
              <w:t>3.34</w:t>
            </w:r>
            <w:r>
              <w:rPr>
                <w:color w:val="auto"/>
                <w:sz w:val="28"/>
                <w:szCs w:val="28"/>
              </w:rPr>
              <w:t>%。具体见表</w:t>
            </w:r>
            <w:r>
              <w:rPr>
                <w:rFonts w:hint="eastAsia"/>
                <w:color w:val="auto"/>
                <w:sz w:val="28"/>
                <w:szCs w:val="28"/>
              </w:rPr>
              <w:t>24</w:t>
            </w:r>
            <w:r>
              <w:rPr>
                <w:color w:val="auto"/>
                <w:sz w:val="28"/>
                <w:szCs w:val="28"/>
              </w:rPr>
              <w:t>。</w:t>
            </w:r>
          </w:p>
          <w:p>
            <w:pPr>
              <w:ind w:firstLine="480" w:firstLineChars="200"/>
              <w:textAlignment w:val="baseline"/>
              <w:rPr>
                <w:rFonts w:eastAsia="黑体"/>
                <w:color w:val="auto"/>
                <w:sz w:val="24"/>
              </w:rPr>
            </w:pPr>
            <w:r>
              <w:rPr>
                <w:rFonts w:eastAsia="黑体"/>
                <w:color w:val="auto"/>
                <w:sz w:val="24"/>
              </w:rPr>
              <w:t>表</w:t>
            </w:r>
            <w:r>
              <w:rPr>
                <w:rFonts w:hint="eastAsia" w:eastAsia="黑体"/>
                <w:color w:val="auto"/>
                <w:sz w:val="24"/>
              </w:rPr>
              <w:t xml:space="preserve">24                    </w:t>
            </w:r>
            <w:r>
              <w:rPr>
                <w:rFonts w:eastAsia="黑体"/>
                <w:color w:val="auto"/>
                <w:sz w:val="24"/>
              </w:rPr>
              <w:t>环境保护投资估算</w:t>
            </w:r>
          </w:p>
          <w:tbl>
            <w:tblPr>
              <w:tblStyle w:val="24"/>
              <w:tblW w:w="0" w:type="auto"/>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696"/>
              <w:gridCol w:w="652"/>
              <w:gridCol w:w="945"/>
              <w:gridCol w:w="3765"/>
              <w:gridCol w:w="1380"/>
              <w:gridCol w:w="163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tcPr>
                <w:p>
                  <w:pPr>
                    <w:spacing w:line="240" w:lineRule="exact"/>
                    <w:jc w:val="center"/>
                    <w:rPr>
                      <w:color w:val="auto"/>
                      <w:szCs w:val="21"/>
                    </w:rPr>
                  </w:pPr>
                  <w:r>
                    <w:rPr>
                      <w:rFonts w:hint="eastAsia"/>
                      <w:color w:val="auto"/>
                      <w:szCs w:val="21"/>
                    </w:rPr>
                    <w:t>时期</w:t>
                  </w:r>
                </w:p>
              </w:tc>
              <w:tc>
                <w:tcPr>
                  <w:tcW w:w="652" w:type="dxa"/>
                  <w:vAlign w:val="center"/>
                </w:tcPr>
                <w:p>
                  <w:pPr>
                    <w:spacing w:line="240" w:lineRule="exact"/>
                    <w:jc w:val="center"/>
                    <w:rPr>
                      <w:color w:val="auto"/>
                      <w:szCs w:val="21"/>
                    </w:rPr>
                  </w:pPr>
                  <w:r>
                    <w:rPr>
                      <w:color w:val="auto"/>
                      <w:szCs w:val="21"/>
                    </w:rPr>
                    <w:t>序号</w:t>
                  </w:r>
                </w:p>
              </w:tc>
              <w:tc>
                <w:tcPr>
                  <w:tcW w:w="945" w:type="dxa"/>
                  <w:vAlign w:val="center"/>
                </w:tcPr>
                <w:p>
                  <w:pPr>
                    <w:spacing w:line="240" w:lineRule="exact"/>
                    <w:jc w:val="center"/>
                    <w:rPr>
                      <w:color w:val="auto"/>
                      <w:szCs w:val="21"/>
                    </w:rPr>
                  </w:pPr>
                  <w:r>
                    <w:rPr>
                      <w:color w:val="auto"/>
                      <w:szCs w:val="21"/>
                    </w:rPr>
                    <w:t>污染源</w:t>
                  </w:r>
                </w:p>
              </w:tc>
              <w:tc>
                <w:tcPr>
                  <w:tcW w:w="3765" w:type="dxa"/>
                  <w:vAlign w:val="center"/>
                </w:tcPr>
                <w:p>
                  <w:pPr>
                    <w:spacing w:line="240" w:lineRule="exact"/>
                    <w:jc w:val="center"/>
                    <w:rPr>
                      <w:color w:val="auto"/>
                      <w:szCs w:val="21"/>
                    </w:rPr>
                  </w:pPr>
                  <w:r>
                    <w:rPr>
                      <w:color w:val="auto"/>
                      <w:szCs w:val="21"/>
                    </w:rPr>
                    <w:t>环保设施</w:t>
                  </w:r>
                </w:p>
              </w:tc>
              <w:tc>
                <w:tcPr>
                  <w:tcW w:w="1380" w:type="dxa"/>
                  <w:vAlign w:val="center"/>
                </w:tcPr>
                <w:p>
                  <w:pPr>
                    <w:spacing w:line="240" w:lineRule="exact"/>
                    <w:jc w:val="center"/>
                    <w:rPr>
                      <w:color w:val="auto"/>
                      <w:szCs w:val="21"/>
                    </w:rPr>
                  </w:pPr>
                  <w:r>
                    <w:rPr>
                      <w:color w:val="auto"/>
                      <w:szCs w:val="21"/>
                    </w:rPr>
                    <w:t>投资（万元）</w:t>
                  </w:r>
                </w:p>
              </w:tc>
              <w:tc>
                <w:tcPr>
                  <w:tcW w:w="1633" w:type="dxa"/>
                </w:tcPr>
                <w:p>
                  <w:pPr>
                    <w:spacing w:line="240" w:lineRule="exact"/>
                    <w:jc w:val="center"/>
                    <w:rPr>
                      <w:color w:val="auto"/>
                      <w:szCs w:val="21"/>
                    </w:rPr>
                  </w:pPr>
                  <w:r>
                    <w:rPr>
                      <w:rFonts w:hint="eastAsia"/>
                      <w:color w:val="auto"/>
                      <w:szCs w:val="21"/>
                    </w:rPr>
                    <w:t>备注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81" w:hRule="atLeast"/>
                <w:jc w:val="center"/>
              </w:trPr>
              <w:tc>
                <w:tcPr>
                  <w:tcW w:w="696" w:type="dxa"/>
                  <w:vMerge w:val="restart"/>
                  <w:vAlign w:val="center"/>
                </w:tcPr>
                <w:p>
                  <w:pPr>
                    <w:spacing w:line="240" w:lineRule="exact"/>
                    <w:jc w:val="center"/>
                    <w:rPr>
                      <w:color w:val="auto"/>
                      <w:szCs w:val="21"/>
                    </w:rPr>
                  </w:pPr>
                  <w:r>
                    <w:rPr>
                      <w:rFonts w:hint="eastAsia"/>
                      <w:color w:val="auto"/>
                      <w:szCs w:val="21"/>
                    </w:rPr>
                    <w:t>运营期</w:t>
                  </w:r>
                </w:p>
              </w:tc>
              <w:tc>
                <w:tcPr>
                  <w:tcW w:w="652" w:type="dxa"/>
                  <w:vMerge w:val="restart"/>
                  <w:vAlign w:val="center"/>
                </w:tcPr>
                <w:p>
                  <w:pPr>
                    <w:spacing w:line="240" w:lineRule="exact"/>
                    <w:jc w:val="center"/>
                    <w:rPr>
                      <w:color w:val="auto"/>
                      <w:szCs w:val="21"/>
                    </w:rPr>
                  </w:pPr>
                  <w:r>
                    <w:rPr>
                      <w:color w:val="auto"/>
                      <w:szCs w:val="21"/>
                    </w:rPr>
                    <w:t>1</w:t>
                  </w:r>
                </w:p>
              </w:tc>
              <w:tc>
                <w:tcPr>
                  <w:tcW w:w="945" w:type="dxa"/>
                  <w:vMerge w:val="restart"/>
                  <w:vAlign w:val="center"/>
                </w:tcPr>
                <w:p>
                  <w:pPr>
                    <w:spacing w:line="240" w:lineRule="exact"/>
                    <w:jc w:val="center"/>
                    <w:rPr>
                      <w:color w:val="auto"/>
                      <w:szCs w:val="21"/>
                    </w:rPr>
                  </w:pPr>
                  <w:r>
                    <w:rPr>
                      <w:color w:val="auto"/>
                      <w:szCs w:val="21"/>
                    </w:rPr>
                    <w:t>废气</w:t>
                  </w:r>
                </w:p>
              </w:tc>
              <w:tc>
                <w:tcPr>
                  <w:tcW w:w="3765" w:type="dxa"/>
                  <w:vAlign w:val="center"/>
                </w:tcPr>
                <w:p>
                  <w:pPr>
                    <w:spacing w:line="240" w:lineRule="exact"/>
                    <w:jc w:val="center"/>
                    <w:rPr>
                      <w:color w:val="auto"/>
                      <w:szCs w:val="21"/>
                    </w:rPr>
                  </w:pPr>
                  <w:r>
                    <w:rPr>
                      <w:rFonts w:hint="eastAsia"/>
                      <w:color w:val="auto"/>
                      <w:szCs w:val="21"/>
                    </w:rPr>
                    <w:t>光催化氧化装置+活性炭吸附装置+15m排气筒</w:t>
                  </w:r>
                </w:p>
              </w:tc>
              <w:tc>
                <w:tcPr>
                  <w:tcW w:w="1380" w:type="dxa"/>
                  <w:vAlign w:val="center"/>
                </w:tcPr>
                <w:p>
                  <w:pPr>
                    <w:spacing w:line="240" w:lineRule="exact"/>
                    <w:jc w:val="center"/>
                    <w:rPr>
                      <w:color w:val="auto"/>
                      <w:szCs w:val="21"/>
                    </w:rPr>
                  </w:pPr>
                  <w:r>
                    <w:rPr>
                      <w:rFonts w:hint="eastAsia"/>
                      <w:color w:val="auto"/>
                      <w:szCs w:val="21"/>
                    </w:rPr>
                    <w:t>10</w:t>
                  </w:r>
                </w:p>
              </w:tc>
              <w:tc>
                <w:tcPr>
                  <w:tcW w:w="1633" w:type="dxa"/>
                </w:tcPr>
                <w:p>
                  <w:pPr>
                    <w:spacing w:line="240" w:lineRule="exact"/>
                    <w:jc w:val="center"/>
                    <w:rPr>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Merge w:val="continue"/>
                  <w:vAlign w:val="center"/>
                </w:tcPr>
                <w:p>
                  <w:pPr>
                    <w:spacing w:line="240" w:lineRule="exact"/>
                    <w:jc w:val="center"/>
                    <w:rPr>
                      <w:color w:val="auto"/>
                      <w:szCs w:val="21"/>
                    </w:rPr>
                  </w:pPr>
                </w:p>
              </w:tc>
              <w:tc>
                <w:tcPr>
                  <w:tcW w:w="945" w:type="dxa"/>
                  <w:vMerge w:val="continue"/>
                  <w:vAlign w:val="center"/>
                </w:tcPr>
                <w:p>
                  <w:pPr>
                    <w:spacing w:line="240" w:lineRule="exact"/>
                    <w:jc w:val="center"/>
                    <w:rPr>
                      <w:color w:val="auto"/>
                      <w:szCs w:val="21"/>
                    </w:rPr>
                  </w:pPr>
                </w:p>
              </w:tc>
              <w:tc>
                <w:tcPr>
                  <w:tcW w:w="3765" w:type="dxa"/>
                  <w:vAlign w:val="center"/>
                </w:tcPr>
                <w:p>
                  <w:pPr>
                    <w:spacing w:line="240" w:lineRule="exact"/>
                    <w:jc w:val="center"/>
                    <w:rPr>
                      <w:color w:val="auto"/>
                      <w:szCs w:val="21"/>
                    </w:rPr>
                  </w:pPr>
                  <w:r>
                    <w:rPr>
                      <w:rFonts w:hint="eastAsia"/>
                      <w:color w:val="auto"/>
                      <w:szCs w:val="21"/>
                    </w:rPr>
                    <w:t>集气罩</w:t>
                  </w:r>
                </w:p>
              </w:tc>
              <w:tc>
                <w:tcPr>
                  <w:tcW w:w="1380" w:type="dxa"/>
                  <w:vAlign w:val="center"/>
                </w:tcPr>
                <w:p>
                  <w:pPr>
                    <w:spacing w:line="240" w:lineRule="exact"/>
                    <w:jc w:val="center"/>
                    <w:rPr>
                      <w:color w:val="auto"/>
                      <w:szCs w:val="21"/>
                    </w:rPr>
                  </w:pPr>
                  <w:r>
                    <w:rPr>
                      <w:rFonts w:hint="eastAsia"/>
                      <w:color w:val="auto"/>
                      <w:szCs w:val="21"/>
                    </w:rPr>
                    <w:t>2.2</w:t>
                  </w:r>
                </w:p>
              </w:tc>
              <w:tc>
                <w:tcPr>
                  <w:tcW w:w="1633" w:type="dxa"/>
                </w:tcPr>
                <w:p>
                  <w:pPr>
                    <w:spacing w:line="240" w:lineRule="exact"/>
                    <w:jc w:val="center"/>
                    <w:rPr>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Merge w:val="continue"/>
                  <w:tcBorders>
                    <w:bottom w:val="single" w:color="auto" w:sz="4" w:space="0"/>
                  </w:tcBorders>
                  <w:vAlign w:val="center"/>
                </w:tcPr>
                <w:p>
                  <w:pPr>
                    <w:spacing w:line="240" w:lineRule="exact"/>
                    <w:jc w:val="center"/>
                    <w:rPr>
                      <w:color w:val="auto"/>
                      <w:szCs w:val="21"/>
                    </w:rPr>
                  </w:pPr>
                </w:p>
              </w:tc>
              <w:tc>
                <w:tcPr>
                  <w:tcW w:w="945" w:type="dxa"/>
                  <w:vMerge w:val="continue"/>
                  <w:tcBorders>
                    <w:bottom w:val="single" w:color="auto" w:sz="4" w:space="0"/>
                  </w:tcBorders>
                  <w:vAlign w:val="center"/>
                </w:tcPr>
                <w:p>
                  <w:pPr>
                    <w:spacing w:line="240" w:lineRule="exact"/>
                    <w:jc w:val="center"/>
                    <w:rPr>
                      <w:color w:val="auto"/>
                      <w:szCs w:val="21"/>
                    </w:rPr>
                  </w:pPr>
                </w:p>
              </w:tc>
              <w:tc>
                <w:tcPr>
                  <w:tcW w:w="3765" w:type="dxa"/>
                  <w:tcBorders>
                    <w:bottom w:val="single" w:color="auto" w:sz="4" w:space="0"/>
                  </w:tcBorders>
                  <w:vAlign w:val="center"/>
                </w:tcPr>
                <w:p>
                  <w:pPr>
                    <w:spacing w:line="240" w:lineRule="exact"/>
                    <w:jc w:val="center"/>
                    <w:rPr>
                      <w:color w:val="auto"/>
                      <w:szCs w:val="21"/>
                    </w:rPr>
                  </w:pPr>
                  <w:r>
                    <w:rPr>
                      <w:rFonts w:hint="eastAsia"/>
                      <w:color w:val="auto"/>
                      <w:szCs w:val="21"/>
                    </w:rPr>
                    <w:t>油烟净化装置</w:t>
                  </w:r>
                </w:p>
              </w:tc>
              <w:tc>
                <w:tcPr>
                  <w:tcW w:w="1380" w:type="dxa"/>
                  <w:vAlign w:val="center"/>
                </w:tcPr>
                <w:p>
                  <w:pPr>
                    <w:spacing w:line="240" w:lineRule="exact"/>
                    <w:jc w:val="center"/>
                    <w:rPr>
                      <w:color w:val="auto"/>
                      <w:szCs w:val="21"/>
                    </w:rPr>
                  </w:pPr>
                  <w:r>
                    <w:rPr>
                      <w:rFonts w:hint="eastAsia"/>
                      <w:color w:val="auto"/>
                      <w:szCs w:val="21"/>
                    </w:rPr>
                    <w:t>0.3</w:t>
                  </w:r>
                </w:p>
              </w:tc>
              <w:tc>
                <w:tcPr>
                  <w:tcW w:w="1633" w:type="dxa"/>
                </w:tcPr>
                <w:p>
                  <w:pPr>
                    <w:spacing w:line="240" w:lineRule="exact"/>
                    <w:jc w:val="center"/>
                    <w:rPr>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Merge w:val="restart"/>
                  <w:vAlign w:val="center"/>
                </w:tcPr>
                <w:p>
                  <w:pPr>
                    <w:spacing w:line="240" w:lineRule="exact"/>
                    <w:jc w:val="center"/>
                    <w:rPr>
                      <w:rFonts w:hint="eastAsia" w:eastAsia="宋体"/>
                      <w:color w:val="auto"/>
                      <w:szCs w:val="21"/>
                      <w:lang w:val="en-US" w:eastAsia="zh-CN"/>
                    </w:rPr>
                  </w:pPr>
                  <w:r>
                    <w:rPr>
                      <w:rFonts w:hint="eastAsia"/>
                      <w:color w:val="auto"/>
                      <w:szCs w:val="21"/>
                      <w:lang w:val="en-US" w:eastAsia="zh-CN"/>
                    </w:rPr>
                    <w:t>2</w:t>
                  </w:r>
                </w:p>
              </w:tc>
              <w:tc>
                <w:tcPr>
                  <w:tcW w:w="945" w:type="dxa"/>
                  <w:vMerge w:val="restart"/>
                  <w:vAlign w:val="center"/>
                </w:tcPr>
                <w:p>
                  <w:pPr>
                    <w:spacing w:line="240" w:lineRule="exact"/>
                    <w:jc w:val="center"/>
                    <w:rPr>
                      <w:rFonts w:hint="eastAsia" w:eastAsia="宋体"/>
                      <w:color w:val="auto"/>
                      <w:szCs w:val="21"/>
                      <w:lang w:eastAsia="zh-CN"/>
                    </w:rPr>
                  </w:pPr>
                  <w:r>
                    <w:rPr>
                      <w:rFonts w:hint="eastAsia"/>
                      <w:color w:val="auto"/>
                      <w:szCs w:val="21"/>
                      <w:lang w:eastAsia="zh-CN"/>
                    </w:rPr>
                    <w:t>废水</w:t>
                  </w:r>
                </w:p>
              </w:tc>
              <w:tc>
                <w:tcPr>
                  <w:tcW w:w="3765" w:type="dxa"/>
                  <w:tcBorders>
                    <w:bottom w:val="single" w:color="auto" w:sz="4" w:space="0"/>
                  </w:tcBorders>
                  <w:vAlign w:val="center"/>
                </w:tcPr>
                <w:p>
                  <w:pPr>
                    <w:spacing w:line="240" w:lineRule="exact"/>
                    <w:jc w:val="center"/>
                    <w:rPr>
                      <w:rFonts w:hint="eastAsia" w:eastAsia="宋体"/>
                      <w:color w:val="auto"/>
                      <w:szCs w:val="21"/>
                      <w:lang w:eastAsia="zh-CN"/>
                    </w:rPr>
                  </w:pPr>
                  <w:r>
                    <w:rPr>
                      <w:rFonts w:hint="eastAsia"/>
                      <w:color w:val="auto"/>
                      <w:szCs w:val="21"/>
                      <w:lang w:eastAsia="zh-CN"/>
                    </w:rPr>
                    <w:t>循环冷却塔</w:t>
                  </w:r>
                </w:p>
              </w:tc>
              <w:tc>
                <w:tcPr>
                  <w:tcW w:w="1380" w:type="dxa"/>
                  <w:vAlign w:val="center"/>
                </w:tcPr>
                <w:p>
                  <w:pPr>
                    <w:spacing w:line="240" w:lineRule="exact"/>
                    <w:jc w:val="center"/>
                    <w:rPr>
                      <w:rFonts w:hint="eastAsia" w:eastAsia="宋体"/>
                      <w:color w:val="auto"/>
                      <w:szCs w:val="21"/>
                      <w:lang w:val="en-US" w:eastAsia="zh-CN"/>
                    </w:rPr>
                  </w:pPr>
                  <w:r>
                    <w:rPr>
                      <w:rFonts w:hint="eastAsia"/>
                      <w:color w:val="auto"/>
                      <w:szCs w:val="21"/>
                      <w:lang w:val="en-US" w:eastAsia="zh-CN"/>
                    </w:rPr>
                    <w:t>/</w:t>
                  </w:r>
                </w:p>
              </w:tc>
              <w:tc>
                <w:tcPr>
                  <w:tcW w:w="1633" w:type="dxa"/>
                </w:tcPr>
                <w:p>
                  <w:pPr>
                    <w:spacing w:line="240" w:lineRule="exact"/>
                    <w:jc w:val="center"/>
                    <w:rPr>
                      <w:rFonts w:hint="default" w:eastAsia="宋体"/>
                      <w:color w:val="auto"/>
                      <w:szCs w:val="21"/>
                      <w:lang w:val="en-US" w:eastAsia="zh-CN"/>
                    </w:rPr>
                  </w:pPr>
                  <w:r>
                    <w:rPr>
                      <w:rFonts w:hint="eastAsia"/>
                      <w:color w:val="auto"/>
                      <w:szCs w:val="21"/>
                      <w:lang w:val="en-US" w:eastAsia="zh-CN"/>
                    </w:rPr>
                    <w:t>主体已计</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Merge w:val="continue"/>
                  <w:vAlign w:val="center"/>
                </w:tcPr>
                <w:p>
                  <w:pPr>
                    <w:spacing w:line="240" w:lineRule="exact"/>
                    <w:jc w:val="center"/>
                    <w:rPr>
                      <w:rFonts w:hint="eastAsia"/>
                      <w:color w:val="auto"/>
                      <w:szCs w:val="21"/>
                      <w:lang w:val="en-US" w:eastAsia="zh-CN"/>
                    </w:rPr>
                  </w:pPr>
                </w:p>
              </w:tc>
              <w:tc>
                <w:tcPr>
                  <w:tcW w:w="945" w:type="dxa"/>
                  <w:vMerge w:val="continue"/>
                  <w:vAlign w:val="center"/>
                </w:tcPr>
                <w:p>
                  <w:pPr>
                    <w:spacing w:line="240" w:lineRule="exact"/>
                    <w:jc w:val="center"/>
                    <w:rPr>
                      <w:rFonts w:hint="eastAsia"/>
                      <w:color w:val="auto"/>
                      <w:szCs w:val="21"/>
                      <w:lang w:eastAsia="zh-CN"/>
                    </w:rPr>
                  </w:pPr>
                </w:p>
              </w:tc>
              <w:tc>
                <w:tcPr>
                  <w:tcW w:w="3765" w:type="dxa"/>
                  <w:tcBorders>
                    <w:bottom w:val="single" w:color="auto" w:sz="4" w:space="0"/>
                  </w:tcBorders>
                  <w:vAlign w:val="center"/>
                </w:tcPr>
                <w:p>
                  <w:pPr>
                    <w:spacing w:line="240" w:lineRule="exact"/>
                    <w:jc w:val="center"/>
                    <w:rPr>
                      <w:rFonts w:hint="eastAsia" w:eastAsia="宋体"/>
                      <w:color w:val="auto"/>
                      <w:szCs w:val="21"/>
                      <w:lang w:eastAsia="zh-CN"/>
                    </w:rPr>
                  </w:pPr>
                  <w:r>
                    <w:rPr>
                      <w:rFonts w:hint="eastAsia"/>
                      <w:color w:val="auto"/>
                      <w:szCs w:val="21"/>
                      <w:lang w:eastAsia="zh-CN"/>
                    </w:rPr>
                    <w:t>隔油池</w:t>
                  </w:r>
                </w:p>
              </w:tc>
              <w:tc>
                <w:tcPr>
                  <w:tcW w:w="1380" w:type="dxa"/>
                  <w:vAlign w:val="center"/>
                </w:tcPr>
                <w:p>
                  <w:pPr>
                    <w:spacing w:line="240" w:lineRule="exact"/>
                    <w:jc w:val="center"/>
                    <w:rPr>
                      <w:rFonts w:hint="default"/>
                      <w:color w:val="auto"/>
                      <w:szCs w:val="21"/>
                      <w:lang w:val="en-US" w:eastAsia="zh-CN"/>
                    </w:rPr>
                  </w:pPr>
                  <w:r>
                    <w:rPr>
                      <w:rFonts w:hint="eastAsia"/>
                      <w:color w:val="auto"/>
                      <w:szCs w:val="21"/>
                      <w:lang w:val="en-US" w:eastAsia="zh-CN"/>
                    </w:rPr>
                    <w:t>/</w:t>
                  </w:r>
                </w:p>
              </w:tc>
              <w:tc>
                <w:tcPr>
                  <w:tcW w:w="1633" w:type="dxa"/>
                </w:tcPr>
                <w:p>
                  <w:pPr>
                    <w:spacing w:line="240" w:lineRule="exact"/>
                    <w:jc w:val="center"/>
                    <w:rPr>
                      <w:rFonts w:hint="default" w:eastAsia="宋体"/>
                      <w:color w:val="auto"/>
                      <w:szCs w:val="21"/>
                      <w:lang w:val="en-US" w:eastAsia="zh-CN"/>
                    </w:rPr>
                  </w:pPr>
                  <w:r>
                    <w:rPr>
                      <w:rFonts w:hint="eastAsia"/>
                      <w:color w:val="auto"/>
                      <w:szCs w:val="21"/>
                      <w:lang w:val="en-US" w:eastAsia="zh-CN"/>
                    </w:rPr>
                    <w:t>依托项目区已建隔油池</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Merge w:val="continue"/>
                  <w:tcBorders>
                    <w:bottom w:val="single" w:color="auto" w:sz="4" w:space="0"/>
                  </w:tcBorders>
                  <w:vAlign w:val="center"/>
                </w:tcPr>
                <w:p>
                  <w:pPr>
                    <w:spacing w:line="240" w:lineRule="exact"/>
                    <w:jc w:val="center"/>
                    <w:rPr>
                      <w:rFonts w:hint="eastAsia"/>
                      <w:color w:val="auto"/>
                      <w:szCs w:val="21"/>
                      <w:lang w:val="en-US" w:eastAsia="zh-CN"/>
                    </w:rPr>
                  </w:pPr>
                </w:p>
              </w:tc>
              <w:tc>
                <w:tcPr>
                  <w:tcW w:w="945" w:type="dxa"/>
                  <w:vMerge w:val="continue"/>
                  <w:tcBorders>
                    <w:bottom w:val="single" w:color="auto" w:sz="4" w:space="0"/>
                  </w:tcBorders>
                  <w:vAlign w:val="center"/>
                </w:tcPr>
                <w:p>
                  <w:pPr>
                    <w:spacing w:line="240" w:lineRule="exact"/>
                    <w:jc w:val="center"/>
                    <w:rPr>
                      <w:rFonts w:hint="eastAsia"/>
                      <w:color w:val="auto"/>
                      <w:szCs w:val="21"/>
                      <w:lang w:eastAsia="zh-CN"/>
                    </w:rPr>
                  </w:pPr>
                </w:p>
              </w:tc>
              <w:tc>
                <w:tcPr>
                  <w:tcW w:w="3765" w:type="dxa"/>
                  <w:tcBorders>
                    <w:bottom w:val="single" w:color="auto" w:sz="4" w:space="0"/>
                  </w:tcBorders>
                  <w:vAlign w:val="center"/>
                </w:tcPr>
                <w:p>
                  <w:pPr>
                    <w:spacing w:line="240" w:lineRule="exact"/>
                    <w:jc w:val="center"/>
                    <w:rPr>
                      <w:rFonts w:hint="eastAsia"/>
                      <w:color w:val="auto"/>
                      <w:szCs w:val="21"/>
                      <w:lang w:eastAsia="zh-CN"/>
                    </w:rPr>
                  </w:pPr>
                  <w:r>
                    <w:rPr>
                      <w:rFonts w:hint="eastAsia"/>
                      <w:color w:val="auto"/>
                      <w:szCs w:val="21"/>
                      <w:lang w:eastAsia="zh-CN"/>
                    </w:rPr>
                    <w:t>污水管网</w:t>
                  </w:r>
                </w:p>
              </w:tc>
              <w:tc>
                <w:tcPr>
                  <w:tcW w:w="1380" w:type="dxa"/>
                  <w:vAlign w:val="center"/>
                </w:tcPr>
                <w:p>
                  <w:pPr>
                    <w:spacing w:line="240" w:lineRule="exact"/>
                    <w:jc w:val="center"/>
                    <w:rPr>
                      <w:rFonts w:hint="default"/>
                      <w:color w:val="auto"/>
                      <w:szCs w:val="21"/>
                      <w:lang w:val="en-US" w:eastAsia="zh-CN"/>
                    </w:rPr>
                  </w:pPr>
                  <w:r>
                    <w:rPr>
                      <w:rFonts w:hint="eastAsia"/>
                      <w:color w:val="auto"/>
                      <w:szCs w:val="21"/>
                      <w:lang w:val="en-US" w:eastAsia="zh-CN"/>
                    </w:rPr>
                    <w:t>0.5</w:t>
                  </w:r>
                </w:p>
              </w:tc>
              <w:tc>
                <w:tcPr>
                  <w:tcW w:w="1633" w:type="dxa"/>
                </w:tcPr>
                <w:p>
                  <w:pPr>
                    <w:spacing w:line="240" w:lineRule="exact"/>
                    <w:jc w:val="center"/>
                    <w:rPr>
                      <w:rFonts w:hint="eastAsia"/>
                      <w:color w:val="auto"/>
                      <w:szCs w:val="21"/>
                      <w:lang w:val="en-US" w:eastAsia="zh-CN"/>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Align w:val="center"/>
                </w:tcPr>
                <w:p>
                  <w:pPr>
                    <w:spacing w:line="240" w:lineRule="exact"/>
                    <w:jc w:val="center"/>
                    <w:rPr>
                      <w:rFonts w:hint="eastAsia" w:eastAsia="宋体"/>
                      <w:color w:val="auto"/>
                      <w:szCs w:val="21"/>
                      <w:lang w:eastAsia="zh-CN"/>
                    </w:rPr>
                  </w:pPr>
                  <w:r>
                    <w:rPr>
                      <w:rFonts w:hint="eastAsia"/>
                      <w:color w:val="auto"/>
                      <w:szCs w:val="21"/>
                      <w:lang w:eastAsia="zh-CN"/>
                    </w:rPr>
                    <w:t>3</w:t>
                  </w:r>
                </w:p>
              </w:tc>
              <w:tc>
                <w:tcPr>
                  <w:tcW w:w="945" w:type="dxa"/>
                  <w:vAlign w:val="center"/>
                </w:tcPr>
                <w:p>
                  <w:pPr>
                    <w:spacing w:line="240" w:lineRule="exact"/>
                    <w:jc w:val="center"/>
                    <w:rPr>
                      <w:color w:val="auto"/>
                      <w:szCs w:val="21"/>
                    </w:rPr>
                  </w:pPr>
                  <w:r>
                    <w:rPr>
                      <w:color w:val="auto"/>
                      <w:szCs w:val="21"/>
                    </w:rPr>
                    <w:t>固废</w:t>
                  </w:r>
                </w:p>
              </w:tc>
              <w:tc>
                <w:tcPr>
                  <w:tcW w:w="3765" w:type="dxa"/>
                  <w:vAlign w:val="center"/>
                </w:tcPr>
                <w:p>
                  <w:pPr>
                    <w:spacing w:line="240" w:lineRule="exact"/>
                    <w:jc w:val="center"/>
                    <w:rPr>
                      <w:color w:val="auto"/>
                    </w:rPr>
                  </w:pPr>
                  <w:r>
                    <w:rPr>
                      <w:rFonts w:hint="eastAsia"/>
                      <w:color w:val="auto"/>
                    </w:rPr>
                    <w:t>生活垃圾收集箱</w:t>
                  </w:r>
                </w:p>
              </w:tc>
              <w:tc>
                <w:tcPr>
                  <w:tcW w:w="1380" w:type="dxa"/>
                  <w:vAlign w:val="center"/>
                </w:tcPr>
                <w:p>
                  <w:pPr>
                    <w:spacing w:line="240" w:lineRule="exact"/>
                    <w:jc w:val="center"/>
                    <w:rPr>
                      <w:color w:val="auto"/>
                      <w:szCs w:val="21"/>
                    </w:rPr>
                  </w:pPr>
                  <w:r>
                    <w:rPr>
                      <w:rFonts w:hint="eastAsia"/>
                      <w:color w:val="auto"/>
                      <w:szCs w:val="21"/>
                    </w:rPr>
                    <w:t>0.2</w:t>
                  </w:r>
                </w:p>
              </w:tc>
              <w:tc>
                <w:tcPr>
                  <w:tcW w:w="1633" w:type="dxa"/>
                </w:tcPr>
                <w:p>
                  <w:pPr>
                    <w:spacing w:line="240" w:lineRule="exact"/>
                    <w:jc w:val="center"/>
                    <w:rPr>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Align w:val="center"/>
                </w:tcPr>
                <w:p>
                  <w:pPr>
                    <w:spacing w:line="240" w:lineRule="exact"/>
                    <w:jc w:val="center"/>
                    <w:rPr>
                      <w:rFonts w:hint="eastAsia" w:eastAsia="宋体"/>
                      <w:color w:val="auto"/>
                      <w:szCs w:val="21"/>
                      <w:lang w:eastAsia="zh-CN"/>
                    </w:rPr>
                  </w:pPr>
                  <w:r>
                    <w:rPr>
                      <w:rFonts w:hint="eastAsia"/>
                      <w:color w:val="auto"/>
                      <w:szCs w:val="21"/>
                      <w:lang w:val="en-US" w:eastAsia="zh-CN"/>
                    </w:rPr>
                    <w:t>4</w:t>
                  </w:r>
                </w:p>
              </w:tc>
              <w:tc>
                <w:tcPr>
                  <w:tcW w:w="945" w:type="dxa"/>
                  <w:vAlign w:val="center"/>
                </w:tcPr>
                <w:p>
                  <w:pPr>
                    <w:spacing w:line="240" w:lineRule="exact"/>
                    <w:jc w:val="center"/>
                    <w:rPr>
                      <w:color w:val="auto"/>
                      <w:szCs w:val="21"/>
                    </w:rPr>
                  </w:pPr>
                  <w:r>
                    <w:rPr>
                      <w:color w:val="auto"/>
                      <w:szCs w:val="21"/>
                    </w:rPr>
                    <w:t>噪声</w:t>
                  </w:r>
                </w:p>
              </w:tc>
              <w:tc>
                <w:tcPr>
                  <w:tcW w:w="3765" w:type="dxa"/>
                  <w:vAlign w:val="center"/>
                </w:tcPr>
                <w:p>
                  <w:pPr>
                    <w:spacing w:line="240" w:lineRule="exact"/>
                    <w:jc w:val="center"/>
                    <w:rPr>
                      <w:color w:val="auto"/>
                    </w:rPr>
                  </w:pPr>
                  <w:r>
                    <w:rPr>
                      <w:rFonts w:hint="eastAsia"/>
                      <w:color w:val="auto"/>
                    </w:rPr>
                    <w:t>减震垫、隔声罩</w:t>
                  </w:r>
                </w:p>
              </w:tc>
              <w:tc>
                <w:tcPr>
                  <w:tcW w:w="1380" w:type="dxa"/>
                  <w:vAlign w:val="center"/>
                </w:tcPr>
                <w:p>
                  <w:pPr>
                    <w:spacing w:line="240" w:lineRule="exact"/>
                    <w:jc w:val="center"/>
                    <w:rPr>
                      <w:rFonts w:hint="default" w:eastAsia="宋体"/>
                      <w:color w:val="auto"/>
                      <w:szCs w:val="21"/>
                      <w:lang w:val="en-US" w:eastAsia="zh-CN"/>
                    </w:rPr>
                  </w:pPr>
                  <w:r>
                    <w:rPr>
                      <w:rFonts w:hint="eastAsia"/>
                      <w:color w:val="auto"/>
                      <w:szCs w:val="21"/>
                      <w:lang w:val="en-US" w:eastAsia="zh-CN"/>
                    </w:rPr>
                    <w:t>2.5</w:t>
                  </w:r>
                </w:p>
              </w:tc>
              <w:tc>
                <w:tcPr>
                  <w:tcW w:w="1633" w:type="dxa"/>
                </w:tcPr>
                <w:p>
                  <w:pPr>
                    <w:spacing w:line="240" w:lineRule="exact"/>
                    <w:jc w:val="center"/>
                    <w:rPr>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1" w:hRule="atLeast"/>
                <w:jc w:val="center"/>
              </w:trPr>
              <w:tc>
                <w:tcPr>
                  <w:tcW w:w="696" w:type="dxa"/>
                  <w:vMerge w:val="continue"/>
                </w:tcPr>
                <w:p>
                  <w:pPr>
                    <w:spacing w:line="240" w:lineRule="exact"/>
                    <w:jc w:val="center"/>
                    <w:rPr>
                      <w:color w:val="auto"/>
                      <w:szCs w:val="21"/>
                    </w:rPr>
                  </w:pPr>
                </w:p>
              </w:tc>
              <w:tc>
                <w:tcPr>
                  <w:tcW w:w="652" w:type="dxa"/>
                  <w:vAlign w:val="center"/>
                </w:tcPr>
                <w:p>
                  <w:pPr>
                    <w:spacing w:line="240" w:lineRule="exact"/>
                    <w:jc w:val="center"/>
                    <w:rPr>
                      <w:rFonts w:hint="eastAsia" w:eastAsia="宋体"/>
                      <w:color w:val="auto"/>
                      <w:szCs w:val="21"/>
                      <w:lang w:val="en-US" w:eastAsia="zh-CN"/>
                    </w:rPr>
                  </w:pPr>
                  <w:r>
                    <w:rPr>
                      <w:rFonts w:hint="eastAsia"/>
                      <w:color w:val="auto"/>
                      <w:szCs w:val="21"/>
                      <w:lang w:val="en-US" w:eastAsia="zh-CN"/>
                    </w:rPr>
                    <w:t>5</w:t>
                  </w:r>
                </w:p>
              </w:tc>
              <w:tc>
                <w:tcPr>
                  <w:tcW w:w="945" w:type="dxa"/>
                  <w:vAlign w:val="center"/>
                </w:tcPr>
                <w:p>
                  <w:pPr>
                    <w:spacing w:line="240" w:lineRule="exact"/>
                    <w:jc w:val="center"/>
                    <w:rPr>
                      <w:color w:val="auto"/>
                      <w:szCs w:val="21"/>
                    </w:rPr>
                  </w:pPr>
                  <w:r>
                    <w:rPr>
                      <w:rFonts w:hint="eastAsia"/>
                      <w:color w:val="auto"/>
                      <w:szCs w:val="21"/>
                    </w:rPr>
                    <w:t>危废</w:t>
                  </w:r>
                </w:p>
              </w:tc>
              <w:tc>
                <w:tcPr>
                  <w:tcW w:w="3765" w:type="dxa"/>
                  <w:vAlign w:val="center"/>
                </w:tcPr>
                <w:p>
                  <w:pPr>
                    <w:spacing w:line="240" w:lineRule="exact"/>
                    <w:jc w:val="center"/>
                    <w:rPr>
                      <w:color w:val="auto"/>
                    </w:rPr>
                  </w:pPr>
                  <w:r>
                    <w:rPr>
                      <w:rFonts w:hint="eastAsia"/>
                      <w:color w:val="auto"/>
                    </w:rPr>
                    <w:t>危废暂存间</w:t>
                  </w:r>
                </w:p>
              </w:tc>
              <w:tc>
                <w:tcPr>
                  <w:tcW w:w="1380" w:type="dxa"/>
                  <w:vAlign w:val="center"/>
                </w:tcPr>
                <w:p>
                  <w:pPr>
                    <w:spacing w:line="240" w:lineRule="exact"/>
                    <w:jc w:val="center"/>
                    <w:rPr>
                      <w:color w:val="auto"/>
                      <w:szCs w:val="21"/>
                    </w:rPr>
                  </w:pPr>
                  <w:r>
                    <w:rPr>
                      <w:rFonts w:hint="eastAsia"/>
                      <w:color w:val="auto"/>
                      <w:szCs w:val="21"/>
                    </w:rPr>
                    <w:t>1</w:t>
                  </w:r>
                </w:p>
              </w:tc>
              <w:tc>
                <w:tcPr>
                  <w:tcW w:w="1633" w:type="dxa"/>
                </w:tcPr>
                <w:p>
                  <w:pPr>
                    <w:spacing w:line="240" w:lineRule="exact"/>
                    <w:jc w:val="center"/>
                    <w:rPr>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4" w:hRule="atLeast"/>
                <w:jc w:val="center"/>
              </w:trPr>
              <w:tc>
                <w:tcPr>
                  <w:tcW w:w="6058" w:type="dxa"/>
                  <w:gridSpan w:val="4"/>
                </w:tcPr>
                <w:p>
                  <w:pPr>
                    <w:spacing w:line="240" w:lineRule="exact"/>
                    <w:jc w:val="center"/>
                    <w:rPr>
                      <w:color w:val="auto"/>
                      <w:szCs w:val="21"/>
                    </w:rPr>
                  </w:pPr>
                  <w:r>
                    <w:rPr>
                      <w:color w:val="auto"/>
                      <w:szCs w:val="21"/>
                    </w:rPr>
                    <w:t>合计</w:t>
                  </w:r>
                </w:p>
              </w:tc>
              <w:tc>
                <w:tcPr>
                  <w:tcW w:w="1380" w:type="dxa"/>
                  <w:vAlign w:val="center"/>
                </w:tcPr>
                <w:p>
                  <w:pPr>
                    <w:spacing w:line="240" w:lineRule="exact"/>
                    <w:jc w:val="center"/>
                    <w:rPr>
                      <w:color w:val="auto"/>
                      <w:szCs w:val="21"/>
                    </w:rPr>
                  </w:pPr>
                  <w:r>
                    <w:rPr>
                      <w:rFonts w:hint="eastAsia"/>
                      <w:color w:val="auto"/>
                      <w:szCs w:val="21"/>
                    </w:rPr>
                    <w:t>16.7</w:t>
                  </w:r>
                </w:p>
              </w:tc>
              <w:tc>
                <w:tcPr>
                  <w:tcW w:w="1633" w:type="dxa"/>
                </w:tcPr>
                <w:p>
                  <w:pPr>
                    <w:spacing w:line="240" w:lineRule="exact"/>
                    <w:jc w:val="center"/>
                    <w:rPr>
                      <w:color w:val="auto"/>
                      <w:szCs w:val="21"/>
                    </w:rPr>
                  </w:pPr>
                </w:p>
              </w:tc>
            </w:tr>
          </w:tbl>
          <w:p>
            <w:pPr>
              <w:pStyle w:val="5"/>
              <w:rPr>
                <w:rFonts w:hAnsi="宋体"/>
                <w:color w:val="auto"/>
                <w:kern w:val="2"/>
                <w:szCs w:val="28"/>
              </w:rPr>
            </w:pPr>
            <w:r>
              <w:rPr>
                <w:rFonts w:hint="eastAsia" w:hAnsi="宋体"/>
                <w:color w:val="auto"/>
                <w:kern w:val="2"/>
                <w:szCs w:val="28"/>
              </w:rPr>
              <w:t>9环境管理要求</w:t>
            </w:r>
          </w:p>
          <w:p>
            <w:pPr>
              <w:spacing w:line="520" w:lineRule="exact"/>
              <w:ind w:firstLine="560" w:firstLineChars="200"/>
              <w:rPr>
                <w:color w:val="auto"/>
                <w:sz w:val="28"/>
                <w:szCs w:val="28"/>
              </w:rPr>
            </w:pPr>
            <w:r>
              <w:rPr>
                <w:rFonts w:hint="eastAsia"/>
                <w:color w:val="auto"/>
                <w:sz w:val="28"/>
                <w:szCs w:val="28"/>
              </w:rPr>
              <w:t>加强企业管理是控制环境污染的必要手段。运营过程中应设有专职或兼职的环境管理人员一名，从事运营期间的环境管理工作，随时管理与监督施工期的环境问题，并及时向建设单位及环境主管部门提供反馈信息，以保证预期的社会经济效果和各种环境保护措施的有效实施。环境管理实施细则：</w:t>
            </w:r>
          </w:p>
          <w:p>
            <w:pPr>
              <w:spacing w:line="520" w:lineRule="exact"/>
              <w:ind w:firstLine="560" w:firstLineChars="200"/>
              <w:rPr>
                <w:color w:val="auto"/>
                <w:sz w:val="28"/>
                <w:szCs w:val="28"/>
              </w:rPr>
            </w:pPr>
            <w:r>
              <w:rPr>
                <w:rFonts w:hint="eastAsia"/>
                <w:color w:val="auto"/>
                <w:sz w:val="28"/>
                <w:szCs w:val="28"/>
              </w:rPr>
              <w:t>（1）贯彻执行环保法规和有关文件及标准。</w:t>
            </w:r>
          </w:p>
          <w:p>
            <w:pPr>
              <w:spacing w:line="520" w:lineRule="exact"/>
              <w:ind w:firstLine="560" w:firstLineChars="200"/>
              <w:rPr>
                <w:color w:val="auto"/>
                <w:sz w:val="28"/>
                <w:szCs w:val="28"/>
              </w:rPr>
            </w:pPr>
            <w:r>
              <w:rPr>
                <w:rFonts w:hint="eastAsia"/>
                <w:color w:val="auto"/>
                <w:sz w:val="28"/>
                <w:szCs w:val="28"/>
              </w:rPr>
              <w:t>（2）制定本项目的环境保护管理规章制度。</w:t>
            </w:r>
          </w:p>
          <w:p>
            <w:pPr>
              <w:spacing w:line="520" w:lineRule="exact"/>
              <w:ind w:firstLine="560" w:firstLineChars="200"/>
              <w:rPr>
                <w:color w:val="auto"/>
                <w:sz w:val="28"/>
                <w:szCs w:val="28"/>
              </w:rPr>
            </w:pPr>
            <w:r>
              <w:rPr>
                <w:rFonts w:hint="eastAsia"/>
                <w:color w:val="auto"/>
                <w:sz w:val="28"/>
                <w:szCs w:val="28"/>
              </w:rPr>
              <w:t>（3）组织本项目的环境监测。</w:t>
            </w:r>
          </w:p>
          <w:p>
            <w:pPr>
              <w:spacing w:line="520" w:lineRule="exact"/>
              <w:ind w:firstLine="560" w:firstLineChars="200"/>
              <w:rPr>
                <w:color w:val="auto"/>
                <w:sz w:val="28"/>
                <w:szCs w:val="28"/>
              </w:rPr>
            </w:pPr>
            <w:r>
              <w:rPr>
                <w:rFonts w:hint="eastAsia"/>
                <w:color w:val="auto"/>
                <w:sz w:val="28"/>
                <w:szCs w:val="28"/>
              </w:rPr>
              <w:t>（4）定期检查本项目环境保护设施的运行情况是否正常。</w:t>
            </w:r>
          </w:p>
          <w:p>
            <w:pPr>
              <w:spacing w:line="520" w:lineRule="exact"/>
              <w:ind w:firstLine="560" w:firstLineChars="200"/>
              <w:rPr>
                <w:color w:val="auto"/>
                <w:sz w:val="28"/>
                <w:szCs w:val="28"/>
              </w:rPr>
            </w:pPr>
            <w:r>
              <w:rPr>
                <w:rFonts w:hint="eastAsia"/>
                <w:color w:val="auto"/>
                <w:sz w:val="28"/>
                <w:szCs w:val="28"/>
              </w:rPr>
              <w:t>（5）加强安全生产教育。</w:t>
            </w:r>
          </w:p>
          <w:p>
            <w:pPr>
              <w:pStyle w:val="5"/>
              <w:rPr>
                <w:rFonts w:hAnsi="宋体"/>
                <w:color w:val="auto"/>
                <w:kern w:val="2"/>
                <w:szCs w:val="28"/>
              </w:rPr>
            </w:pPr>
            <w:r>
              <w:rPr>
                <w:rFonts w:hint="eastAsia" w:hAnsi="宋体"/>
                <w:color w:val="auto"/>
                <w:kern w:val="2"/>
                <w:szCs w:val="28"/>
              </w:rPr>
              <w:t>10竣工环保验收</w:t>
            </w:r>
          </w:p>
          <w:p>
            <w:pPr>
              <w:spacing w:line="520" w:lineRule="exact"/>
              <w:ind w:firstLine="560" w:firstLineChars="200"/>
              <w:rPr>
                <w:color w:val="auto"/>
                <w:sz w:val="28"/>
                <w:szCs w:val="28"/>
              </w:rPr>
            </w:pPr>
            <w:r>
              <w:rPr>
                <w:rFonts w:hint="eastAsia" w:hAnsi="宋体"/>
                <w:bCs/>
                <w:color w:val="auto"/>
                <w:sz w:val="28"/>
                <w:szCs w:val="28"/>
              </w:rPr>
              <w:t>建设项目需要配套建设的环境保护措施，必须与主体工程同时设计、同时施工、同时投产使用。建设项目竣工后，建设单位应当按照国务院环境保护行政主管部门规定的标准和程序，对配套建设的环境保护设施进行验收，编制验收报告。建设单位在环境保护设施验收过程中，应当如实查验、监测、记录建设项目环境保护设施的建设和调试情况，不得弄虚作假。除按照国家规定需要保密的情形外，建设单位应当依法向社会公开验收报告。环保设施三同时验收详见表24。</w:t>
            </w:r>
          </w:p>
          <w:p>
            <w:pPr>
              <w:ind w:firstLine="480" w:firstLineChars="200"/>
              <w:rPr>
                <w:rFonts w:ascii="黑体" w:eastAsia="黑体"/>
                <w:color w:val="auto"/>
                <w:sz w:val="24"/>
              </w:rPr>
            </w:pPr>
            <w:r>
              <w:rPr>
                <w:rFonts w:eastAsia="黑体"/>
                <w:color w:val="auto"/>
                <w:sz w:val="24"/>
              </w:rPr>
              <w:t>表</w:t>
            </w:r>
            <w:r>
              <w:rPr>
                <w:rFonts w:hint="eastAsia" w:eastAsia="黑体"/>
                <w:color w:val="auto"/>
                <w:sz w:val="24"/>
              </w:rPr>
              <w:t xml:space="preserve">25                </w:t>
            </w:r>
            <w:r>
              <w:rPr>
                <w:rFonts w:hint="eastAsia" w:ascii="黑体" w:eastAsia="黑体"/>
                <w:color w:val="auto"/>
                <w:sz w:val="24"/>
              </w:rPr>
              <w:t>环保设施“三同时”验收表</w:t>
            </w:r>
          </w:p>
          <w:tbl>
            <w:tblPr>
              <w:tblStyle w:val="24"/>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492"/>
              <w:gridCol w:w="504"/>
              <w:gridCol w:w="1315"/>
              <w:gridCol w:w="2384"/>
              <w:gridCol w:w="4376"/>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color w:val="auto"/>
                      <w:szCs w:val="21"/>
                    </w:rPr>
                    <w:t>序号</w:t>
                  </w:r>
                </w:p>
              </w:tc>
              <w:tc>
                <w:tcPr>
                  <w:tcW w:w="1000" w:type="pct"/>
                  <w:gridSpan w:val="2"/>
                  <w:vAlign w:val="center"/>
                </w:tcPr>
                <w:p>
                  <w:pPr>
                    <w:spacing w:line="300" w:lineRule="exact"/>
                    <w:jc w:val="center"/>
                    <w:rPr>
                      <w:color w:val="auto"/>
                      <w:szCs w:val="21"/>
                    </w:rPr>
                  </w:pPr>
                  <w:r>
                    <w:rPr>
                      <w:color w:val="auto"/>
                      <w:szCs w:val="21"/>
                    </w:rPr>
                    <w:t>治理项目</w:t>
                  </w:r>
                </w:p>
              </w:tc>
              <w:tc>
                <w:tcPr>
                  <w:tcW w:w="1314" w:type="pct"/>
                  <w:vAlign w:val="center"/>
                </w:tcPr>
                <w:p>
                  <w:pPr>
                    <w:spacing w:line="300" w:lineRule="exact"/>
                    <w:jc w:val="center"/>
                    <w:rPr>
                      <w:color w:val="auto"/>
                      <w:szCs w:val="21"/>
                    </w:rPr>
                  </w:pPr>
                  <w:r>
                    <w:rPr>
                      <w:color w:val="auto"/>
                      <w:szCs w:val="21"/>
                    </w:rPr>
                    <w:t>措施主要内容</w:t>
                  </w:r>
                </w:p>
              </w:tc>
              <w:tc>
                <w:tcPr>
                  <w:tcW w:w="2413" w:type="pct"/>
                  <w:vAlign w:val="center"/>
                </w:tcPr>
                <w:p>
                  <w:pPr>
                    <w:spacing w:line="300" w:lineRule="exact"/>
                    <w:jc w:val="center"/>
                    <w:rPr>
                      <w:color w:val="auto"/>
                      <w:szCs w:val="21"/>
                    </w:rPr>
                  </w:pPr>
                  <w:r>
                    <w:rPr>
                      <w:color w:val="auto"/>
                      <w:szCs w:val="21"/>
                    </w:rPr>
                    <w:t>执行标准</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color w:val="auto"/>
                      <w:szCs w:val="21"/>
                    </w:rPr>
                    <w:t>1</w:t>
                  </w:r>
                </w:p>
              </w:tc>
              <w:tc>
                <w:tcPr>
                  <w:tcW w:w="1000" w:type="pct"/>
                  <w:gridSpan w:val="2"/>
                  <w:vAlign w:val="center"/>
                </w:tcPr>
                <w:p>
                  <w:pPr>
                    <w:spacing w:line="300" w:lineRule="exact"/>
                    <w:jc w:val="center"/>
                    <w:rPr>
                      <w:color w:val="auto"/>
                      <w:szCs w:val="21"/>
                    </w:rPr>
                  </w:pPr>
                  <w:r>
                    <w:rPr>
                      <w:color w:val="auto"/>
                      <w:szCs w:val="21"/>
                    </w:rPr>
                    <w:t>噪声防治</w:t>
                  </w:r>
                </w:p>
              </w:tc>
              <w:tc>
                <w:tcPr>
                  <w:tcW w:w="1314" w:type="pct"/>
                  <w:vAlign w:val="center"/>
                </w:tcPr>
                <w:p>
                  <w:pPr>
                    <w:spacing w:line="300" w:lineRule="exact"/>
                    <w:jc w:val="center"/>
                    <w:rPr>
                      <w:color w:val="auto"/>
                      <w:szCs w:val="21"/>
                    </w:rPr>
                  </w:pPr>
                  <w:r>
                    <w:rPr>
                      <w:rFonts w:hint="eastAsia"/>
                      <w:color w:val="auto"/>
                      <w:szCs w:val="21"/>
                    </w:rPr>
                    <w:t>减震垫</w:t>
                  </w:r>
                  <w:r>
                    <w:rPr>
                      <w:rFonts w:hint="eastAsia"/>
                      <w:color w:val="auto"/>
                      <w:szCs w:val="21"/>
                      <w:lang w:eastAsia="zh-CN"/>
                    </w:rPr>
                    <w:t>、</w:t>
                  </w:r>
                  <w:r>
                    <w:rPr>
                      <w:color w:val="auto"/>
                      <w:szCs w:val="21"/>
                    </w:rPr>
                    <w:t>隔声罩</w:t>
                  </w:r>
                </w:p>
              </w:tc>
              <w:tc>
                <w:tcPr>
                  <w:tcW w:w="2413" w:type="pct"/>
                  <w:vAlign w:val="center"/>
                </w:tcPr>
                <w:p>
                  <w:pPr>
                    <w:spacing w:line="300" w:lineRule="exact"/>
                    <w:jc w:val="center"/>
                    <w:rPr>
                      <w:color w:val="auto"/>
                      <w:szCs w:val="21"/>
                    </w:rPr>
                  </w:pPr>
                  <w:r>
                    <w:rPr>
                      <w:color w:val="auto"/>
                      <w:szCs w:val="21"/>
                    </w:rPr>
                    <w:t>满足《</w:t>
                  </w:r>
                  <w:r>
                    <w:rPr>
                      <w:rFonts w:hint="eastAsia"/>
                      <w:color w:val="auto"/>
                      <w:szCs w:val="21"/>
                    </w:rPr>
                    <w:t>工业企业厂界环境噪声排放标准</w:t>
                  </w:r>
                  <w:r>
                    <w:rPr>
                      <w:color w:val="auto"/>
                      <w:szCs w:val="21"/>
                    </w:rPr>
                    <w:t>》（GB</w:t>
                  </w:r>
                  <w:r>
                    <w:rPr>
                      <w:rFonts w:hint="eastAsia"/>
                      <w:color w:val="auto"/>
                      <w:szCs w:val="21"/>
                    </w:rPr>
                    <w:t>12348</w:t>
                  </w:r>
                  <w:r>
                    <w:rPr>
                      <w:color w:val="auto"/>
                      <w:szCs w:val="21"/>
                    </w:rPr>
                    <w:t>—2008）</w:t>
                  </w:r>
                  <w:r>
                    <w:rPr>
                      <w:rFonts w:hint="eastAsia"/>
                      <w:color w:val="auto"/>
                      <w:szCs w:val="21"/>
                      <w:lang w:val="en-US" w:eastAsia="zh-CN"/>
                    </w:rPr>
                    <w:t>3</w:t>
                  </w:r>
                  <w:r>
                    <w:rPr>
                      <w:color w:val="auto"/>
                      <w:szCs w:val="21"/>
                    </w:rPr>
                    <w:t>类标准</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2</w:t>
                  </w:r>
                </w:p>
              </w:tc>
              <w:tc>
                <w:tcPr>
                  <w:tcW w:w="275" w:type="pct"/>
                  <w:vMerge w:val="restart"/>
                  <w:tcBorders>
                    <w:right w:val="single" w:color="auto" w:sz="4" w:space="0"/>
                  </w:tcBorders>
                  <w:vAlign w:val="center"/>
                </w:tcPr>
                <w:p>
                  <w:pPr>
                    <w:spacing w:line="300" w:lineRule="exact"/>
                    <w:jc w:val="center"/>
                    <w:rPr>
                      <w:color w:val="auto"/>
                      <w:szCs w:val="21"/>
                    </w:rPr>
                  </w:pPr>
                  <w:r>
                    <w:rPr>
                      <w:rFonts w:hint="eastAsia"/>
                      <w:color w:val="auto"/>
                      <w:szCs w:val="21"/>
                    </w:rPr>
                    <w:t>废气</w:t>
                  </w:r>
                </w:p>
              </w:tc>
              <w:tc>
                <w:tcPr>
                  <w:tcW w:w="725" w:type="pct"/>
                  <w:tcBorders>
                    <w:left w:val="single" w:color="auto" w:sz="4" w:space="0"/>
                    <w:bottom w:val="single" w:color="auto" w:sz="4" w:space="0"/>
                  </w:tcBorders>
                  <w:vAlign w:val="center"/>
                </w:tcPr>
                <w:p>
                  <w:pPr>
                    <w:spacing w:line="300" w:lineRule="exact"/>
                    <w:jc w:val="center"/>
                    <w:rPr>
                      <w:color w:val="auto"/>
                      <w:szCs w:val="21"/>
                    </w:rPr>
                  </w:pPr>
                  <w:r>
                    <w:rPr>
                      <w:rFonts w:hint="eastAsia"/>
                      <w:color w:val="auto"/>
                      <w:szCs w:val="21"/>
                    </w:rPr>
                    <w:t>非甲烷总烃</w:t>
                  </w:r>
                </w:p>
              </w:tc>
              <w:tc>
                <w:tcPr>
                  <w:tcW w:w="1314" w:type="pct"/>
                  <w:tcBorders>
                    <w:bottom w:val="single" w:color="auto" w:sz="4" w:space="0"/>
                  </w:tcBorders>
                  <w:vAlign w:val="center"/>
                </w:tcPr>
                <w:p>
                  <w:pPr>
                    <w:spacing w:line="240" w:lineRule="exact"/>
                    <w:jc w:val="center"/>
                    <w:rPr>
                      <w:rFonts w:ascii="宋体" w:hAnsi="宋体" w:cs="宋体"/>
                      <w:color w:val="auto"/>
                      <w:kern w:val="0"/>
                      <w:szCs w:val="21"/>
                    </w:rPr>
                  </w:pPr>
                  <w:r>
                    <w:rPr>
                      <w:rFonts w:hint="eastAsia"/>
                      <w:color w:val="auto"/>
                      <w:szCs w:val="21"/>
                    </w:rPr>
                    <w:t>集气罩+光催化氧化装置+活性炭吸附装置+15m排气筒</w:t>
                  </w:r>
                </w:p>
              </w:tc>
              <w:tc>
                <w:tcPr>
                  <w:tcW w:w="2413" w:type="pct"/>
                  <w:tcBorders>
                    <w:bottom w:val="single" w:color="auto" w:sz="4" w:space="0"/>
                  </w:tcBorders>
                  <w:vAlign w:val="center"/>
                </w:tcPr>
                <w:p>
                  <w:pPr>
                    <w:spacing w:line="300" w:lineRule="exact"/>
                    <w:jc w:val="center"/>
                    <w:rPr>
                      <w:color w:val="auto"/>
                      <w:szCs w:val="21"/>
                    </w:rPr>
                  </w:pPr>
                  <w:r>
                    <w:rPr>
                      <w:rFonts w:hint="eastAsia"/>
                      <w:color w:val="auto"/>
                    </w:rPr>
                    <w:t>《合成树脂工业污染物排放标准》（GB31572-2015）表4浓度限值，非甲烷总烃浓度100mg/m</w:t>
                  </w:r>
                  <w:r>
                    <w:rPr>
                      <w:rFonts w:hint="eastAsia"/>
                      <w:color w:val="auto"/>
                      <w:vertAlign w:val="superscript"/>
                    </w:rPr>
                    <w:t>3</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3</w:t>
                  </w:r>
                </w:p>
              </w:tc>
              <w:tc>
                <w:tcPr>
                  <w:tcW w:w="275" w:type="pct"/>
                  <w:vMerge w:val="continue"/>
                  <w:tcBorders>
                    <w:right w:val="single" w:color="auto" w:sz="4" w:space="0"/>
                  </w:tcBorders>
                  <w:vAlign w:val="center"/>
                </w:tcPr>
                <w:p>
                  <w:pPr>
                    <w:spacing w:line="300" w:lineRule="exact"/>
                    <w:jc w:val="center"/>
                    <w:rPr>
                      <w:color w:val="auto"/>
                      <w:szCs w:val="21"/>
                    </w:rPr>
                  </w:pPr>
                </w:p>
              </w:tc>
              <w:tc>
                <w:tcPr>
                  <w:tcW w:w="725"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color w:val="auto"/>
                      <w:szCs w:val="21"/>
                    </w:rPr>
                  </w:pPr>
                  <w:r>
                    <w:rPr>
                      <w:rFonts w:hint="eastAsia"/>
                      <w:color w:val="auto"/>
                      <w:szCs w:val="21"/>
                    </w:rPr>
                    <w:t>油烟</w:t>
                  </w:r>
                </w:p>
              </w:tc>
              <w:tc>
                <w:tcPr>
                  <w:tcW w:w="1314" w:type="pc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color w:val="auto"/>
                      <w:kern w:val="0"/>
                      <w:szCs w:val="21"/>
                    </w:rPr>
                  </w:pPr>
                  <w:r>
                    <w:rPr>
                      <w:rFonts w:hint="eastAsia" w:ascii="宋体" w:hAnsi="宋体" w:cs="宋体"/>
                      <w:color w:val="auto"/>
                      <w:kern w:val="0"/>
                      <w:szCs w:val="21"/>
                    </w:rPr>
                    <w:t>油烟净化装置</w:t>
                  </w:r>
                </w:p>
              </w:tc>
              <w:tc>
                <w:tcPr>
                  <w:tcW w:w="2413" w:type="pct"/>
                  <w:tcBorders>
                    <w:top w:val="single" w:color="auto" w:sz="4" w:space="0"/>
                    <w:left w:val="single" w:color="auto" w:sz="4" w:space="0"/>
                    <w:bottom w:val="single" w:color="auto" w:sz="4" w:space="0"/>
                  </w:tcBorders>
                  <w:vAlign w:val="center"/>
                </w:tcPr>
                <w:p>
                  <w:pPr>
                    <w:spacing w:line="300" w:lineRule="exact"/>
                    <w:jc w:val="center"/>
                    <w:rPr>
                      <w:color w:val="auto"/>
                      <w:szCs w:val="21"/>
                    </w:rPr>
                  </w:pPr>
                  <w:r>
                    <w:rPr>
                      <w:color w:val="auto"/>
                      <w:szCs w:val="21"/>
                    </w:rPr>
                    <w:t>《</w:t>
                  </w:r>
                  <w:r>
                    <w:rPr>
                      <w:rFonts w:hint="eastAsia"/>
                      <w:color w:val="auto"/>
                      <w:szCs w:val="21"/>
                    </w:rPr>
                    <w:t>饮食业油烟排放标准（试行）</w:t>
                  </w:r>
                  <w:r>
                    <w:rPr>
                      <w:color w:val="auto"/>
                      <w:szCs w:val="21"/>
                    </w:rPr>
                    <w:t>》</w:t>
                  </w:r>
                  <w:r>
                    <w:rPr>
                      <w:rFonts w:hint="eastAsia"/>
                      <w:color w:val="auto"/>
                      <w:szCs w:val="21"/>
                    </w:rPr>
                    <w:t>（</w:t>
                  </w:r>
                  <w:r>
                    <w:rPr>
                      <w:color w:val="auto"/>
                      <w:szCs w:val="21"/>
                    </w:rPr>
                    <w:t>GB</w:t>
                  </w:r>
                  <w:r>
                    <w:rPr>
                      <w:rFonts w:hint="eastAsia"/>
                      <w:color w:val="auto"/>
                      <w:szCs w:val="21"/>
                    </w:rPr>
                    <w:t>18483-2001）小型表2中标准值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4</w:t>
                  </w:r>
                </w:p>
              </w:tc>
              <w:tc>
                <w:tcPr>
                  <w:tcW w:w="275" w:type="pct"/>
                  <w:vMerge w:val="restart"/>
                  <w:tcBorders>
                    <w:right w:val="single" w:color="auto" w:sz="4" w:space="0"/>
                  </w:tcBorders>
                  <w:vAlign w:val="center"/>
                </w:tcPr>
                <w:p>
                  <w:pPr>
                    <w:spacing w:line="300" w:lineRule="exact"/>
                    <w:jc w:val="center"/>
                    <w:rPr>
                      <w:color w:val="auto"/>
                      <w:szCs w:val="21"/>
                    </w:rPr>
                  </w:pPr>
                  <w:r>
                    <w:rPr>
                      <w:rFonts w:hint="eastAsia"/>
                      <w:color w:val="auto"/>
                      <w:szCs w:val="21"/>
                    </w:rPr>
                    <w:t>废水</w:t>
                  </w:r>
                </w:p>
              </w:tc>
              <w:tc>
                <w:tcPr>
                  <w:tcW w:w="725"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color w:val="auto"/>
                      <w:szCs w:val="21"/>
                    </w:rPr>
                  </w:pPr>
                  <w:r>
                    <w:rPr>
                      <w:rFonts w:hint="eastAsia"/>
                      <w:color w:val="auto"/>
                      <w:szCs w:val="21"/>
                    </w:rPr>
                    <w:t>生产废水</w:t>
                  </w:r>
                </w:p>
              </w:tc>
              <w:tc>
                <w:tcPr>
                  <w:tcW w:w="1314" w:type="pct"/>
                  <w:tcBorders>
                    <w:top w:val="single" w:color="auto" w:sz="4" w:space="0"/>
                    <w:left w:val="single" w:color="auto" w:sz="4" w:space="0"/>
                    <w:right w:val="single" w:color="auto" w:sz="4" w:space="0"/>
                  </w:tcBorders>
                  <w:vAlign w:val="center"/>
                </w:tcPr>
                <w:p>
                  <w:pPr>
                    <w:spacing w:line="240" w:lineRule="exact"/>
                    <w:jc w:val="center"/>
                    <w:rPr>
                      <w:color w:val="auto"/>
                      <w:szCs w:val="21"/>
                    </w:rPr>
                  </w:pPr>
                  <w:r>
                    <w:rPr>
                      <w:rFonts w:hint="eastAsia"/>
                      <w:color w:val="auto"/>
                      <w:szCs w:val="21"/>
                    </w:rPr>
                    <w:t>冷却塔</w:t>
                  </w:r>
                </w:p>
              </w:tc>
              <w:tc>
                <w:tcPr>
                  <w:tcW w:w="2413" w:type="pct"/>
                  <w:tcBorders>
                    <w:top w:val="single" w:color="auto" w:sz="4" w:space="0"/>
                    <w:left w:val="single" w:color="auto" w:sz="4" w:space="0"/>
                  </w:tcBorders>
                  <w:vAlign w:val="center"/>
                </w:tcPr>
                <w:p>
                  <w:pPr>
                    <w:spacing w:line="300" w:lineRule="exact"/>
                    <w:jc w:val="center"/>
                    <w:rPr>
                      <w:color w:val="auto"/>
                      <w:szCs w:val="21"/>
                    </w:rPr>
                  </w:pPr>
                  <w:r>
                    <w:rPr>
                      <w:rFonts w:hint="eastAsia"/>
                      <w:color w:val="auto"/>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5</w:t>
                  </w:r>
                </w:p>
              </w:tc>
              <w:tc>
                <w:tcPr>
                  <w:tcW w:w="275" w:type="pct"/>
                  <w:vMerge w:val="continue"/>
                  <w:tcBorders>
                    <w:right w:val="single" w:color="auto" w:sz="4" w:space="0"/>
                  </w:tcBorders>
                  <w:vAlign w:val="center"/>
                </w:tcPr>
                <w:p>
                  <w:pPr>
                    <w:spacing w:line="300" w:lineRule="exact"/>
                    <w:jc w:val="center"/>
                    <w:rPr>
                      <w:color w:val="auto"/>
                      <w:szCs w:val="21"/>
                    </w:rPr>
                  </w:pPr>
                </w:p>
              </w:tc>
              <w:tc>
                <w:tcPr>
                  <w:tcW w:w="725" w:type="pct"/>
                  <w:tcBorders>
                    <w:top w:val="single" w:color="auto" w:sz="4" w:space="0"/>
                    <w:left w:val="single" w:color="auto" w:sz="4" w:space="0"/>
                  </w:tcBorders>
                  <w:vAlign w:val="center"/>
                </w:tcPr>
                <w:p>
                  <w:pPr>
                    <w:spacing w:line="300" w:lineRule="exact"/>
                    <w:jc w:val="center"/>
                    <w:rPr>
                      <w:color w:val="auto"/>
                      <w:szCs w:val="21"/>
                    </w:rPr>
                  </w:pPr>
                  <w:r>
                    <w:rPr>
                      <w:rFonts w:hint="eastAsia"/>
                      <w:color w:val="auto"/>
                      <w:szCs w:val="21"/>
                    </w:rPr>
                    <w:t>生活污水、餐饮废水</w:t>
                  </w:r>
                </w:p>
              </w:tc>
              <w:tc>
                <w:tcPr>
                  <w:tcW w:w="1314" w:type="pct"/>
                  <w:vAlign w:val="center"/>
                </w:tcPr>
                <w:p>
                  <w:pPr>
                    <w:spacing w:line="240" w:lineRule="exact"/>
                    <w:jc w:val="center"/>
                    <w:rPr>
                      <w:color w:val="auto"/>
                      <w:szCs w:val="21"/>
                    </w:rPr>
                  </w:pPr>
                  <w:r>
                    <w:rPr>
                      <w:rFonts w:hint="eastAsia"/>
                      <w:color w:val="auto"/>
                      <w:szCs w:val="21"/>
                    </w:rPr>
                    <w:t>排入管网</w:t>
                  </w:r>
                </w:p>
              </w:tc>
              <w:tc>
                <w:tcPr>
                  <w:tcW w:w="2413" w:type="pct"/>
                  <w:tcBorders>
                    <w:top w:val="single" w:color="auto" w:sz="4" w:space="0"/>
                  </w:tcBorders>
                  <w:vAlign w:val="center"/>
                </w:tcPr>
                <w:p>
                  <w:pPr>
                    <w:spacing w:line="300" w:lineRule="exact"/>
                    <w:jc w:val="center"/>
                    <w:rPr>
                      <w:color w:val="auto"/>
                      <w:szCs w:val="21"/>
                    </w:rPr>
                  </w:pPr>
                  <w:r>
                    <w:rPr>
                      <w:rFonts w:hint="eastAsia"/>
                      <w:color w:val="auto"/>
                      <w:kern w:val="0"/>
                    </w:rPr>
                    <w:t>《污水排入城镇下水道水质标准》（GB/T31962-2015）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6</w:t>
                  </w:r>
                </w:p>
              </w:tc>
              <w:tc>
                <w:tcPr>
                  <w:tcW w:w="278" w:type="pct"/>
                  <w:vMerge w:val="restart"/>
                  <w:tcBorders>
                    <w:right w:val="single" w:color="auto" w:sz="4" w:space="0"/>
                  </w:tcBorders>
                  <w:vAlign w:val="center"/>
                </w:tcPr>
                <w:p>
                  <w:pPr>
                    <w:spacing w:line="300" w:lineRule="exact"/>
                    <w:jc w:val="center"/>
                    <w:rPr>
                      <w:color w:val="auto"/>
                      <w:szCs w:val="21"/>
                    </w:rPr>
                  </w:pPr>
                  <w:r>
                    <w:rPr>
                      <w:color w:val="auto"/>
                      <w:szCs w:val="21"/>
                    </w:rPr>
                    <w:t>固废防治</w:t>
                  </w:r>
                </w:p>
              </w:tc>
              <w:tc>
                <w:tcPr>
                  <w:tcW w:w="721" w:type="pct"/>
                  <w:tcBorders>
                    <w:left w:val="single" w:color="auto" w:sz="4" w:space="0"/>
                  </w:tcBorders>
                  <w:vAlign w:val="center"/>
                </w:tcPr>
                <w:p>
                  <w:pPr>
                    <w:spacing w:line="300" w:lineRule="exact"/>
                    <w:jc w:val="center"/>
                    <w:rPr>
                      <w:color w:val="auto"/>
                      <w:szCs w:val="21"/>
                    </w:rPr>
                  </w:pPr>
                  <w:r>
                    <w:rPr>
                      <w:rFonts w:hint="eastAsia"/>
                      <w:color w:val="auto"/>
                      <w:szCs w:val="21"/>
                    </w:rPr>
                    <w:t>生活垃圾</w:t>
                  </w:r>
                </w:p>
              </w:tc>
              <w:tc>
                <w:tcPr>
                  <w:tcW w:w="1314" w:type="pct"/>
                  <w:vAlign w:val="center"/>
                </w:tcPr>
                <w:p>
                  <w:pPr>
                    <w:spacing w:line="300" w:lineRule="exact"/>
                    <w:jc w:val="center"/>
                    <w:rPr>
                      <w:color w:val="auto"/>
                      <w:szCs w:val="21"/>
                    </w:rPr>
                  </w:pPr>
                  <w:r>
                    <w:rPr>
                      <w:color w:val="auto"/>
                    </w:rPr>
                    <w:t>生活垃圾</w:t>
                  </w:r>
                  <w:r>
                    <w:rPr>
                      <w:rFonts w:hint="eastAsia"/>
                      <w:color w:val="auto"/>
                    </w:rPr>
                    <w:t>集中收集</w:t>
                  </w:r>
                </w:p>
              </w:tc>
              <w:tc>
                <w:tcPr>
                  <w:tcW w:w="2413" w:type="pct"/>
                  <w:vAlign w:val="center"/>
                </w:tcPr>
                <w:p>
                  <w:pPr>
                    <w:spacing w:line="300" w:lineRule="exact"/>
                    <w:jc w:val="center"/>
                    <w:rPr>
                      <w:color w:val="auto"/>
                    </w:rPr>
                  </w:pPr>
                  <w:r>
                    <w:rPr>
                      <w:rFonts w:hint="eastAsia"/>
                      <w:color w:val="auto"/>
                    </w:rPr>
                    <w:t>满足环卫要求</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7</w:t>
                  </w:r>
                </w:p>
              </w:tc>
              <w:tc>
                <w:tcPr>
                  <w:tcW w:w="278" w:type="pct"/>
                  <w:vMerge w:val="continue"/>
                  <w:tcBorders>
                    <w:right w:val="single" w:color="auto" w:sz="4" w:space="0"/>
                  </w:tcBorders>
                  <w:vAlign w:val="center"/>
                </w:tcPr>
                <w:p>
                  <w:pPr>
                    <w:spacing w:line="300" w:lineRule="exact"/>
                    <w:jc w:val="center"/>
                    <w:rPr>
                      <w:color w:val="auto"/>
                      <w:szCs w:val="21"/>
                    </w:rPr>
                  </w:pPr>
                </w:p>
              </w:tc>
              <w:tc>
                <w:tcPr>
                  <w:tcW w:w="721" w:type="pct"/>
                  <w:tcBorders>
                    <w:left w:val="single" w:color="auto" w:sz="4" w:space="0"/>
                  </w:tcBorders>
                  <w:vAlign w:val="center"/>
                </w:tcPr>
                <w:p>
                  <w:pPr>
                    <w:spacing w:line="300" w:lineRule="exact"/>
                    <w:jc w:val="center"/>
                    <w:rPr>
                      <w:color w:val="auto"/>
                      <w:szCs w:val="21"/>
                    </w:rPr>
                  </w:pPr>
                  <w:r>
                    <w:rPr>
                      <w:rFonts w:hint="eastAsia"/>
                      <w:color w:val="auto"/>
                      <w:szCs w:val="21"/>
                    </w:rPr>
                    <w:t>不合格产品</w:t>
                  </w:r>
                </w:p>
              </w:tc>
              <w:tc>
                <w:tcPr>
                  <w:tcW w:w="1314" w:type="pct"/>
                  <w:vAlign w:val="center"/>
                </w:tcPr>
                <w:p>
                  <w:pPr>
                    <w:spacing w:line="300" w:lineRule="exact"/>
                    <w:jc w:val="center"/>
                    <w:rPr>
                      <w:color w:val="auto"/>
                      <w:szCs w:val="21"/>
                    </w:rPr>
                  </w:pPr>
                  <w:r>
                    <w:rPr>
                      <w:rFonts w:hint="eastAsia"/>
                      <w:color w:val="auto"/>
                      <w:szCs w:val="21"/>
                    </w:rPr>
                    <w:t>收集后外售</w:t>
                  </w:r>
                </w:p>
              </w:tc>
              <w:tc>
                <w:tcPr>
                  <w:tcW w:w="2413" w:type="pct"/>
                  <w:vMerge w:val="restart"/>
                  <w:vAlign w:val="center"/>
                </w:tcPr>
                <w:p>
                  <w:pPr>
                    <w:spacing w:line="300" w:lineRule="exact"/>
                    <w:jc w:val="center"/>
                    <w:rPr>
                      <w:color w:val="auto"/>
                    </w:rPr>
                  </w:pPr>
                  <w:r>
                    <w:rPr>
                      <w:rFonts w:hint="eastAsia"/>
                      <w:color w:val="auto"/>
                    </w:rPr>
                    <w:t>《一般工业固体废物贮存、处置场控制标准》（GB18599—2001）</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8</w:t>
                  </w:r>
                </w:p>
              </w:tc>
              <w:tc>
                <w:tcPr>
                  <w:tcW w:w="278" w:type="pct"/>
                  <w:vMerge w:val="continue"/>
                  <w:tcBorders>
                    <w:right w:val="single" w:color="auto" w:sz="4" w:space="0"/>
                  </w:tcBorders>
                  <w:vAlign w:val="center"/>
                </w:tcPr>
                <w:p>
                  <w:pPr>
                    <w:spacing w:line="300" w:lineRule="exact"/>
                    <w:jc w:val="center"/>
                    <w:rPr>
                      <w:color w:val="auto"/>
                      <w:szCs w:val="21"/>
                    </w:rPr>
                  </w:pPr>
                </w:p>
              </w:tc>
              <w:tc>
                <w:tcPr>
                  <w:tcW w:w="721" w:type="pct"/>
                  <w:tcBorders>
                    <w:left w:val="single" w:color="auto" w:sz="4" w:space="0"/>
                  </w:tcBorders>
                  <w:vAlign w:val="center"/>
                </w:tcPr>
                <w:p>
                  <w:pPr>
                    <w:spacing w:line="300" w:lineRule="exact"/>
                    <w:jc w:val="center"/>
                    <w:rPr>
                      <w:color w:val="auto"/>
                      <w:szCs w:val="21"/>
                    </w:rPr>
                  </w:pPr>
                  <w:r>
                    <w:rPr>
                      <w:rFonts w:hint="eastAsia"/>
                      <w:color w:val="auto"/>
                      <w:szCs w:val="21"/>
                    </w:rPr>
                    <w:t>废包装</w:t>
                  </w:r>
                </w:p>
              </w:tc>
              <w:tc>
                <w:tcPr>
                  <w:tcW w:w="1314" w:type="pct"/>
                  <w:vAlign w:val="center"/>
                </w:tcPr>
                <w:p>
                  <w:pPr>
                    <w:spacing w:line="300" w:lineRule="exact"/>
                    <w:jc w:val="center"/>
                    <w:rPr>
                      <w:color w:val="auto"/>
                    </w:rPr>
                  </w:pPr>
                  <w:r>
                    <w:rPr>
                      <w:rFonts w:hint="eastAsia"/>
                      <w:color w:val="auto"/>
                    </w:rPr>
                    <w:t>原料袋及成品废包装收集后外售</w:t>
                  </w:r>
                </w:p>
              </w:tc>
              <w:tc>
                <w:tcPr>
                  <w:tcW w:w="2413" w:type="pct"/>
                  <w:vMerge w:val="continue"/>
                  <w:vAlign w:val="center"/>
                </w:tcPr>
                <w:p>
                  <w:pPr>
                    <w:spacing w:line="300" w:lineRule="exact"/>
                    <w:jc w:val="center"/>
                    <w:rPr>
                      <w:color w:val="auto"/>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271" w:type="pct"/>
                  <w:vAlign w:val="center"/>
                </w:tcPr>
                <w:p>
                  <w:pPr>
                    <w:spacing w:line="300" w:lineRule="exact"/>
                    <w:jc w:val="center"/>
                    <w:rPr>
                      <w:color w:val="auto"/>
                      <w:szCs w:val="21"/>
                    </w:rPr>
                  </w:pPr>
                  <w:r>
                    <w:rPr>
                      <w:rFonts w:hint="eastAsia"/>
                      <w:color w:val="auto"/>
                      <w:szCs w:val="21"/>
                    </w:rPr>
                    <w:t>9</w:t>
                  </w:r>
                </w:p>
              </w:tc>
              <w:tc>
                <w:tcPr>
                  <w:tcW w:w="1000" w:type="pct"/>
                  <w:gridSpan w:val="2"/>
                  <w:vAlign w:val="center"/>
                </w:tcPr>
                <w:p>
                  <w:pPr>
                    <w:spacing w:line="300" w:lineRule="exact"/>
                    <w:jc w:val="center"/>
                    <w:rPr>
                      <w:color w:val="auto"/>
                      <w:szCs w:val="21"/>
                    </w:rPr>
                  </w:pPr>
                  <w:r>
                    <w:rPr>
                      <w:rFonts w:hint="eastAsia"/>
                      <w:color w:val="auto"/>
                      <w:szCs w:val="21"/>
                    </w:rPr>
                    <w:t>危险废物</w:t>
                  </w:r>
                </w:p>
              </w:tc>
              <w:tc>
                <w:tcPr>
                  <w:tcW w:w="1314" w:type="pct"/>
                  <w:vAlign w:val="center"/>
                </w:tcPr>
                <w:p>
                  <w:pPr>
                    <w:spacing w:line="300" w:lineRule="exact"/>
                    <w:jc w:val="center"/>
                    <w:rPr>
                      <w:color w:val="auto"/>
                    </w:rPr>
                  </w:pPr>
                  <w:r>
                    <w:rPr>
                      <w:rFonts w:hint="eastAsia"/>
                      <w:color w:val="auto"/>
                    </w:rPr>
                    <w:t>危废暂存间</w:t>
                  </w:r>
                </w:p>
              </w:tc>
              <w:tc>
                <w:tcPr>
                  <w:tcW w:w="2413" w:type="pct"/>
                  <w:vAlign w:val="center"/>
                </w:tcPr>
                <w:p>
                  <w:pPr>
                    <w:spacing w:line="300" w:lineRule="exact"/>
                    <w:jc w:val="center"/>
                    <w:rPr>
                      <w:color w:val="auto"/>
                    </w:rPr>
                  </w:pPr>
                  <w:r>
                    <w:rPr>
                      <w:rFonts w:hint="eastAsia"/>
                      <w:color w:val="auto"/>
                    </w:rPr>
                    <w:t>《危险废物贮存污染控制标准》（GB18597-2001）</w:t>
                  </w:r>
                </w:p>
              </w:tc>
            </w:tr>
          </w:tbl>
          <w:p>
            <w:pPr>
              <w:pStyle w:val="5"/>
              <w:rPr>
                <w:color w:val="auto"/>
              </w:rPr>
            </w:pPr>
            <w:r>
              <w:rPr>
                <w:rFonts w:hint="eastAsia" w:hAnsi="宋体"/>
                <w:color w:val="auto"/>
                <w:kern w:val="2"/>
                <w:szCs w:val="28"/>
              </w:rPr>
              <w:t>11运营期环境监测</w:t>
            </w:r>
          </w:p>
          <w:p>
            <w:pPr>
              <w:spacing w:line="520" w:lineRule="exact"/>
              <w:ind w:firstLine="560" w:firstLineChars="200"/>
              <w:rPr>
                <w:rFonts w:hAnsi="宋体"/>
                <w:bCs/>
                <w:color w:val="auto"/>
                <w:sz w:val="28"/>
                <w:szCs w:val="28"/>
              </w:rPr>
            </w:pPr>
            <w:r>
              <w:rPr>
                <w:rFonts w:hAnsi="宋体"/>
                <w:bCs/>
                <w:color w:val="auto"/>
                <w:sz w:val="28"/>
                <w:szCs w:val="28"/>
              </w:rPr>
              <w:t>环境监测（包括污染源监测）是</w:t>
            </w:r>
            <w:r>
              <w:rPr>
                <w:rFonts w:hint="eastAsia" w:hAnsi="宋体"/>
                <w:bCs/>
                <w:color w:val="auto"/>
                <w:sz w:val="28"/>
                <w:szCs w:val="28"/>
              </w:rPr>
              <w:t>项目</w:t>
            </w:r>
            <w:r>
              <w:rPr>
                <w:rFonts w:hAnsi="宋体"/>
                <w:bCs/>
                <w:color w:val="auto"/>
                <w:sz w:val="28"/>
                <w:szCs w:val="28"/>
              </w:rPr>
              <w:t>环境保护的重要组成部分，也是一项规范化制度。通过环境监测，进行数据整理分析，建立监测档案，可为污染源治理，掌握污染物排放变化规律提供依据，为上级</w:t>
            </w:r>
            <w:r>
              <w:rPr>
                <w:rFonts w:hint="eastAsia" w:hAnsi="宋体"/>
                <w:bCs/>
                <w:color w:val="auto"/>
                <w:sz w:val="28"/>
                <w:szCs w:val="28"/>
              </w:rPr>
              <w:t>生态环境主管部门</w:t>
            </w:r>
            <w:r>
              <w:rPr>
                <w:rFonts w:hAnsi="宋体"/>
                <w:bCs/>
                <w:color w:val="auto"/>
                <w:sz w:val="28"/>
                <w:szCs w:val="28"/>
              </w:rPr>
              <w:t>进行区域环境规划、管理执法提供依据。同时，环境监测也是实现污染物总量控制，做到清洁生产的重要保证手段之一。</w:t>
            </w:r>
          </w:p>
          <w:p>
            <w:pPr>
              <w:ind w:firstLine="480" w:firstLineChars="200"/>
              <w:rPr>
                <w:rFonts w:hAnsi="宋体"/>
                <w:bCs/>
                <w:color w:val="auto"/>
                <w:sz w:val="28"/>
                <w:szCs w:val="28"/>
              </w:rPr>
            </w:pPr>
            <w:r>
              <w:rPr>
                <w:rFonts w:eastAsia="黑体"/>
                <w:color w:val="auto"/>
                <w:sz w:val="24"/>
              </w:rPr>
              <w:t>表</w:t>
            </w:r>
            <w:r>
              <w:rPr>
                <w:rFonts w:hint="eastAsia" w:eastAsia="黑体"/>
                <w:color w:val="auto"/>
                <w:sz w:val="24"/>
              </w:rPr>
              <w:t>26                      监测内容一览表</w:t>
            </w:r>
          </w:p>
          <w:tbl>
            <w:tblPr>
              <w:tblStyle w:val="24"/>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574"/>
              <w:gridCol w:w="1080"/>
              <w:gridCol w:w="1461"/>
              <w:gridCol w:w="1419"/>
              <w:gridCol w:w="4537"/>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316" w:type="pct"/>
                  <w:vAlign w:val="center"/>
                </w:tcPr>
                <w:p>
                  <w:pPr>
                    <w:jc w:val="center"/>
                    <w:rPr>
                      <w:color w:val="auto"/>
                      <w:szCs w:val="21"/>
                    </w:rPr>
                  </w:pPr>
                  <w:r>
                    <w:rPr>
                      <w:color w:val="auto"/>
                      <w:szCs w:val="21"/>
                    </w:rPr>
                    <w:t>序号</w:t>
                  </w:r>
                </w:p>
              </w:tc>
              <w:tc>
                <w:tcPr>
                  <w:tcW w:w="595" w:type="pct"/>
                  <w:vAlign w:val="center"/>
                </w:tcPr>
                <w:p>
                  <w:pPr>
                    <w:jc w:val="center"/>
                    <w:rPr>
                      <w:color w:val="auto"/>
                      <w:szCs w:val="21"/>
                    </w:rPr>
                  </w:pPr>
                  <w:r>
                    <w:rPr>
                      <w:rFonts w:hint="eastAsia"/>
                      <w:color w:val="auto"/>
                      <w:szCs w:val="21"/>
                    </w:rPr>
                    <w:t>监测因子</w:t>
                  </w:r>
                </w:p>
              </w:tc>
              <w:tc>
                <w:tcPr>
                  <w:tcW w:w="805" w:type="pct"/>
                  <w:vAlign w:val="center"/>
                </w:tcPr>
                <w:p>
                  <w:pPr>
                    <w:jc w:val="center"/>
                    <w:rPr>
                      <w:color w:val="auto"/>
                      <w:szCs w:val="21"/>
                    </w:rPr>
                  </w:pPr>
                  <w:r>
                    <w:rPr>
                      <w:rFonts w:hint="eastAsia"/>
                      <w:color w:val="auto"/>
                      <w:szCs w:val="21"/>
                    </w:rPr>
                    <w:t>监测点位</w:t>
                  </w:r>
                </w:p>
              </w:tc>
              <w:tc>
                <w:tcPr>
                  <w:tcW w:w="782" w:type="pct"/>
                  <w:vAlign w:val="center"/>
                </w:tcPr>
                <w:p>
                  <w:pPr>
                    <w:jc w:val="center"/>
                    <w:rPr>
                      <w:color w:val="auto"/>
                      <w:szCs w:val="21"/>
                    </w:rPr>
                  </w:pPr>
                  <w:r>
                    <w:rPr>
                      <w:rFonts w:hint="eastAsia"/>
                      <w:color w:val="auto"/>
                      <w:szCs w:val="21"/>
                    </w:rPr>
                    <w:t>监测频次</w:t>
                  </w:r>
                </w:p>
              </w:tc>
              <w:tc>
                <w:tcPr>
                  <w:tcW w:w="2499" w:type="pct"/>
                  <w:vAlign w:val="center"/>
                </w:tcPr>
                <w:p>
                  <w:pPr>
                    <w:jc w:val="center"/>
                    <w:rPr>
                      <w:color w:val="auto"/>
                      <w:szCs w:val="21"/>
                    </w:rPr>
                  </w:pPr>
                  <w:r>
                    <w:rPr>
                      <w:color w:val="auto"/>
                      <w:szCs w:val="21"/>
                    </w:rPr>
                    <w:t>执行标准</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316" w:type="pct"/>
                  <w:vAlign w:val="center"/>
                </w:tcPr>
                <w:p>
                  <w:pPr>
                    <w:jc w:val="center"/>
                    <w:rPr>
                      <w:color w:val="auto"/>
                      <w:szCs w:val="21"/>
                    </w:rPr>
                  </w:pPr>
                  <w:r>
                    <w:rPr>
                      <w:color w:val="auto"/>
                      <w:szCs w:val="21"/>
                    </w:rPr>
                    <w:t>1</w:t>
                  </w:r>
                </w:p>
              </w:tc>
              <w:tc>
                <w:tcPr>
                  <w:tcW w:w="595" w:type="pct"/>
                  <w:vAlign w:val="center"/>
                </w:tcPr>
                <w:p>
                  <w:pPr>
                    <w:jc w:val="center"/>
                    <w:rPr>
                      <w:color w:val="auto"/>
                      <w:szCs w:val="21"/>
                    </w:rPr>
                  </w:pPr>
                  <w:r>
                    <w:rPr>
                      <w:rFonts w:hint="eastAsia"/>
                      <w:color w:val="auto"/>
                      <w:szCs w:val="21"/>
                    </w:rPr>
                    <w:t>厂界</w:t>
                  </w:r>
                  <w:r>
                    <w:rPr>
                      <w:color w:val="auto"/>
                      <w:szCs w:val="21"/>
                    </w:rPr>
                    <w:t>噪声</w:t>
                  </w:r>
                </w:p>
              </w:tc>
              <w:tc>
                <w:tcPr>
                  <w:tcW w:w="805" w:type="pct"/>
                  <w:vAlign w:val="center"/>
                </w:tcPr>
                <w:p>
                  <w:pPr>
                    <w:jc w:val="center"/>
                    <w:rPr>
                      <w:color w:val="auto"/>
                      <w:szCs w:val="21"/>
                    </w:rPr>
                  </w:pPr>
                  <w:r>
                    <w:rPr>
                      <w:rFonts w:hint="eastAsia"/>
                      <w:color w:val="auto"/>
                      <w:szCs w:val="21"/>
                    </w:rPr>
                    <w:t>厂界四周外1m</w:t>
                  </w:r>
                </w:p>
              </w:tc>
              <w:tc>
                <w:tcPr>
                  <w:tcW w:w="782" w:type="pct"/>
                  <w:vAlign w:val="center"/>
                </w:tcPr>
                <w:p>
                  <w:pPr>
                    <w:jc w:val="center"/>
                    <w:rPr>
                      <w:color w:val="auto"/>
                      <w:szCs w:val="21"/>
                    </w:rPr>
                  </w:pPr>
                  <w:r>
                    <w:rPr>
                      <w:rFonts w:hint="eastAsia"/>
                      <w:color w:val="auto"/>
                    </w:rPr>
                    <w:t>每年2次，昼夜各一次</w:t>
                  </w:r>
                </w:p>
              </w:tc>
              <w:tc>
                <w:tcPr>
                  <w:tcW w:w="2499" w:type="pct"/>
                  <w:vAlign w:val="center"/>
                </w:tcPr>
                <w:p>
                  <w:pPr>
                    <w:jc w:val="center"/>
                    <w:rPr>
                      <w:color w:val="auto"/>
                      <w:szCs w:val="21"/>
                    </w:rPr>
                  </w:pPr>
                  <w:r>
                    <w:rPr>
                      <w:color w:val="auto"/>
                      <w:szCs w:val="21"/>
                    </w:rPr>
                    <w:t>满足《</w:t>
                  </w:r>
                  <w:r>
                    <w:rPr>
                      <w:rFonts w:hint="eastAsia"/>
                      <w:color w:val="auto"/>
                      <w:szCs w:val="21"/>
                    </w:rPr>
                    <w:t>工业企业厂界环境噪声排放标准</w:t>
                  </w:r>
                  <w:r>
                    <w:rPr>
                      <w:color w:val="auto"/>
                      <w:szCs w:val="21"/>
                    </w:rPr>
                    <w:t>》（GB</w:t>
                  </w:r>
                  <w:r>
                    <w:rPr>
                      <w:rFonts w:hint="eastAsia"/>
                      <w:color w:val="auto"/>
                      <w:szCs w:val="21"/>
                    </w:rPr>
                    <w:t>12348</w:t>
                  </w:r>
                  <w:r>
                    <w:rPr>
                      <w:color w:val="auto"/>
                      <w:szCs w:val="21"/>
                    </w:rPr>
                    <w:t>—2008）</w:t>
                  </w:r>
                  <w:r>
                    <w:rPr>
                      <w:rFonts w:hint="eastAsia"/>
                      <w:color w:val="auto"/>
                      <w:szCs w:val="21"/>
                      <w:lang w:val="en-US" w:eastAsia="zh-CN"/>
                    </w:rPr>
                    <w:t>3</w:t>
                  </w:r>
                  <w:r>
                    <w:rPr>
                      <w:color w:val="auto"/>
                      <w:szCs w:val="21"/>
                    </w:rPr>
                    <w:t>类标准</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316" w:type="pct"/>
                  <w:vAlign w:val="center"/>
                </w:tcPr>
                <w:p>
                  <w:pPr>
                    <w:jc w:val="center"/>
                    <w:rPr>
                      <w:color w:val="auto"/>
                      <w:szCs w:val="21"/>
                    </w:rPr>
                  </w:pPr>
                  <w:r>
                    <w:rPr>
                      <w:rFonts w:hint="eastAsia"/>
                      <w:color w:val="auto"/>
                      <w:szCs w:val="21"/>
                    </w:rPr>
                    <w:t>2</w:t>
                  </w:r>
                </w:p>
              </w:tc>
              <w:tc>
                <w:tcPr>
                  <w:tcW w:w="595" w:type="pct"/>
                  <w:tcBorders>
                    <w:top w:val="single" w:color="auto" w:sz="4" w:space="0"/>
                    <w:bottom w:val="single" w:color="auto" w:sz="4" w:space="0"/>
                  </w:tcBorders>
                  <w:vAlign w:val="center"/>
                </w:tcPr>
                <w:p>
                  <w:pPr>
                    <w:jc w:val="center"/>
                    <w:rPr>
                      <w:color w:val="auto"/>
                      <w:szCs w:val="21"/>
                    </w:rPr>
                  </w:pPr>
                  <w:r>
                    <w:rPr>
                      <w:rFonts w:hint="eastAsia"/>
                      <w:color w:val="auto"/>
                      <w:szCs w:val="21"/>
                    </w:rPr>
                    <w:t>非甲烷总烃</w:t>
                  </w:r>
                </w:p>
              </w:tc>
              <w:tc>
                <w:tcPr>
                  <w:tcW w:w="805" w:type="pct"/>
                  <w:tcBorders>
                    <w:top w:val="single" w:color="auto" w:sz="4" w:space="0"/>
                    <w:bottom w:val="single" w:color="auto" w:sz="4" w:space="0"/>
                  </w:tcBorders>
                  <w:vAlign w:val="center"/>
                </w:tcPr>
                <w:p>
                  <w:pPr>
                    <w:jc w:val="center"/>
                    <w:rPr>
                      <w:rFonts w:ascii="宋体" w:hAnsi="宋体" w:cs="宋体"/>
                      <w:color w:val="auto"/>
                      <w:kern w:val="0"/>
                      <w:szCs w:val="21"/>
                    </w:rPr>
                  </w:pPr>
                  <w:r>
                    <w:rPr>
                      <w:rFonts w:hint="eastAsia" w:ascii="宋体" w:hAnsi="宋体" w:cs="宋体"/>
                      <w:color w:val="auto"/>
                      <w:kern w:val="0"/>
                      <w:szCs w:val="21"/>
                    </w:rPr>
                    <w:t>有组织烟囱出口，无组织在厂房外1m监测</w:t>
                  </w:r>
                </w:p>
              </w:tc>
              <w:tc>
                <w:tcPr>
                  <w:tcW w:w="782" w:type="pct"/>
                  <w:tcBorders>
                    <w:bottom w:val="single" w:color="auto" w:sz="4" w:space="0"/>
                  </w:tcBorders>
                  <w:vAlign w:val="center"/>
                </w:tcPr>
                <w:p>
                  <w:pPr>
                    <w:jc w:val="center"/>
                    <w:rPr>
                      <w:color w:val="auto"/>
                    </w:rPr>
                  </w:pPr>
                  <w:r>
                    <w:rPr>
                      <w:rFonts w:hint="eastAsia"/>
                      <w:color w:val="auto"/>
                    </w:rPr>
                    <w:t>每年</w:t>
                  </w:r>
                  <w:r>
                    <w:rPr>
                      <w:color w:val="auto"/>
                    </w:rPr>
                    <w:t>1</w:t>
                  </w:r>
                  <w:r>
                    <w:rPr>
                      <w:rFonts w:hint="eastAsia"/>
                      <w:color w:val="auto"/>
                    </w:rPr>
                    <w:t>次；无组织取1h平均</w:t>
                  </w:r>
                </w:p>
              </w:tc>
              <w:tc>
                <w:tcPr>
                  <w:tcW w:w="2499" w:type="pct"/>
                  <w:tcBorders>
                    <w:bottom w:val="single" w:color="auto" w:sz="4" w:space="0"/>
                  </w:tcBorders>
                  <w:vAlign w:val="center"/>
                </w:tcPr>
                <w:p>
                  <w:pPr>
                    <w:jc w:val="center"/>
                    <w:rPr>
                      <w:color w:val="auto"/>
                    </w:rPr>
                  </w:pPr>
                  <w:r>
                    <w:rPr>
                      <w:rFonts w:hint="eastAsia"/>
                      <w:color w:val="auto"/>
                    </w:rPr>
                    <w:t>有组织执行《合成树脂工业污染物排放标准》（GB31572-2015）表4浓度限值；</w:t>
                  </w:r>
                </w:p>
                <w:p>
                  <w:pPr>
                    <w:jc w:val="center"/>
                    <w:rPr>
                      <w:color w:val="auto"/>
                      <w:szCs w:val="21"/>
                    </w:rPr>
                  </w:pPr>
                  <w:r>
                    <w:rPr>
                      <w:rFonts w:hint="eastAsia"/>
                      <w:color w:val="auto"/>
                    </w:rPr>
                    <w:t>无组织执行《挥发性有机物无组织排放控制标准》（GB37822-2019）表A1限值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1651" w:hRule="atLeast"/>
                <w:jc w:val="center"/>
              </w:trPr>
              <w:tc>
                <w:tcPr>
                  <w:tcW w:w="316" w:type="pct"/>
                  <w:vAlign w:val="center"/>
                </w:tcPr>
                <w:p>
                  <w:pPr>
                    <w:jc w:val="center"/>
                    <w:rPr>
                      <w:color w:val="auto"/>
                      <w:szCs w:val="21"/>
                    </w:rPr>
                  </w:pPr>
                  <w:r>
                    <w:rPr>
                      <w:rFonts w:hint="eastAsia"/>
                      <w:color w:val="auto"/>
                      <w:szCs w:val="21"/>
                    </w:rPr>
                    <w:t>3</w:t>
                  </w:r>
                </w:p>
              </w:tc>
              <w:tc>
                <w:tcPr>
                  <w:tcW w:w="595" w:type="pct"/>
                  <w:tcBorders>
                    <w:top w:val="single" w:color="auto" w:sz="4" w:space="0"/>
                  </w:tcBorders>
                  <w:vAlign w:val="center"/>
                </w:tcPr>
                <w:p>
                  <w:pPr>
                    <w:jc w:val="center"/>
                    <w:rPr>
                      <w:color w:val="auto"/>
                      <w:szCs w:val="21"/>
                    </w:rPr>
                  </w:pPr>
                  <w:r>
                    <w:rPr>
                      <w:rFonts w:hint="eastAsia"/>
                      <w:color w:val="auto"/>
                      <w:szCs w:val="21"/>
                    </w:rPr>
                    <w:t>油烟</w:t>
                  </w:r>
                </w:p>
              </w:tc>
              <w:tc>
                <w:tcPr>
                  <w:tcW w:w="805" w:type="pct"/>
                  <w:tcBorders>
                    <w:top w:val="single" w:color="auto" w:sz="4" w:space="0"/>
                    <w:bottom w:val="single" w:color="auto" w:sz="12" w:space="0"/>
                  </w:tcBorders>
                  <w:vAlign w:val="center"/>
                </w:tcPr>
                <w:p>
                  <w:pPr>
                    <w:jc w:val="center"/>
                    <w:rPr>
                      <w:rFonts w:ascii="宋体" w:hAnsi="宋体" w:cs="宋体"/>
                      <w:color w:val="auto"/>
                      <w:kern w:val="0"/>
                      <w:szCs w:val="21"/>
                    </w:rPr>
                  </w:pPr>
                  <w:r>
                    <w:rPr>
                      <w:rFonts w:hint="eastAsia" w:ascii="宋体" w:hAnsi="宋体" w:cs="宋体"/>
                      <w:color w:val="auto"/>
                      <w:kern w:val="0"/>
                      <w:szCs w:val="21"/>
                    </w:rPr>
                    <w:t>油烟净化装置进口、出口</w:t>
                  </w:r>
                </w:p>
              </w:tc>
              <w:tc>
                <w:tcPr>
                  <w:tcW w:w="782" w:type="pct"/>
                  <w:tcBorders>
                    <w:top w:val="single" w:color="auto" w:sz="4" w:space="0"/>
                    <w:bottom w:val="single" w:color="auto" w:sz="12" w:space="0"/>
                  </w:tcBorders>
                  <w:vAlign w:val="center"/>
                </w:tcPr>
                <w:p>
                  <w:pPr>
                    <w:jc w:val="center"/>
                    <w:rPr>
                      <w:color w:val="auto"/>
                    </w:rPr>
                  </w:pPr>
                  <w:r>
                    <w:rPr>
                      <w:rFonts w:hint="eastAsia"/>
                      <w:color w:val="auto"/>
                    </w:rPr>
                    <w:t>每年</w:t>
                  </w:r>
                  <w:r>
                    <w:rPr>
                      <w:color w:val="auto"/>
                    </w:rPr>
                    <w:t>1</w:t>
                  </w:r>
                  <w:r>
                    <w:rPr>
                      <w:rFonts w:hint="eastAsia"/>
                      <w:color w:val="auto"/>
                    </w:rPr>
                    <w:t>次，连续采样5次，每次10min</w:t>
                  </w:r>
                </w:p>
              </w:tc>
              <w:tc>
                <w:tcPr>
                  <w:tcW w:w="2499" w:type="pct"/>
                  <w:tcBorders>
                    <w:top w:val="single" w:color="auto" w:sz="4" w:space="0"/>
                    <w:bottom w:val="single" w:color="auto" w:sz="12" w:space="0"/>
                  </w:tcBorders>
                  <w:vAlign w:val="center"/>
                </w:tcPr>
                <w:p>
                  <w:pPr>
                    <w:jc w:val="center"/>
                    <w:rPr>
                      <w:color w:val="auto"/>
                      <w:szCs w:val="21"/>
                    </w:rPr>
                  </w:pPr>
                  <w:r>
                    <w:rPr>
                      <w:color w:val="auto"/>
                      <w:szCs w:val="21"/>
                    </w:rPr>
                    <w:t>《</w:t>
                  </w:r>
                  <w:r>
                    <w:rPr>
                      <w:rFonts w:hint="eastAsia"/>
                      <w:color w:val="auto"/>
                      <w:szCs w:val="21"/>
                    </w:rPr>
                    <w:t>饮食业油烟排放标准（试行）</w:t>
                  </w:r>
                  <w:r>
                    <w:rPr>
                      <w:color w:val="auto"/>
                      <w:szCs w:val="21"/>
                    </w:rPr>
                    <w:t>》</w:t>
                  </w:r>
                  <w:r>
                    <w:rPr>
                      <w:rFonts w:hint="eastAsia"/>
                      <w:color w:val="auto"/>
                      <w:szCs w:val="21"/>
                    </w:rPr>
                    <w:t>（</w:t>
                  </w:r>
                  <w:r>
                    <w:rPr>
                      <w:color w:val="auto"/>
                      <w:szCs w:val="21"/>
                    </w:rPr>
                    <w:t>GB</w:t>
                  </w:r>
                  <w:r>
                    <w:rPr>
                      <w:rFonts w:hint="eastAsia"/>
                      <w:color w:val="auto"/>
                      <w:szCs w:val="21"/>
                    </w:rPr>
                    <w:t>18483-2001）小型表2中标准值</w:t>
                  </w:r>
                </w:p>
              </w:tc>
            </w:tr>
          </w:tbl>
          <w:p>
            <w:pPr>
              <w:spacing w:line="520" w:lineRule="exact"/>
              <w:rPr>
                <w:color w:val="auto"/>
                <w:kern w:val="0"/>
                <w:sz w:val="28"/>
                <w:szCs w:val="28"/>
              </w:rPr>
            </w:pPr>
          </w:p>
        </w:tc>
      </w:tr>
    </w:tbl>
    <w:p>
      <w:pPr>
        <w:pStyle w:val="6"/>
        <w:rPr>
          <w:rFonts w:eastAsia="黑体"/>
          <w:b w:val="0"/>
          <w:color w:val="auto"/>
          <w:sz w:val="30"/>
          <w:szCs w:val="30"/>
        </w:rPr>
      </w:pPr>
      <w:r>
        <w:rPr>
          <w:rFonts w:eastAsia="黑体"/>
          <w:b w:val="0"/>
          <w:color w:val="auto"/>
          <w:sz w:val="30"/>
          <w:szCs w:val="30"/>
        </w:rPr>
        <w:br w:type="page"/>
      </w:r>
      <w:r>
        <w:rPr>
          <w:rFonts w:eastAsia="黑体"/>
          <w:b w:val="0"/>
          <w:color w:val="auto"/>
          <w:sz w:val="30"/>
          <w:szCs w:val="30"/>
        </w:rPr>
        <w:t>建设项目拟采取的防治措施及预期治理效果</w:t>
      </w:r>
    </w:p>
    <w:tbl>
      <w:tblPr>
        <w:tblStyle w:val="24"/>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089"/>
        <w:gridCol w:w="1269"/>
        <w:gridCol w:w="1557"/>
        <w:gridCol w:w="2833"/>
        <w:gridCol w:w="253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587" w:type="pct"/>
            <w:vAlign w:val="center"/>
          </w:tcPr>
          <w:p>
            <w:pPr>
              <w:spacing w:line="276" w:lineRule="auto"/>
              <w:jc w:val="right"/>
              <w:rPr>
                <w:color w:val="auto"/>
                <w:sz w:val="24"/>
              </w:rPr>
            </w:pPr>
            <w:r>
              <w:rPr>
                <w:color w:val="auto"/>
                <w:sz w:val="24"/>
              </w:rPr>
              <w:t>内容</w:t>
            </w:r>
          </w:p>
          <w:p>
            <w:pPr>
              <w:spacing w:line="276" w:lineRule="auto"/>
              <w:jc w:val="left"/>
              <w:rPr>
                <w:color w:val="auto"/>
                <w:sz w:val="24"/>
              </w:rPr>
            </w:pPr>
            <w:r>
              <w:rPr>
                <w:color w:val="auto"/>
                <w:sz w:val="24"/>
              </w:rPr>
              <w:t>类型</w:t>
            </w:r>
          </w:p>
        </w:tc>
        <w:tc>
          <w:tcPr>
            <w:tcW w:w="683" w:type="pct"/>
            <w:vAlign w:val="center"/>
          </w:tcPr>
          <w:p>
            <w:pPr>
              <w:spacing w:line="276" w:lineRule="auto"/>
              <w:jc w:val="center"/>
              <w:rPr>
                <w:color w:val="auto"/>
                <w:sz w:val="24"/>
              </w:rPr>
            </w:pPr>
            <w:r>
              <w:rPr>
                <w:color w:val="auto"/>
                <w:sz w:val="24"/>
              </w:rPr>
              <w:t>排放源（编号）</w:t>
            </w:r>
          </w:p>
        </w:tc>
        <w:tc>
          <w:tcPr>
            <w:tcW w:w="838" w:type="pct"/>
            <w:vAlign w:val="center"/>
          </w:tcPr>
          <w:p>
            <w:pPr>
              <w:spacing w:line="276" w:lineRule="auto"/>
              <w:jc w:val="center"/>
              <w:rPr>
                <w:color w:val="auto"/>
                <w:sz w:val="24"/>
              </w:rPr>
            </w:pPr>
            <w:r>
              <w:rPr>
                <w:color w:val="auto"/>
                <w:sz w:val="24"/>
              </w:rPr>
              <w:t>污染物名称</w:t>
            </w:r>
          </w:p>
        </w:tc>
        <w:tc>
          <w:tcPr>
            <w:tcW w:w="1525" w:type="pct"/>
            <w:vAlign w:val="center"/>
          </w:tcPr>
          <w:p>
            <w:pPr>
              <w:spacing w:line="276" w:lineRule="auto"/>
              <w:jc w:val="center"/>
              <w:rPr>
                <w:color w:val="auto"/>
                <w:sz w:val="24"/>
              </w:rPr>
            </w:pPr>
            <w:r>
              <w:rPr>
                <w:color w:val="auto"/>
                <w:sz w:val="24"/>
              </w:rPr>
              <w:t>防治措施</w:t>
            </w:r>
          </w:p>
        </w:tc>
        <w:tc>
          <w:tcPr>
            <w:tcW w:w="1365" w:type="pct"/>
            <w:vAlign w:val="center"/>
          </w:tcPr>
          <w:p>
            <w:pPr>
              <w:spacing w:line="276" w:lineRule="auto"/>
              <w:jc w:val="center"/>
              <w:rPr>
                <w:color w:val="auto"/>
                <w:sz w:val="24"/>
              </w:rPr>
            </w:pPr>
            <w:r>
              <w:rPr>
                <w:color w:val="auto"/>
                <w:sz w:val="24"/>
              </w:rPr>
              <w:t>预期治理效果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Merge w:val="restart"/>
            <w:vAlign w:val="center"/>
          </w:tcPr>
          <w:p>
            <w:pPr>
              <w:spacing w:line="276" w:lineRule="auto"/>
              <w:jc w:val="center"/>
              <w:rPr>
                <w:color w:val="auto"/>
                <w:sz w:val="24"/>
              </w:rPr>
            </w:pPr>
            <w:r>
              <w:rPr>
                <w:rFonts w:hint="eastAsia"/>
                <w:color w:val="auto"/>
                <w:sz w:val="24"/>
              </w:rPr>
              <w:t>大气污染物</w:t>
            </w:r>
          </w:p>
        </w:tc>
        <w:tc>
          <w:tcPr>
            <w:tcW w:w="683" w:type="pct"/>
            <w:vAlign w:val="center"/>
          </w:tcPr>
          <w:p>
            <w:pPr>
              <w:spacing w:line="276" w:lineRule="auto"/>
              <w:jc w:val="center"/>
              <w:rPr>
                <w:color w:val="auto"/>
                <w:sz w:val="24"/>
              </w:rPr>
            </w:pPr>
            <w:r>
              <w:rPr>
                <w:rFonts w:hint="eastAsia"/>
                <w:color w:val="auto"/>
                <w:sz w:val="24"/>
              </w:rPr>
              <w:t>生产废气</w:t>
            </w:r>
          </w:p>
        </w:tc>
        <w:tc>
          <w:tcPr>
            <w:tcW w:w="838" w:type="pct"/>
            <w:vAlign w:val="center"/>
          </w:tcPr>
          <w:p>
            <w:pPr>
              <w:spacing w:line="276" w:lineRule="auto"/>
              <w:jc w:val="center"/>
              <w:rPr>
                <w:color w:val="auto"/>
                <w:sz w:val="24"/>
              </w:rPr>
            </w:pPr>
            <w:r>
              <w:rPr>
                <w:rFonts w:hint="eastAsia"/>
                <w:color w:val="auto"/>
                <w:sz w:val="24"/>
              </w:rPr>
              <w:t>非甲烷总烃</w:t>
            </w:r>
          </w:p>
        </w:tc>
        <w:tc>
          <w:tcPr>
            <w:tcW w:w="1525" w:type="pct"/>
            <w:vAlign w:val="center"/>
          </w:tcPr>
          <w:p>
            <w:pPr>
              <w:spacing w:line="276" w:lineRule="auto"/>
              <w:jc w:val="center"/>
              <w:rPr>
                <w:color w:val="auto"/>
                <w:sz w:val="24"/>
              </w:rPr>
            </w:pPr>
            <w:r>
              <w:rPr>
                <w:rFonts w:hint="eastAsia"/>
                <w:color w:val="auto"/>
                <w:sz w:val="24"/>
              </w:rPr>
              <w:t>集气罩+光催化氧化装置+活性炭吸附装置</w:t>
            </w:r>
          </w:p>
        </w:tc>
        <w:tc>
          <w:tcPr>
            <w:tcW w:w="1365" w:type="pct"/>
            <w:vAlign w:val="center"/>
          </w:tcPr>
          <w:p>
            <w:pPr>
              <w:spacing w:line="276" w:lineRule="auto"/>
              <w:jc w:val="center"/>
              <w:rPr>
                <w:color w:val="auto"/>
                <w:sz w:val="24"/>
              </w:rPr>
            </w:pPr>
            <w:r>
              <w:rPr>
                <w:rFonts w:hint="eastAsia"/>
                <w:color w:val="auto"/>
                <w:sz w:val="24"/>
              </w:rPr>
              <w:t>达标排放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Merge w:val="continue"/>
            <w:vAlign w:val="center"/>
          </w:tcPr>
          <w:p>
            <w:pPr>
              <w:spacing w:line="276" w:lineRule="auto"/>
              <w:jc w:val="center"/>
              <w:rPr>
                <w:color w:val="auto"/>
                <w:sz w:val="24"/>
              </w:rPr>
            </w:pPr>
          </w:p>
        </w:tc>
        <w:tc>
          <w:tcPr>
            <w:tcW w:w="683" w:type="pct"/>
            <w:vAlign w:val="center"/>
          </w:tcPr>
          <w:p>
            <w:pPr>
              <w:spacing w:line="276" w:lineRule="auto"/>
              <w:jc w:val="center"/>
              <w:rPr>
                <w:color w:val="auto"/>
                <w:sz w:val="24"/>
              </w:rPr>
            </w:pPr>
            <w:r>
              <w:rPr>
                <w:rFonts w:hint="eastAsia"/>
                <w:color w:val="auto"/>
                <w:sz w:val="24"/>
              </w:rPr>
              <w:t>厨房油烟</w:t>
            </w:r>
          </w:p>
        </w:tc>
        <w:tc>
          <w:tcPr>
            <w:tcW w:w="838" w:type="pct"/>
            <w:vAlign w:val="center"/>
          </w:tcPr>
          <w:p>
            <w:pPr>
              <w:spacing w:line="276" w:lineRule="auto"/>
              <w:jc w:val="center"/>
              <w:rPr>
                <w:color w:val="auto"/>
                <w:sz w:val="24"/>
              </w:rPr>
            </w:pPr>
            <w:r>
              <w:rPr>
                <w:rFonts w:hint="eastAsia"/>
                <w:color w:val="auto"/>
                <w:sz w:val="24"/>
              </w:rPr>
              <w:t>油烟废气</w:t>
            </w:r>
          </w:p>
        </w:tc>
        <w:tc>
          <w:tcPr>
            <w:tcW w:w="1525" w:type="pct"/>
            <w:vAlign w:val="center"/>
          </w:tcPr>
          <w:p>
            <w:pPr>
              <w:spacing w:line="276" w:lineRule="auto"/>
              <w:jc w:val="center"/>
              <w:rPr>
                <w:color w:val="auto"/>
                <w:sz w:val="24"/>
              </w:rPr>
            </w:pPr>
            <w:r>
              <w:rPr>
                <w:rFonts w:hint="eastAsia"/>
                <w:color w:val="auto"/>
                <w:sz w:val="24"/>
              </w:rPr>
              <w:t>油烟净化装置</w:t>
            </w:r>
          </w:p>
        </w:tc>
        <w:tc>
          <w:tcPr>
            <w:tcW w:w="1365" w:type="pct"/>
            <w:vAlign w:val="center"/>
          </w:tcPr>
          <w:p>
            <w:pPr>
              <w:spacing w:line="276" w:lineRule="auto"/>
              <w:jc w:val="center"/>
              <w:rPr>
                <w:color w:val="auto"/>
                <w:sz w:val="24"/>
              </w:rPr>
            </w:pPr>
            <w:r>
              <w:rPr>
                <w:rFonts w:hint="eastAsia"/>
                <w:color w:val="auto"/>
                <w:sz w:val="24"/>
              </w:rPr>
              <w:t>达标排放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Merge w:val="restart"/>
            <w:vAlign w:val="center"/>
          </w:tcPr>
          <w:p>
            <w:pPr>
              <w:spacing w:line="276" w:lineRule="auto"/>
              <w:jc w:val="center"/>
              <w:rPr>
                <w:color w:val="auto"/>
                <w:sz w:val="24"/>
              </w:rPr>
            </w:pPr>
            <w:r>
              <w:rPr>
                <w:color w:val="auto"/>
                <w:sz w:val="24"/>
              </w:rPr>
              <w:t>水污染物</w:t>
            </w:r>
          </w:p>
        </w:tc>
        <w:tc>
          <w:tcPr>
            <w:tcW w:w="683" w:type="pct"/>
            <w:vAlign w:val="center"/>
          </w:tcPr>
          <w:p>
            <w:pPr>
              <w:spacing w:line="276" w:lineRule="auto"/>
              <w:jc w:val="center"/>
              <w:rPr>
                <w:color w:val="auto"/>
                <w:sz w:val="24"/>
              </w:rPr>
            </w:pPr>
            <w:r>
              <w:rPr>
                <w:rFonts w:hint="eastAsia"/>
                <w:color w:val="auto"/>
                <w:sz w:val="24"/>
              </w:rPr>
              <w:t>冷却水</w:t>
            </w:r>
          </w:p>
        </w:tc>
        <w:tc>
          <w:tcPr>
            <w:tcW w:w="838" w:type="pct"/>
            <w:vAlign w:val="center"/>
          </w:tcPr>
          <w:p>
            <w:pPr>
              <w:spacing w:line="276" w:lineRule="auto"/>
              <w:jc w:val="center"/>
              <w:rPr>
                <w:color w:val="auto"/>
                <w:sz w:val="24"/>
              </w:rPr>
            </w:pPr>
            <w:r>
              <w:rPr>
                <w:rFonts w:hint="eastAsia"/>
                <w:color w:val="auto"/>
                <w:sz w:val="24"/>
              </w:rPr>
              <w:t>温度</w:t>
            </w:r>
          </w:p>
        </w:tc>
        <w:tc>
          <w:tcPr>
            <w:tcW w:w="1525" w:type="pct"/>
            <w:vAlign w:val="center"/>
          </w:tcPr>
          <w:p>
            <w:pPr>
              <w:spacing w:line="276" w:lineRule="auto"/>
              <w:jc w:val="center"/>
              <w:rPr>
                <w:color w:val="auto"/>
                <w:sz w:val="24"/>
              </w:rPr>
            </w:pPr>
            <w:r>
              <w:rPr>
                <w:rFonts w:hint="eastAsia"/>
                <w:color w:val="auto"/>
                <w:sz w:val="24"/>
              </w:rPr>
              <w:t>冷却塔</w:t>
            </w:r>
          </w:p>
        </w:tc>
        <w:tc>
          <w:tcPr>
            <w:tcW w:w="1365" w:type="pct"/>
            <w:vAlign w:val="center"/>
          </w:tcPr>
          <w:p>
            <w:pPr>
              <w:spacing w:line="276" w:lineRule="auto"/>
              <w:jc w:val="center"/>
              <w:rPr>
                <w:color w:val="auto"/>
                <w:sz w:val="24"/>
              </w:rPr>
            </w:pPr>
            <w:r>
              <w:rPr>
                <w:rFonts w:hint="eastAsia"/>
                <w:color w:val="auto"/>
                <w:sz w:val="24"/>
              </w:rPr>
              <w:t>循环使用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Merge w:val="continue"/>
            <w:vAlign w:val="center"/>
          </w:tcPr>
          <w:p>
            <w:pPr>
              <w:spacing w:line="276" w:lineRule="auto"/>
              <w:jc w:val="center"/>
              <w:rPr>
                <w:color w:val="auto"/>
                <w:sz w:val="24"/>
              </w:rPr>
            </w:pPr>
          </w:p>
        </w:tc>
        <w:tc>
          <w:tcPr>
            <w:tcW w:w="683" w:type="pct"/>
            <w:vAlign w:val="center"/>
          </w:tcPr>
          <w:p>
            <w:pPr>
              <w:spacing w:line="276" w:lineRule="auto"/>
              <w:jc w:val="center"/>
              <w:rPr>
                <w:color w:val="auto"/>
                <w:sz w:val="24"/>
              </w:rPr>
            </w:pPr>
            <w:r>
              <w:rPr>
                <w:rFonts w:hint="eastAsia"/>
                <w:color w:val="auto"/>
                <w:sz w:val="24"/>
              </w:rPr>
              <w:t>办公生活</w:t>
            </w:r>
          </w:p>
        </w:tc>
        <w:tc>
          <w:tcPr>
            <w:tcW w:w="838" w:type="pct"/>
            <w:vAlign w:val="center"/>
          </w:tcPr>
          <w:p>
            <w:pPr>
              <w:spacing w:line="276" w:lineRule="auto"/>
              <w:jc w:val="center"/>
              <w:rPr>
                <w:color w:val="auto"/>
                <w:sz w:val="24"/>
              </w:rPr>
            </w:pPr>
            <w:r>
              <w:rPr>
                <w:rFonts w:hint="eastAsia"/>
                <w:color w:val="auto"/>
                <w:sz w:val="24"/>
              </w:rPr>
              <w:t>生活污水、餐饮废水</w:t>
            </w:r>
          </w:p>
        </w:tc>
        <w:tc>
          <w:tcPr>
            <w:tcW w:w="1525" w:type="pct"/>
            <w:vAlign w:val="center"/>
          </w:tcPr>
          <w:p>
            <w:pPr>
              <w:spacing w:line="276" w:lineRule="auto"/>
              <w:jc w:val="center"/>
              <w:rPr>
                <w:color w:val="auto"/>
                <w:sz w:val="24"/>
              </w:rPr>
            </w:pPr>
            <w:r>
              <w:rPr>
                <w:rFonts w:hint="eastAsia"/>
                <w:color w:val="auto"/>
                <w:sz w:val="24"/>
              </w:rPr>
              <w:t>排入管网</w:t>
            </w:r>
          </w:p>
        </w:tc>
        <w:tc>
          <w:tcPr>
            <w:tcW w:w="1365" w:type="pct"/>
            <w:vAlign w:val="center"/>
          </w:tcPr>
          <w:p>
            <w:pPr>
              <w:spacing w:line="276" w:lineRule="auto"/>
              <w:jc w:val="center"/>
              <w:rPr>
                <w:color w:val="auto"/>
                <w:sz w:val="24"/>
              </w:rPr>
            </w:pPr>
            <w:r>
              <w:rPr>
                <w:rFonts w:hint="eastAsia"/>
                <w:color w:val="auto"/>
                <w:sz w:val="24"/>
              </w:rPr>
              <w:t>影响较小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Merge w:val="restart"/>
            <w:vAlign w:val="center"/>
          </w:tcPr>
          <w:p>
            <w:pPr>
              <w:spacing w:line="276" w:lineRule="auto"/>
              <w:jc w:val="center"/>
              <w:rPr>
                <w:color w:val="auto"/>
                <w:sz w:val="24"/>
              </w:rPr>
            </w:pPr>
            <w:r>
              <w:rPr>
                <w:rFonts w:hint="eastAsia"/>
                <w:color w:val="auto"/>
                <w:sz w:val="24"/>
              </w:rPr>
              <w:t>固体废弃物</w:t>
            </w:r>
          </w:p>
        </w:tc>
        <w:tc>
          <w:tcPr>
            <w:tcW w:w="683" w:type="pct"/>
            <w:vAlign w:val="center"/>
          </w:tcPr>
          <w:p>
            <w:pPr>
              <w:spacing w:line="276" w:lineRule="auto"/>
              <w:jc w:val="center"/>
              <w:rPr>
                <w:color w:val="auto"/>
                <w:sz w:val="24"/>
              </w:rPr>
            </w:pPr>
            <w:r>
              <w:rPr>
                <w:rFonts w:hint="eastAsia"/>
                <w:color w:val="auto"/>
                <w:sz w:val="24"/>
              </w:rPr>
              <w:t>办公区、生活区</w:t>
            </w:r>
          </w:p>
        </w:tc>
        <w:tc>
          <w:tcPr>
            <w:tcW w:w="838" w:type="pct"/>
            <w:vAlign w:val="center"/>
          </w:tcPr>
          <w:p>
            <w:pPr>
              <w:spacing w:line="276" w:lineRule="auto"/>
              <w:jc w:val="center"/>
              <w:rPr>
                <w:color w:val="auto"/>
                <w:sz w:val="24"/>
              </w:rPr>
            </w:pPr>
            <w:r>
              <w:rPr>
                <w:rFonts w:hint="eastAsia"/>
                <w:color w:val="auto"/>
                <w:sz w:val="24"/>
              </w:rPr>
              <w:t>生活垃圾</w:t>
            </w:r>
          </w:p>
        </w:tc>
        <w:tc>
          <w:tcPr>
            <w:tcW w:w="1525" w:type="pct"/>
            <w:vAlign w:val="center"/>
          </w:tcPr>
          <w:p>
            <w:pPr>
              <w:spacing w:line="276" w:lineRule="auto"/>
              <w:jc w:val="center"/>
              <w:rPr>
                <w:color w:val="auto"/>
                <w:sz w:val="24"/>
              </w:rPr>
            </w:pPr>
            <w:r>
              <w:rPr>
                <w:rFonts w:hint="eastAsia"/>
                <w:color w:val="auto"/>
                <w:sz w:val="24"/>
              </w:rPr>
              <w:t>垃圾收集箱、环卫部门清运</w:t>
            </w:r>
          </w:p>
        </w:tc>
        <w:tc>
          <w:tcPr>
            <w:tcW w:w="1365" w:type="pct"/>
            <w:vAlign w:val="center"/>
          </w:tcPr>
          <w:p>
            <w:pPr>
              <w:spacing w:line="276" w:lineRule="auto"/>
              <w:jc w:val="center"/>
              <w:rPr>
                <w:color w:val="auto"/>
                <w:sz w:val="24"/>
              </w:rPr>
            </w:pPr>
            <w:r>
              <w:rPr>
                <w:rFonts w:hint="eastAsia"/>
                <w:color w:val="auto"/>
                <w:sz w:val="24"/>
              </w:rPr>
              <w:t>影响较小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Merge w:val="continue"/>
            <w:vAlign w:val="center"/>
          </w:tcPr>
          <w:p>
            <w:pPr>
              <w:spacing w:line="276" w:lineRule="auto"/>
              <w:jc w:val="center"/>
              <w:rPr>
                <w:color w:val="auto"/>
                <w:sz w:val="24"/>
              </w:rPr>
            </w:pPr>
          </w:p>
        </w:tc>
        <w:tc>
          <w:tcPr>
            <w:tcW w:w="683" w:type="pct"/>
            <w:vMerge w:val="restart"/>
            <w:vAlign w:val="center"/>
          </w:tcPr>
          <w:p>
            <w:pPr>
              <w:spacing w:line="288" w:lineRule="auto"/>
              <w:jc w:val="center"/>
              <w:rPr>
                <w:color w:val="auto"/>
                <w:sz w:val="24"/>
              </w:rPr>
            </w:pPr>
            <w:r>
              <w:rPr>
                <w:rFonts w:hint="eastAsia"/>
                <w:color w:val="auto"/>
                <w:sz w:val="24"/>
              </w:rPr>
              <w:t>废包装</w:t>
            </w:r>
          </w:p>
        </w:tc>
        <w:tc>
          <w:tcPr>
            <w:tcW w:w="838" w:type="pct"/>
            <w:vAlign w:val="center"/>
          </w:tcPr>
          <w:p>
            <w:pPr>
              <w:spacing w:line="288" w:lineRule="auto"/>
              <w:jc w:val="center"/>
              <w:rPr>
                <w:color w:val="auto"/>
                <w:sz w:val="24"/>
              </w:rPr>
            </w:pPr>
            <w:r>
              <w:rPr>
                <w:rFonts w:hint="eastAsia"/>
                <w:color w:val="auto"/>
                <w:sz w:val="24"/>
              </w:rPr>
              <w:t>废包装袋及包装箱</w:t>
            </w:r>
          </w:p>
        </w:tc>
        <w:tc>
          <w:tcPr>
            <w:tcW w:w="1525" w:type="pct"/>
            <w:vMerge w:val="restart"/>
            <w:vAlign w:val="center"/>
          </w:tcPr>
          <w:p>
            <w:pPr>
              <w:spacing w:line="276" w:lineRule="auto"/>
              <w:jc w:val="center"/>
              <w:rPr>
                <w:color w:val="auto"/>
                <w:sz w:val="24"/>
              </w:rPr>
            </w:pPr>
            <w:r>
              <w:rPr>
                <w:rFonts w:hint="eastAsia"/>
                <w:color w:val="auto"/>
                <w:sz w:val="24"/>
              </w:rPr>
              <w:t>集中收集后外售给废品回收站</w:t>
            </w:r>
          </w:p>
        </w:tc>
        <w:tc>
          <w:tcPr>
            <w:tcW w:w="1365" w:type="pct"/>
            <w:vMerge w:val="restart"/>
            <w:vAlign w:val="center"/>
          </w:tcPr>
          <w:p>
            <w:pPr>
              <w:spacing w:line="276" w:lineRule="auto"/>
              <w:jc w:val="center"/>
              <w:rPr>
                <w:color w:val="auto"/>
                <w:sz w:val="24"/>
              </w:rPr>
            </w:pPr>
            <w:r>
              <w:rPr>
                <w:rFonts w:hint="eastAsia"/>
                <w:color w:val="auto"/>
                <w:sz w:val="24"/>
              </w:rPr>
              <w:t>综合利用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Merge w:val="continue"/>
            <w:vAlign w:val="center"/>
          </w:tcPr>
          <w:p>
            <w:pPr>
              <w:spacing w:line="276" w:lineRule="auto"/>
              <w:jc w:val="center"/>
              <w:rPr>
                <w:color w:val="auto"/>
                <w:sz w:val="24"/>
              </w:rPr>
            </w:pPr>
          </w:p>
        </w:tc>
        <w:tc>
          <w:tcPr>
            <w:tcW w:w="683" w:type="pct"/>
            <w:vMerge w:val="continue"/>
            <w:vAlign w:val="center"/>
          </w:tcPr>
          <w:p>
            <w:pPr>
              <w:spacing w:line="288" w:lineRule="auto"/>
              <w:jc w:val="center"/>
              <w:rPr>
                <w:color w:val="auto"/>
                <w:sz w:val="24"/>
              </w:rPr>
            </w:pPr>
          </w:p>
        </w:tc>
        <w:tc>
          <w:tcPr>
            <w:tcW w:w="838" w:type="pct"/>
            <w:vAlign w:val="center"/>
          </w:tcPr>
          <w:p>
            <w:pPr>
              <w:spacing w:line="288" w:lineRule="auto"/>
              <w:jc w:val="center"/>
              <w:rPr>
                <w:color w:val="auto"/>
                <w:sz w:val="24"/>
              </w:rPr>
            </w:pPr>
            <w:r>
              <w:rPr>
                <w:rFonts w:hint="eastAsia"/>
                <w:color w:val="auto"/>
                <w:sz w:val="24"/>
              </w:rPr>
              <w:t>废原料袋</w:t>
            </w:r>
          </w:p>
        </w:tc>
        <w:tc>
          <w:tcPr>
            <w:tcW w:w="1525" w:type="pct"/>
            <w:vMerge w:val="continue"/>
            <w:vAlign w:val="center"/>
          </w:tcPr>
          <w:p>
            <w:pPr>
              <w:spacing w:line="276" w:lineRule="auto"/>
              <w:jc w:val="center"/>
              <w:rPr>
                <w:color w:val="auto"/>
                <w:sz w:val="24"/>
              </w:rPr>
            </w:pPr>
          </w:p>
        </w:tc>
        <w:tc>
          <w:tcPr>
            <w:tcW w:w="1365" w:type="pct"/>
            <w:vMerge w:val="continue"/>
            <w:vAlign w:val="center"/>
          </w:tcPr>
          <w:p>
            <w:pPr>
              <w:spacing w:line="276" w:lineRule="auto"/>
              <w:jc w:val="center"/>
              <w:rPr>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12" w:hRule="atLeast"/>
        </w:trPr>
        <w:tc>
          <w:tcPr>
            <w:tcW w:w="587" w:type="pct"/>
            <w:vMerge w:val="continue"/>
            <w:textDirection w:val="tbRlV"/>
            <w:vAlign w:val="center"/>
          </w:tcPr>
          <w:p>
            <w:pPr>
              <w:spacing w:line="276" w:lineRule="auto"/>
              <w:jc w:val="center"/>
              <w:rPr>
                <w:color w:val="auto"/>
                <w:sz w:val="24"/>
              </w:rPr>
            </w:pPr>
          </w:p>
        </w:tc>
        <w:tc>
          <w:tcPr>
            <w:tcW w:w="683" w:type="pct"/>
            <w:vAlign w:val="center"/>
          </w:tcPr>
          <w:p>
            <w:pPr>
              <w:spacing w:line="276" w:lineRule="auto"/>
              <w:jc w:val="center"/>
              <w:rPr>
                <w:color w:val="auto"/>
                <w:sz w:val="24"/>
              </w:rPr>
            </w:pPr>
            <w:r>
              <w:rPr>
                <w:rFonts w:hint="eastAsia"/>
                <w:color w:val="auto"/>
                <w:sz w:val="24"/>
              </w:rPr>
              <w:t>不合格</w:t>
            </w:r>
          </w:p>
          <w:p>
            <w:pPr>
              <w:spacing w:line="276" w:lineRule="auto"/>
              <w:jc w:val="center"/>
              <w:rPr>
                <w:color w:val="auto"/>
                <w:sz w:val="24"/>
              </w:rPr>
            </w:pPr>
            <w:r>
              <w:rPr>
                <w:rFonts w:hint="eastAsia"/>
                <w:color w:val="auto"/>
                <w:sz w:val="24"/>
              </w:rPr>
              <w:t>产品</w:t>
            </w:r>
          </w:p>
        </w:tc>
        <w:tc>
          <w:tcPr>
            <w:tcW w:w="838" w:type="pct"/>
            <w:vAlign w:val="center"/>
          </w:tcPr>
          <w:p>
            <w:pPr>
              <w:spacing w:line="276" w:lineRule="auto"/>
              <w:jc w:val="center"/>
              <w:rPr>
                <w:color w:val="auto"/>
                <w:sz w:val="24"/>
              </w:rPr>
            </w:pPr>
            <w:r>
              <w:rPr>
                <w:rFonts w:hint="eastAsia"/>
                <w:color w:val="auto"/>
                <w:sz w:val="24"/>
              </w:rPr>
              <w:t>边角料及不合格产品</w:t>
            </w:r>
          </w:p>
        </w:tc>
        <w:tc>
          <w:tcPr>
            <w:tcW w:w="1525" w:type="pct"/>
            <w:vMerge w:val="restart"/>
            <w:vAlign w:val="center"/>
          </w:tcPr>
          <w:p>
            <w:pPr>
              <w:spacing w:line="276" w:lineRule="auto"/>
              <w:jc w:val="center"/>
              <w:rPr>
                <w:color w:val="auto"/>
                <w:sz w:val="24"/>
              </w:rPr>
            </w:pPr>
            <w:r>
              <w:rPr>
                <w:rFonts w:hint="eastAsia"/>
                <w:color w:val="auto"/>
                <w:sz w:val="24"/>
              </w:rPr>
              <w:t>回用至生产环节</w:t>
            </w:r>
          </w:p>
        </w:tc>
        <w:tc>
          <w:tcPr>
            <w:tcW w:w="1365" w:type="pct"/>
            <w:vAlign w:val="center"/>
          </w:tcPr>
          <w:p>
            <w:pPr>
              <w:spacing w:line="276" w:lineRule="auto"/>
              <w:jc w:val="center"/>
              <w:rPr>
                <w:color w:val="auto"/>
                <w:sz w:val="24"/>
              </w:rPr>
            </w:pPr>
            <w:r>
              <w:rPr>
                <w:rFonts w:hint="eastAsia"/>
                <w:color w:val="auto"/>
                <w:sz w:val="24"/>
              </w:rPr>
              <w:t>综合利用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5" w:hRule="atLeast"/>
        </w:trPr>
        <w:tc>
          <w:tcPr>
            <w:tcW w:w="587" w:type="pct"/>
            <w:vMerge w:val="continue"/>
            <w:vAlign w:val="center"/>
          </w:tcPr>
          <w:p>
            <w:pPr>
              <w:spacing w:line="276" w:lineRule="auto"/>
              <w:jc w:val="center"/>
              <w:rPr>
                <w:color w:val="auto"/>
                <w:sz w:val="24"/>
              </w:rPr>
            </w:pPr>
          </w:p>
        </w:tc>
        <w:tc>
          <w:tcPr>
            <w:tcW w:w="683" w:type="pct"/>
            <w:vAlign w:val="center"/>
          </w:tcPr>
          <w:p>
            <w:pPr>
              <w:spacing w:line="276" w:lineRule="auto"/>
              <w:jc w:val="center"/>
              <w:rPr>
                <w:color w:val="auto"/>
                <w:sz w:val="24"/>
              </w:rPr>
            </w:pPr>
            <w:r>
              <w:rPr>
                <w:rFonts w:hint="eastAsia"/>
                <w:color w:val="auto"/>
                <w:sz w:val="24"/>
              </w:rPr>
              <w:t>活性炭吸附装置</w:t>
            </w:r>
          </w:p>
        </w:tc>
        <w:tc>
          <w:tcPr>
            <w:tcW w:w="838" w:type="pct"/>
            <w:vAlign w:val="center"/>
          </w:tcPr>
          <w:p>
            <w:pPr>
              <w:spacing w:line="276" w:lineRule="auto"/>
              <w:jc w:val="center"/>
              <w:rPr>
                <w:color w:val="auto"/>
                <w:sz w:val="24"/>
              </w:rPr>
            </w:pPr>
            <w:r>
              <w:rPr>
                <w:rFonts w:hint="eastAsia"/>
                <w:color w:val="auto"/>
                <w:sz w:val="24"/>
              </w:rPr>
              <w:t>废活性炭</w:t>
            </w:r>
          </w:p>
        </w:tc>
        <w:tc>
          <w:tcPr>
            <w:tcW w:w="1525" w:type="pct"/>
            <w:vMerge w:val="restart"/>
            <w:vAlign w:val="center"/>
          </w:tcPr>
          <w:p>
            <w:pPr>
              <w:spacing w:line="276" w:lineRule="auto"/>
              <w:jc w:val="center"/>
              <w:rPr>
                <w:color w:val="auto"/>
                <w:sz w:val="24"/>
              </w:rPr>
            </w:pPr>
            <w:r>
              <w:rPr>
                <w:rFonts w:hint="eastAsia"/>
                <w:color w:val="auto"/>
                <w:sz w:val="24"/>
              </w:rPr>
              <w:t>设置危废暂存间，委托有资质单位处置</w:t>
            </w:r>
          </w:p>
        </w:tc>
        <w:tc>
          <w:tcPr>
            <w:tcW w:w="1365" w:type="pct"/>
            <w:vAlign w:val="center"/>
          </w:tcPr>
          <w:p>
            <w:pPr>
              <w:spacing w:line="276" w:lineRule="auto"/>
              <w:jc w:val="center"/>
              <w:rPr>
                <w:color w:val="auto"/>
                <w:sz w:val="24"/>
              </w:rPr>
            </w:pPr>
            <w:r>
              <w:rPr>
                <w:rFonts w:hint="eastAsia"/>
                <w:color w:val="auto"/>
                <w:sz w:val="24"/>
              </w:rPr>
              <w:t>影响较小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5" w:hRule="atLeast"/>
        </w:trPr>
        <w:tc>
          <w:tcPr>
            <w:tcW w:w="587" w:type="pct"/>
            <w:vMerge w:val="continue"/>
            <w:vAlign w:val="center"/>
          </w:tcPr>
          <w:p>
            <w:pPr>
              <w:spacing w:line="276" w:lineRule="auto"/>
              <w:jc w:val="center"/>
              <w:rPr>
                <w:color w:val="auto"/>
                <w:sz w:val="24"/>
              </w:rPr>
            </w:pPr>
          </w:p>
        </w:tc>
        <w:tc>
          <w:tcPr>
            <w:tcW w:w="683" w:type="pct"/>
            <w:vAlign w:val="center"/>
          </w:tcPr>
          <w:p>
            <w:pPr>
              <w:spacing w:line="276" w:lineRule="auto"/>
              <w:jc w:val="center"/>
              <w:rPr>
                <w:color w:val="auto"/>
                <w:sz w:val="24"/>
              </w:rPr>
            </w:pPr>
            <w:r>
              <w:rPr>
                <w:rFonts w:hint="eastAsia"/>
                <w:color w:val="auto"/>
                <w:sz w:val="24"/>
              </w:rPr>
              <w:t>光催化氧化装置</w:t>
            </w:r>
          </w:p>
        </w:tc>
        <w:tc>
          <w:tcPr>
            <w:tcW w:w="838" w:type="pct"/>
            <w:vAlign w:val="center"/>
          </w:tcPr>
          <w:p>
            <w:pPr>
              <w:spacing w:line="276" w:lineRule="auto"/>
              <w:jc w:val="center"/>
              <w:rPr>
                <w:color w:val="auto"/>
                <w:sz w:val="24"/>
              </w:rPr>
            </w:pPr>
            <w:r>
              <w:rPr>
                <w:rFonts w:hint="eastAsia"/>
                <w:color w:val="auto"/>
                <w:sz w:val="24"/>
              </w:rPr>
              <w:t>废灯管</w:t>
            </w:r>
          </w:p>
        </w:tc>
        <w:tc>
          <w:tcPr>
            <w:tcW w:w="1525" w:type="pct"/>
            <w:vMerge w:val="continue"/>
            <w:vAlign w:val="center"/>
          </w:tcPr>
          <w:p>
            <w:pPr>
              <w:spacing w:line="276" w:lineRule="auto"/>
              <w:jc w:val="center"/>
              <w:rPr>
                <w:color w:val="auto"/>
                <w:sz w:val="24"/>
              </w:rPr>
            </w:pPr>
          </w:p>
        </w:tc>
        <w:tc>
          <w:tcPr>
            <w:tcW w:w="1365" w:type="pct"/>
            <w:vAlign w:val="center"/>
          </w:tcPr>
          <w:p>
            <w:pPr>
              <w:spacing w:line="276" w:lineRule="auto"/>
              <w:jc w:val="center"/>
              <w:rPr>
                <w:color w:val="auto"/>
                <w:sz w:val="24"/>
              </w:rPr>
            </w:pPr>
            <w:r>
              <w:rPr>
                <w:rFonts w:hint="eastAsia"/>
                <w:color w:val="auto"/>
                <w:sz w:val="24"/>
              </w:rPr>
              <w:t>影响较小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5" w:hRule="atLeast"/>
        </w:trPr>
        <w:tc>
          <w:tcPr>
            <w:tcW w:w="587" w:type="pct"/>
            <w:vMerge w:val="continue"/>
            <w:vAlign w:val="center"/>
          </w:tcPr>
          <w:p>
            <w:pPr>
              <w:spacing w:line="276" w:lineRule="auto"/>
              <w:jc w:val="center"/>
              <w:rPr>
                <w:color w:val="auto"/>
                <w:sz w:val="24"/>
              </w:rPr>
            </w:pPr>
          </w:p>
        </w:tc>
        <w:tc>
          <w:tcPr>
            <w:tcW w:w="683" w:type="pct"/>
            <w:vAlign w:val="center"/>
          </w:tcPr>
          <w:p>
            <w:pPr>
              <w:spacing w:line="276" w:lineRule="auto"/>
              <w:jc w:val="center"/>
              <w:rPr>
                <w:color w:val="auto"/>
                <w:sz w:val="24"/>
              </w:rPr>
            </w:pPr>
            <w:r>
              <w:rPr>
                <w:rFonts w:hint="eastAsia"/>
                <w:color w:val="auto"/>
                <w:sz w:val="24"/>
              </w:rPr>
              <w:t>机械维修</w:t>
            </w:r>
          </w:p>
        </w:tc>
        <w:tc>
          <w:tcPr>
            <w:tcW w:w="838" w:type="pct"/>
            <w:vAlign w:val="center"/>
          </w:tcPr>
          <w:p>
            <w:pPr>
              <w:spacing w:line="276" w:lineRule="auto"/>
              <w:jc w:val="center"/>
              <w:rPr>
                <w:color w:val="auto"/>
                <w:sz w:val="24"/>
              </w:rPr>
            </w:pPr>
            <w:r>
              <w:rPr>
                <w:rFonts w:hint="eastAsia"/>
                <w:color w:val="auto"/>
                <w:sz w:val="24"/>
              </w:rPr>
              <w:t>废机油</w:t>
            </w:r>
          </w:p>
        </w:tc>
        <w:tc>
          <w:tcPr>
            <w:tcW w:w="1525" w:type="pct"/>
            <w:vMerge w:val="continue"/>
            <w:vAlign w:val="center"/>
          </w:tcPr>
          <w:p>
            <w:pPr>
              <w:spacing w:line="276" w:lineRule="auto"/>
              <w:jc w:val="center"/>
              <w:rPr>
                <w:color w:val="auto"/>
                <w:sz w:val="24"/>
              </w:rPr>
            </w:pPr>
          </w:p>
        </w:tc>
        <w:tc>
          <w:tcPr>
            <w:tcW w:w="1365" w:type="pct"/>
            <w:vAlign w:val="center"/>
          </w:tcPr>
          <w:p>
            <w:pPr>
              <w:spacing w:line="276" w:lineRule="auto"/>
              <w:jc w:val="center"/>
              <w:rPr>
                <w:color w:val="auto"/>
                <w:sz w:val="24"/>
              </w:rPr>
            </w:pPr>
            <w:r>
              <w:rPr>
                <w:rFonts w:hint="eastAsia"/>
                <w:color w:val="auto"/>
                <w:sz w:val="24"/>
              </w:rPr>
              <w:t>影响较小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Align w:val="center"/>
          </w:tcPr>
          <w:p>
            <w:pPr>
              <w:spacing w:line="276" w:lineRule="auto"/>
              <w:jc w:val="center"/>
              <w:rPr>
                <w:color w:val="auto"/>
                <w:sz w:val="24"/>
              </w:rPr>
            </w:pPr>
            <w:r>
              <w:rPr>
                <w:color w:val="auto"/>
                <w:sz w:val="24"/>
              </w:rPr>
              <w:t>噪声</w:t>
            </w:r>
          </w:p>
        </w:tc>
        <w:tc>
          <w:tcPr>
            <w:tcW w:w="4412" w:type="pct"/>
            <w:gridSpan w:val="4"/>
            <w:vAlign w:val="center"/>
          </w:tcPr>
          <w:p>
            <w:pPr>
              <w:spacing w:line="276" w:lineRule="auto"/>
              <w:ind w:firstLine="480" w:firstLineChars="200"/>
              <w:rPr>
                <w:color w:val="auto"/>
                <w:sz w:val="24"/>
              </w:rPr>
            </w:pPr>
            <w:r>
              <w:rPr>
                <w:color w:val="auto"/>
                <w:sz w:val="24"/>
              </w:rPr>
              <w:t>噪声通过加强管理、建筑设置隔声门窗、设备设置隔声罩、隔振措施。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0" w:hRule="atLeast"/>
        </w:trPr>
        <w:tc>
          <w:tcPr>
            <w:tcW w:w="587" w:type="pct"/>
            <w:vAlign w:val="center"/>
          </w:tcPr>
          <w:p>
            <w:pPr>
              <w:spacing w:line="276" w:lineRule="auto"/>
              <w:jc w:val="center"/>
              <w:rPr>
                <w:color w:val="auto"/>
                <w:sz w:val="24"/>
              </w:rPr>
            </w:pPr>
            <w:r>
              <w:rPr>
                <w:color w:val="auto"/>
                <w:sz w:val="24"/>
              </w:rPr>
              <w:t>其他</w:t>
            </w:r>
          </w:p>
        </w:tc>
        <w:tc>
          <w:tcPr>
            <w:tcW w:w="4412" w:type="pct"/>
            <w:gridSpan w:val="4"/>
            <w:vAlign w:val="center"/>
          </w:tcPr>
          <w:p>
            <w:pPr>
              <w:spacing w:line="276" w:lineRule="auto"/>
              <w:jc w:val="center"/>
              <w:rPr>
                <w:color w:val="auto"/>
                <w:sz w:val="24"/>
              </w:rPr>
            </w:pPr>
            <w:r>
              <w:rPr>
                <w:color w:val="auto"/>
                <w:sz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trPr>
        <w:tc>
          <w:tcPr>
            <w:tcW w:w="5000" w:type="pct"/>
            <w:gridSpan w:val="5"/>
            <w:vAlign w:val="center"/>
          </w:tcPr>
          <w:p>
            <w:pPr>
              <w:spacing w:line="520" w:lineRule="exact"/>
              <w:rPr>
                <w:b/>
                <w:color w:val="auto"/>
                <w:sz w:val="28"/>
                <w:szCs w:val="28"/>
              </w:rPr>
            </w:pPr>
            <w:r>
              <w:rPr>
                <w:b/>
                <w:color w:val="auto"/>
                <w:sz w:val="28"/>
                <w:szCs w:val="28"/>
              </w:rPr>
              <w:t>生态保护措施及预期效果</w:t>
            </w:r>
          </w:p>
          <w:p>
            <w:pPr>
              <w:spacing w:line="520" w:lineRule="exact"/>
              <w:ind w:firstLine="560" w:firstLineChars="200"/>
              <w:rPr>
                <w:color w:val="auto"/>
                <w:sz w:val="28"/>
                <w:szCs w:val="28"/>
              </w:rPr>
            </w:pPr>
            <w:r>
              <w:rPr>
                <w:rFonts w:hint="eastAsia" w:hAnsi="宋体"/>
                <w:color w:val="auto"/>
                <w:sz w:val="28"/>
                <w:szCs w:val="28"/>
              </w:rPr>
              <w:t>本项目</w:t>
            </w:r>
            <w:r>
              <w:rPr>
                <w:rFonts w:hint="eastAsia"/>
                <w:bCs/>
                <w:color w:val="auto"/>
                <w:kern w:val="0"/>
                <w:sz w:val="28"/>
              </w:rPr>
              <w:t>位于巩留县恰甫其海路南侧众帮苯板厂院内</w:t>
            </w:r>
            <w:r>
              <w:rPr>
                <w:rFonts w:hint="eastAsia"/>
                <w:color w:val="auto"/>
                <w:sz w:val="28"/>
                <w:szCs w:val="28"/>
              </w:rPr>
              <w:t>，本项目租用</w:t>
            </w:r>
            <w:r>
              <w:rPr>
                <w:rFonts w:hint="eastAsia"/>
                <w:bCs/>
                <w:color w:val="auto"/>
                <w:kern w:val="0"/>
                <w:sz w:val="28"/>
              </w:rPr>
              <w:t>众帮苯板厂750m</w:t>
            </w:r>
            <w:r>
              <w:rPr>
                <w:rFonts w:hint="eastAsia"/>
                <w:bCs/>
                <w:color w:val="auto"/>
                <w:kern w:val="0"/>
                <w:sz w:val="28"/>
                <w:vertAlign w:val="superscript"/>
              </w:rPr>
              <w:t>2</w:t>
            </w:r>
            <w:r>
              <w:rPr>
                <w:rFonts w:hint="eastAsia"/>
                <w:bCs/>
                <w:color w:val="auto"/>
                <w:kern w:val="0"/>
                <w:sz w:val="28"/>
              </w:rPr>
              <w:t>厂房及办公用房，</w:t>
            </w:r>
            <w:r>
              <w:rPr>
                <w:rFonts w:hint="eastAsia"/>
                <w:color w:val="auto"/>
                <w:sz w:val="28"/>
                <w:szCs w:val="28"/>
              </w:rPr>
              <w:t>项目区东侧为文化路，南侧为众帮苯板厂，西侧为巩留县天汇商贸有限责任公司（彩钢板厂），北侧为粮食购销有限责任公司</w:t>
            </w:r>
            <w:r>
              <w:rPr>
                <w:rFonts w:hint="eastAsia" w:hAnsi="宋体"/>
                <w:color w:val="auto"/>
                <w:sz w:val="28"/>
                <w:szCs w:val="28"/>
              </w:rPr>
              <w:t>。本项目</w:t>
            </w:r>
            <w:r>
              <w:rPr>
                <w:bCs/>
                <w:color w:val="auto"/>
                <w:sz w:val="28"/>
                <w:szCs w:val="28"/>
              </w:rPr>
              <w:t>租用</w:t>
            </w:r>
            <w:r>
              <w:rPr>
                <w:rFonts w:hint="eastAsia"/>
                <w:bCs/>
                <w:color w:val="auto"/>
                <w:sz w:val="28"/>
                <w:szCs w:val="28"/>
              </w:rPr>
              <w:t>后</w:t>
            </w:r>
            <w:r>
              <w:rPr>
                <w:bCs/>
                <w:color w:val="auto"/>
                <w:sz w:val="28"/>
                <w:szCs w:val="28"/>
              </w:rPr>
              <w:t>仅</w:t>
            </w:r>
            <w:r>
              <w:rPr>
                <w:rFonts w:hint="eastAsia"/>
                <w:bCs/>
                <w:color w:val="auto"/>
                <w:sz w:val="28"/>
                <w:szCs w:val="28"/>
              </w:rPr>
              <w:t>进行</w:t>
            </w:r>
            <w:r>
              <w:rPr>
                <w:bCs/>
                <w:color w:val="auto"/>
                <w:sz w:val="28"/>
                <w:szCs w:val="28"/>
              </w:rPr>
              <w:t>生产设备</w:t>
            </w:r>
            <w:r>
              <w:rPr>
                <w:rFonts w:hint="eastAsia"/>
                <w:bCs/>
                <w:color w:val="auto"/>
                <w:sz w:val="28"/>
                <w:szCs w:val="28"/>
              </w:rPr>
              <w:t>的安装</w:t>
            </w:r>
            <w:r>
              <w:rPr>
                <w:bCs/>
                <w:color w:val="auto"/>
                <w:sz w:val="28"/>
                <w:szCs w:val="28"/>
              </w:rPr>
              <w:t>和环保设施的布置工作。项目占地均为已建成的厂房、设备，未新增占地，对区域生态的影响已经发生，因此本项目</w:t>
            </w:r>
            <w:r>
              <w:rPr>
                <w:color w:val="auto"/>
                <w:sz w:val="28"/>
              </w:rPr>
              <w:t>对周围生态环境的影响不大</w:t>
            </w:r>
            <w:r>
              <w:rPr>
                <w:color w:val="auto"/>
                <w:sz w:val="28"/>
                <w:szCs w:val="28"/>
              </w:rPr>
              <w:t>。</w:t>
            </w:r>
          </w:p>
        </w:tc>
      </w:tr>
    </w:tbl>
    <w:p>
      <w:pPr>
        <w:pStyle w:val="6"/>
        <w:rPr>
          <w:color w:val="auto"/>
        </w:rPr>
      </w:pPr>
      <w:r>
        <w:rPr>
          <w:color w:val="auto"/>
        </w:rPr>
        <w:br w:type="page"/>
      </w:r>
      <w:r>
        <w:rPr>
          <w:rFonts w:hint="eastAsia" w:ascii="黑体" w:hAnsi="黑体" w:eastAsia="黑体" w:cs="黑体"/>
          <w:b w:val="0"/>
          <w:bCs w:val="0"/>
          <w:color w:val="auto"/>
        </w:rPr>
        <w:t>结论与建议</w:t>
      </w:r>
    </w:p>
    <w:tbl>
      <w:tblPr>
        <w:tblStyle w:val="24"/>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580" w:hRule="atLeast"/>
        </w:trPr>
        <w:tc>
          <w:tcPr>
            <w:tcW w:w="9286" w:type="dxa"/>
          </w:tcPr>
          <w:p>
            <w:pPr>
              <w:spacing w:line="520" w:lineRule="exact"/>
              <w:rPr>
                <w:b/>
                <w:color w:val="auto"/>
                <w:sz w:val="28"/>
                <w:szCs w:val="28"/>
              </w:rPr>
            </w:pPr>
            <w:r>
              <w:rPr>
                <w:b/>
                <w:color w:val="auto"/>
                <w:sz w:val="28"/>
                <w:szCs w:val="28"/>
              </w:rPr>
              <w:t>1</w:t>
            </w:r>
            <w:r>
              <w:rPr>
                <w:rStyle w:val="72"/>
                <w:color w:val="auto"/>
              </w:rPr>
              <w:t>结论</w:t>
            </w:r>
          </w:p>
          <w:p>
            <w:pPr>
              <w:autoSpaceDE w:val="0"/>
              <w:autoSpaceDN w:val="0"/>
              <w:adjustRightInd w:val="0"/>
              <w:spacing w:line="520" w:lineRule="exact"/>
              <w:ind w:firstLine="560" w:firstLineChars="200"/>
              <w:rPr>
                <w:b/>
                <w:color w:val="auto"/>
                <w:sz w:val="28"/>
                <w:szCs w:val="28"/>
              </w:rPr>
            </w:pPr>
            <w:r>
              <w:rPr>
                <w:color w:val="auto"/>
                <w:kern w:val="0"/>
                <w:sz w:val="28"/>
                <w:szCs w:val="28"/>
              </w:rPr>
              <w:t>通过对本项目所在区域的环境质量现状的调查和评价以及对项目施工期和运营期进行的环境影响分析，本评价工作得出以下结论：</w:t>
            </w:r>
          </w:p>
          <w:p>
            <w:pPr>
              <w:pStyle w:val="6"/>
              <w:spacing w:before="0" w:after="0" w:line="520" w:lineRule="exact"/>
              <w:rPr>
                <w:color w:val="auto"/>
                <w:kern w:val="2"/>
              </w:rPr>
            </w:pPr>
            <w:r>
              <w:rPr>
                <w:color w:val="auto"/>
                <w:kern w:val="2"/>
              </w:rPr>
              <w:t>1.1项目产业政策符合性结论</w:t>
            </w:r>
          </w:p>
          <w:p>
            <w:pPr>
              <w:spacing w:line="520" w:lineRule="exact"/>
              <w:ind w:firstLine="560" w:firstLineChars="200"/>
              <w:rPr>
                <w:color w:val="auto"/>
                <w:sz w:val="28"/>
                <w:szCs w:val="28"/>
              </w:rPr>
            </w:pPr>
            <w:r>
              <w:rPr>
                <w:rFonts w:hint="eastAsia"/>
                <w:color w:val="auto"/>
                <w:sz w:val="28"/>
                <w:szCs w:val="28"/>
              </w:rPr>
              <w:t>经查阅《产业结构调整指导目录（2019年本）》，</w:t>
            </w:r>
            <w:r>
              <w:rPr>
                <w:color w:val="auto"/>
                <w:sz w:val="28"/>
                <w:szCs w:val="28"/>
              </w:rPr>
              <w:t>本项目</w:t>
            </w:r>
            <w:r>
              <w:rPr>
                <w:rFonts w:hint="eastAsia"/>
                <w:color w:val="auto"/>
                <w:sz w:val="28"/>
                <w:szCs w:val="28"/>
              </w:rPr>
              <w:t>不属于限制类、淘汰类，属于允许类，项目建设符合产业政策要求</w:t>
            </w:r>
            <w:r>
              <w:rPr>
                <w:color w:val="auto"/>
                <w:sz w:val="28"/>
                <w:szCs w:val="28"/>
              </w:rPr>
              <w:t>。</w:t>
            </w:r>
          </w:p>
          <w:p>
            <w:pPr>
              <w:pStyle w:val="6"/>
              <w:spacing w:before="0" w:after="0" w:line="520" w:lineRule="exact"/>
              <w:jc w:val="both"/>
              <w:rPr>
                <w:color w:val="auto"/>
                <w:kern w:val="2"/>
              </w:rPr>
            </w:pPr>
            <w:r>
              <w:rPr>
                <w:color w:val="auto"/>
                <w:kern w:val="2"/>
              </w:rPr>
              <w:t>1.2项目选址合理性结论</w:t>
            </w:r>
          </w:p>
          <w:p>
            <w:pPr>
              <w:spacing w:line="520" w:lineRule="exact"/>
              <w:ind w:firstLine="560" w:firstLineChars="200"/>
              <w:rPr>
                <w:color w:val="auto"/>
                <w:sz w:val="28"/>
                <w:szCs w:val="28"/>
              </w:rPr>
            </w:pPr>
            <w:r>
              <w:rPr>
                <w:rFonts w:hint="eastAsia"/>
                <w:bCs/>
                <w:color w:val="auto"/>
                <w:kern w:val="0"/>
                <w:sz w:val="28"/>
              </w:rPr>
              <w:t>本项目位于巩留县恰甫其海路南侧众帮苯板厂院内</w:t>
            </w:r>
            <w:r>
              <w:rPr>
                <w:rFonts w:hint="eastAsia"/>
                <w:color w:val="auto"/>
                <w:sz w:val="28"/>
                <w:szCs w:val="28"/>
              </w:rPr>
              <w:t>，占地类型为工业用地。中心地理位置坐标为东经：东经82°14′18.15″，北纬43°30′11.07″。本项目供排水、用电和生活供热均可依托市政已建成的公共设施，项目生产供热通过电暖器供给。拟建项目区周围无学校、医院、居民区、军事基地、自然保护区等环境敏感点，项目建设符合城镇的总体规划。综上所述，本项目选址是合理的。</w:t>
            </w:r>
          </w:p>
          <w:p>
            <w:pPr>
              <w:pStyle w:val="6"/>
              <w:spacing w:line="520" w:lineRule="exact"/>
              <w:jc w:val="both"/>
              <w:rPr>
                <w:color w:val="auto"/>
                <w:kern w:val="2"/>
              </w:rPr>
            </w:pPr>
            <w:r>
              <w:rPr>
                <w:color w:val="auto"/>
                <w:kern w:val="2"/>
              </w:rPr>
              <w:t>1.</w:t>
            </w:r>
            <w:r>
              <w:rPr>
                <w:rFonts w:hint="eastAsia"/>
                <w:color w:val="auto"/>
                <w:kern w:val="2"/>
              </w:rPr>
              <w:t>3平面布置合理性结论</w:t>
            </w:r>
          </w:p>
          <w:p>
            <w:pPr>
              <w:spacing w:line="520" w:lineRule="exact"/>
              <w:ind w:right="25" w:rightChars="12" w:firstLine="560" w:firstLineChars="200"/>
              <w:rPr>
                <w:color w:val="auto"/>
                <w:sz w:val="28"/>
                <w:szCs w:val="28"/>
              </w:rPr>
            </w:pPr>
            <w:r>
              <w:rPr>
                <w:rFonts w:hint="eastAsia"/>
                <w:color w:val="auto"/>
                <w:sz w:val="28"/>
                <w:szCs w:val="28"/>
              </w:rPr>
              <w:t>本项目从原料入厂、输送，到生产过程，再到产品，整体工艺流水线布置合理，物料流向合理，厂区分块合理。办公区与生产区分隔开，生产过程中产生的噪声对办公影响较小。综上所述，本项目厂区和厂房平面布置合理可行。</w:t>
            </w:r>
          </w:p>
          <w:p>
            <w:pPr>
              <w:pStyle w:val="6"/>
              <w:spacing w:line="520" w:lineRule="exact"/>
              <w:jc w:val="both"/>
              <w:rPr>
                <w:color w:val="auto"/>
                <w:kern w:val="2"/>
              </w:rPr>
            </w:pPr>
            <w:r>
              <w:rPr>
                <w:color w:val="auto"/>
                <w:kern w:val="2"/>
              </w:rPr>
              <w:t>1.</w:t>
            </w:r>
            <w:r>
              <w:rPr>
                <w:rFonts w:hint="eastAsia"/>
                <w:color w:val="auto"/>
                <w:kern w:val="2"/>
              </w:rPr>
              <w:t>4</w:t>
            </w:r>
            <w:r>
              <w:rPr>
                <w:color w:val="auto"/>
                <w:kern w:val="2"/>
              </w:rPr>
              <w:t>现状环境质量结论</w:t>
            </w:r>
          </w:p>
          <w:p>
            <w:pPr>
              <w:widowControl/>
              <w:snapToGrid w:val="0"/>
              <w:spacing w:line="520" w:lineRule="exact"/>
              <w:ind w:firstLine="560" w:firstLineChars="200"/>
              <w:jc w:val="left"/>
              <w:rPr>
                <w:color w:val="auto"/>
                <w:kern w:val="0"/>
                <w:sz w:val="28"/>
                <w:szCs w:val="28"/>
              </w:rPr>
            </w:pPr>
            <w:r>
              <w:rPr>
                <w:color w:val="auto"/>
                <w:kern w:val="0"/>
                <w:sz w:val="28"/>
                <w:szCs w:val="28"/>
              </w:rPr>
              <w:t>（1）大气环境质量现状</w:t>
            </w:r>
          </w:p>
          <w:p>
            <w:pPr>
              <w:spacing w:line="520" w:lineRule="exact"/>
              <w:ind w:firstLine="560" w:firstLineChars="200"/>
              <w:textAlignment w:val="baseline"/>
              <w:rPr>
                <w:color w:val="auto"/>
                <w:sz w:val="28"/>
                <w:szCs w:val="28"/>
              </w:rPr>
            </w:pPr>
            <w:r>
              <w:rPr>
                <w:rFonts w:hint="eastAsia"/>
                <w:color w:val="auto"/>
                <w:sz w:val="28"/>
                <w:szCs w:val="28"/>
              </w:rPr>
              <w:t>根据伊宁市2019年环境质量公报数据，</w:t>
            </w:r>
            <w:r>
              <w:rPr>
                <w:color w:val="auto"/>
                <w:sz w:val="28"/>
                <w:szCs w:val="28"/>
              </w:rPr>
              <w:t>评价区域大气环境中</w:t>
            </w:r>
            <w:r>
              <w:rPr>
                <w:rFonts w:hint="eastAsia"/>
                <w:color w:val="auto"/>
                <w:sz w:val="28"/>
                <w:szCs w:val="28"/>
              </w:rPr>
              <w:t>SO</w:t>
            </w:r>
            <w:r>
              <w:rPr>
                <w:rFonts w:hint="eastAsia"/>
                <w:color w:val="auto"/>
                <w:sz w:val="28"/>
                <w:szCs w:val="28"/>
                <w:vertAlign w:val="subscript"/>
              </w:rPr>
              <w:t>2</w:t>
            </w:r>
            <w:r>
              <w:rPr>
                <w:rFonts w:hint="eastAsia"/>
                <w:color w:val="auto"/>
                <w:sz w:val="28"/>
                <w:szCs w:val="28"/>
              </w:rPr>
              <w:t>、NO</w:t>
            </w:r>
            <w:r>
              <w:rPr>
                <w:rFonts w:hint="eastAsia"/>
                <w:color w:val="auto"/>
                <w:sz w:val="28"/>
                <w:szCs w:val="28"/>
                <w:vertAlign w:val="subscript"/>
              </w:rPr>
              <w:t>2</w:t>
            </w:r>
            <w:r>
              <w:rPr>
                <w:rFonts w:hint="eastAsia"/>
                <w:color w:val="auto"/>
                <w:sz w:val="28"/>
                <w:szCs w:val="28"/>
              </w:rPr>
              <w:t>、CO、O</w:t>
            </w:r>
            <w:r>
              <w:rPr>
                <w:rFonts w:hint="eastAsia"/>
                <w:color w:val="auto"/>
                <w:sz w:val="28"/>
                <w:szCs w:val="28"/>
                <w:vertAlign w:val="subscript"/>
              </w:rPr>
              <w:t>3</w:t>
            </w:r>
            <w:r>
              <w:rPr>
                <w:rFonts w:hint="eastAsia"/>
                <w:color w:val="auto"/>
                <w:sz w:val="28"/>
                <w:szCs w:val="28"/>
              </w:rPr>
              <w:t>、</w:t>
            </w:r>
            <w:r>
              <w:rPr>
                <w:rFonts w:hint="eastAsia"/>
                <w:color w:val="auto"/>
                <w:kern w:val="24"/>
                <w:sz w:val="28"/>
                <w:szCs w:val="28"/>
              </w:rPr>
              <w:t>PM</w:t>
            </w:r>
            <w:r>
              <w:rPr>
                <w:rFonts w:hint="eastAsia"/>
                <w:color w:val="auto"/>
                <w:kern w:val="24"/>
                <w:sz w:val="28"/>
                <w:szCs w:val="28"/>
                <w:vertAlign w:val="subscript"/>
              </w:rPr>
              <w:t>10</w:t>
            </w:r>
            <w:r>
              <w:rPr>
                <w:rFonts w:hint="eastAsia"/>
                <w:color w:val="auto"/>
                <w:kern w:val="24"/>
                <w:sz w:val="28"/>
                <w:szCs w:val="28"/>
              </w:rPr>
              <w:t>最大占标率均小于100%浓度均低于《环境空气质量标准》（GB3095—2012）二级标准浓度限值，PM</w:t>
            </w:r>
            <w:r>
              <w:rPr>
                <w:rFonts w:hint="eastAsia"/>
                <w:color w:val="auto"/>
                <w:kern w:val="24"/>
                <w:sz w:val="28"/>
                <w:szCs w:val="28"/>
                <w:vertAlign w:val="subscript"/>
              </w:rPr>
              <w:t>2.5</w:t>
            </w:r>
            <w:r>
              <w:rPr>
                <w:rFonts w:hint="eastAsia"/>
                <w:color w:val="auto"/>
                <w:kern w:val="24"/>
                <w:sz w:val="28"/>
                <w:szCs w:val="28"/>
              </w:rPr>
              <w:t>年均值超标，超标倍数为0.2。根据</w:t>
            </w:r>
            <w:r>
              <w:rPr>
                <w:rFonts w:hint="eastAsia"/>
                <w:color w:val="auto"/>
                <w:kern w:val="24"/>
                <w:sz w:val="28"/>
                <w:szCs w:val="28"/>
                <w:highlight w:val="none"/>
              </w:rPr>
              <w:t>2021年2月</w:t>
            </w:r>
            <w:r>
              <w:rPr>
                <w:rFonts w:hint="eastAsia"/>
                <w:color w:val="auto"/>
                <w:kern w:val="24"/>
                <w:sz w:val="28"/>
                <w:szCs w:val="28"/>
                <w:highlight w:val="none"/>
                <w:lang w:val="en-US" w:eastAsia="zh-CN"/>
              </w:rPr>
              <w:t>7</w:t>
            </w:r>
            <w:r>
              <w:rPr>
                <w:rFonts w:hint="eastAsia"/>
                <w:color w:val="auto"/>
                <w:kern w:val="24"/>
                <w:sz w:val="28"/>
                <w:szCs w:val="28"/>
                <w:highlight w:val="none"/>
              </w:rPr>
              <w:t>日</w:t>
            </w:r>
            <w:r>
              <w:rPr>
                <w:rFonts w:hint="eastAsia"/>
                <w:color w:val="auto"/>
                <w:kern w:val="24"/>
                <w:sz w:val="28"/>
                <w:szCs w:val="28"/>
                <w:highlight w:val="none"/>
                <w:lang w:eastAsia="zh-CN"/>
              </w:rPr>
              <w:t>～</w:t>
            </w:r>
            <w:r>
              <w:rPr>
                <w:rFonts w:hint="eastAsia"/>
                <w:color w:val="auto"/>
                <w:kern w:val="24"/>
                <w:sz w:val="28"/>
                <w:szCs w:val="28"/>
                <w:highlight w:val="none"/>
                <w:lang w:val="en-US" w:eastAsia="zh-CN"/>
              </w:rPr>
              <w:t>2021年2月13日</w:t>
            </w:r>
            <w:r>
              <w:rPr>
                <w:rFonts w:hint="eastAsia"/>
                <w:color w:val="auto"/>
                <w:kern w:val="24"/>
                <w:sz w:val="28"/>
                <w:szCs w:val="28"/>
              </w:rPr>
              <w:t>对项目区现状大气环境的监测结果，非甲烷总烃现状浓度满足《大气污染物综合排放标准详解》浓度限值要求。</w:t>
            </w:r>
          </w:p>
          <w:p>
            <w:pPr>
              <w:widowControl/>
              <w:spacing w:line="520" w:lineRule="exact"/>
              <w:ind w:firstLine="560" w:firstLineChars="200"/>
              <w:jc w:val="left"/>
              <w:rPr>
                <w:color w:val="auto"/>
                <w:kern w:val="24"/>
                <w:sz w:val="28"/>
              </w:rPr>
            </w:pPr>
            <w:r>
              <w:rPr>
                <w:color w:val="auto"/>
                <w:kern w:val="24"/>
                <w:sz w:val="28"/>
              </w:rPr>
              <w:t>（2）</w:t>
            </w:r>
            <w:r>
              <w:rPr>
                <w:rFonts w:hint="eastAsia"/>
                <w:color w:val="auto"/>
                <w:kern w:val="24"/>
                <w:sz w:val="28"/>
              </w:rPr>
              <w:t>地表水</w:t>
            </w:r>
            <w:r>
              <w:rPr>
                <w:color w:val="auto"/>
                <w:kern w:val="24"/>
                <w:sz w:val="28"/>
              </w:rPr>
              <w:t>环境质量现状</w:t>
            </w:r>
          </w:p>
          <w:p>
            <w:pPr>
              <w:spacing w:line="520" w:lineRule="exact"/>
              <w:ind w:firstLine="560" w:firstLineChars="200"/>
              <w:rPr>
                <w:color w:val="auto"/>
                <w:sz w:val="28"/>
                <w:szCs w:val="28"/>
              </w:rPr>
            </w:pPr>
            <w:r>
              <w:rPr>
                <w:rFonts w:hint="eastAsia"/>
                <w:color w:val="auto"/>
                <w:sz w:val="28"/>
                <w:szCs w:val="28"/>
              </w:rPr>
              <w:t>本项目产生的废水主要为生活污水和冷却循环水，本项目冷却循环水循环使用不外排，生活污水依托众帮苯板厂已建管网排入巩留县下水管网，不外排。</w:t>
            </w:r>
          </w:p>
          <w:p>
            <w:pPr>
              <w:widowControl/>
              <w:spacing w:line="520" w:lineRule="exact"/>
              <w:ind w:firstLine="560" w:firstLineChars="200"/>
              <w:jc w:val="left"/>
              <w:rPr>
                <w:color w:val="auto"/>
                <w:kern w:val="24"/>
                <w:sz w:val="28"/>
              </w:rPr>
            </w:pPr>
            <w:r>
              <w:rPr>
                <w:color w:val="auto"/>
                <w:kern w:val="24"/>
                <w:sz w:val="28"/>
              </w:rPr>
              <w:t>（</w:t>
            </w:r>
            <w:r>
              <w:rPr>
                <w:rFonts w:hint="eastAsia"/>
                <w:color w:val="auto"/>
                <w:kern w:val="24"/>
                <w:sz w:val="28"/>
              </w:rPr>
              <w:t>3</w:t>
            </w:r>
            <w:r>
              <w:rPr>
                <w:color w:val="auto"/>
                <w:kern w:val="24"/>
                <w:sz w:val="28"/>
              </w:rPr>
              <w:t>）</w:t>
            </w:r>
            <w:r>
              <w:rPr>
                <w:rFonts w:hint="eastAsia"/>
                <w:color w:val="auto"/>
                <w:kern w:val="24"/>
                <w:sz w:val="28"/>
              </w:rPr>
              <w:t>地下水</w:t>
            </w:r>
            <w:r>
              <w:rPr>
                <w:color w:val="auto"/>
                <w:kern w:val="24"/>
                <w:sz w:val="28"/>
              </w:rPr>
              <w:t>环境质量现状</w:t>
            </w:r>
          </w:p>
          <w:p>
            <w:pPr>
              <w:spacing w:line="520" w:lineRule="exact"/>
              <w:ind w:firstLine="560" w:firstLineChars="200"/>
              <w:rPr>
                <w:color w:val="auto"/>
              </w:rPr>
            </w:pPr>
            <w:r>
              <w:rPr>
                <w:rFonts w:hint="eastAsia"/>
                <w:color w:val="auto"/>
                <w:sz w:val="28"/>
                <w:szCs w:val="28"/>
              </w:rPr>
              <w:t>根据《环境影响评价技术导则—地下水环境》（HJ610—2016）规定，本项目属“附录A地下水环境影响评价行业分类表”中“N轻工——116、塑料制品制造的其他”属于Ⅳ类项目，可不开展地下水环境影响评价。</w:t>
            </w:r>
          </w:p>
          <w:p>
            <w:pPr>
              <w:widowControl/>
              <w:autoSpaceDE w:val="0"/>
              <w:autoSpaceDN w:val="0"/>
              <w:adjustRightInd w:val="0"/>
              <w:spacing w:line="520" w:lineRule="exact"/>
              <w:ind w:firstLine="560" w:firstLineChars="200"/>
              <w:jc w:val="left"/>
              <w:rPr>
                <w:color w:val="auto"/>
                <w:kern w:val="0"/>
                <w:sz w:val="28"/>
                <w:szCs w:val="28"/>
              </w:rPr>
            </w:pPr>
            <w:r>
              <w:rPr>
                <w:color w:val="auto"/>
                <w:kern w:val="0"/>
                <w:sz w:val="28"/>
                <w:szCs w:val="28"/>
              </w:rPr>
              <w:t>（</w:t>
            </w:r>
            <w:r>
              <w:rPr>
                <w:rFonts w:hint="eastAsia"/>
                <w:color w:val="auto"/>
                <w:kern w:val="0"/>
                <w:sz w:val="28"/>
                <w:szCs w:val="28"/>
              </w:rPr>
              <w:t>4</w:t>
            </w:r>
            <w:r>
              <w:rPr>
                <w:color w:val="auto"/>
                <w:kern w:val="0"/>
                <w:sz w:val="28"/>
                <w:szCs w:val="28"/>
              </w:rPr>
              <w:t>）声环境现状</w:t>
            </w:r>
          </w:p>
          <w:p>
            <w:pPr>
              <w:spacing w:line="520" w:lineRule="exact"/>
              <w:ind w:firstLine="560" w:firstLineChars="200"/>
              <w:rPr>
                <w:color w:val="auto"/>
                <w:sz w:val="28"/>
                <w:szCs w:val="28"/>
              </w:rPr>
            </w:pPr>
            <w:r>
              <w:rPr>
                <w:rFonts w:hint="eastAsia"/>
                <w:color w:val="auto"/>
                <w:sz w:val="28"/>
                <w:szCs w:val="28"/>
              </w:rPr>
              <w:t>根据对项目区的噪声现状监测，项目区周边噪声值昼、夜间均满足《声环境质量标准》（GB3096—2008）中</w:t>
            </w:r>
            <w:r>
              <w:rPr>
                <w:rFonts w:hint="eastAsia"/>
                <w:color w:val="auto"/>
                <w:sz w:val="28"/>
                <w:szCs w:val="28"/>
                <w:lang w:val="en-US" w:eastAsia="zh-CN"/>
              </w:rPr>
              <w:t>3</w:t>
            </w:r>
            <w:r>
              <w:rPr>
                <w:rFonts w:hint="eastAsia"/>
                <w:color w:val="auto"/>
                <w:sz w:val="28"/>
                <w:szCs w:val="28"/>
              </w:rPr>
              <w:t>类</w:t>
            </w:r>
            <w:r>
              <w:rPr>
                <w:rFonts w:hint="eastAsia"/>
                <w:color w:val="auto"/>
                <w:sz w:val="28"/>
                <w:szCs w:val="28"/>
              </w:rPr>
              <w:t>声环境功能区标准要求。</w:t>
            </w:r>
            <w:r>
              <w:rPr>
                <w:color w:val="auto"/>
                <w:kern w:val="0"/>
                <w:sz w:val="28"/>
                <w:szCs w:val="28"/>
              </w:rPr>
              <w:t>说明评价区域现状声环境质量良好。</w:t>
            </w:r>
          </w:p>
          <w:p>
            <w:pPr>
              <w:pStyle w:val="6"/>
              <w:spacing w:line="520" w:lineRule="exact"/>
              <w:jc w:val="both"/>
              <w:rPr>
                <w:color w:val="auto"/>
                <w:kern w:val="2"/>
              </w:rPr>
            </w:pPr>
            <w:r>
              <w:rPr>
                <w:color w:val="auto"/>
                <w:kern w:val="2"/>
              </w:rPr>
              <w:t>1.</w:t>
            </w:r>
            <w:r>
              <w:rPr>
                <w:rFonts w:hint="eastAsia"/>
                <w:color w:val="auto"/>
                <w:kern w:val="2"/>
              </w:rPr>
              <w:t>5运营</w:t>
            </w:r>
            <w:r>
              <w:rPr>
                <w:color w:val="auto"/>
                <w:kern w:val="2"/>
              </w:rPr>
              <w:t>期环境影响分析结论</w:t>
            </w:r>
          </w:p>
          <w:p>
            <w:pPr>
              <w:spacing w:line="520" w:lineRule="exact"/>
              <w:ind w:firstLine="570"/>
              <w:rPr>
                <w:color w:val="auto"/>
                <w:sz w:val="28"/>
                <w:szCs w:val="28"/>
              </w:rPr>
            </w:pPr>
            <w:r>
              <w:rPr>
                <w:color w:val="auto"/>
                <w:sz w:val="28"/>
                <w:szCs w:val="28"/>
              </w:rPr>
              <w:t>（1）废气</w:t>
            </w:r>
            <w:r>
              <w:rPr>
                <w:rFonts w:hint="eastAsia"/>
                <w:color w:val="auto"/>
                <w:sz w:val="28"/>
                <w:szCs w:val="28"/>
              </w:rPr>
              <w:t>：运营期</w:t>
            </w:r>
            <w:r>
              <w:rPr>
                <w:color w:val="auto"/>
                <w:sz w:val="28"/>
                <w:szCs w:val="28"/>
              </w:rPr>
              <w:t>废气主要为</w:t>
            </w:r>
            <w:r>
              <w:rPr>
                <w:rFonts w:hint="eastAsia"/>
                <w:color w:val="auto"/>
                <w:sz w:val="28"/>
                <w:szCs w:val="28"/>
              </w:rPr>
              <w:t>非甲烷总烃、油烟废气。</w:t>
            </w:r>
          </w:p>
          <w:p>
            <w:pPr>
              <w:spacing w:line="520" w:lineRule="exact"/>
              <w:ind w:firstLine="560" w:firstLineChars="200"/>
              <w:rPr>
                <w:color w:val="auto"/>
                <w:sz w:val="28"/>
                <w:szCs w:val="28"/>
              </w:rPr>
            </w:pPr>
            <w:r>
              <w:rPr>
                <w:rFonts w:hint="eastAsia"/>
                <w:color w:val="auto"/>
                <w:sz w:val="28"/>
                <w:szCs w:val="28"/>
              </w:rPr>
              <w:t>治理措施：非甲烷总烃采用集气罩收集，之后通过光催化氧化装置+活性炭吸附装置处理后由15m排气筒排放，排放浓度满足《合成树脂工业污染物排放标准》（GB31572-2015）</w:t>
            </w:r>
            <w:r>
              <w:rPr>
                <w:color w:val="auto"/>
                <w:sz w:val="28"/>
                <w:szCs w:val="28"/>
              </w:rPr>
              <w:t>要求</w:t>
            </w:r>
            <w:r>
              <w:rPr>
                <w:rFonts w:hint="eastAsia"/>
                <w:color w:val="auto"/>
                <w:sz w:val="28"/>
                <w:szCs w:val="28"/>
              </w:rPr>
              <w:t>；无组织非甲烷总烃废气排放满足《挥发性有机物无组织排放控制标准》（GB37822-2019）要求。油烟废气通过油烟净化装置处理后排放，满足《餐饮业油烟排放标准（试行）》（GB18483-2001）要求。</w:t>
            </w:r>
          </w:p>
          <w:p>
            <w:pPr>
              <w:spacing w:line="520" w:lineRule="exact"/>
              <w:ind w:firstLine="560" w:firstLineChars="200"/>
              <w:rPr>
                <w:color w:val="auto"/>
                <w:sz w:val="28"/>
                <w:szCs w:val="28"/>
              </w:rPr>
            </w:pPr>
            <w:r>
              <w:rPr>
                <w:rFonts w:hint="eastAsia"/>
                <w:bCs/>
                <w:color w:val="auto"/>
                <w:sz w:val="28"/>
                <w:szCs w:val="28"/>
              </w:rPr>
              <w:t>运营</w:t>
            </w:r>
            <w:r>
              <w:rPr>
                <w:bCs/>
                <w:color w:val="auto"/>
                <w:sz w:val="28"/>
                <w:szCs w:val="28"/>
              </w:rPr>
              <w:t>期经采取上述</w:t>
            </w:r>
            <w:r>
              <w:rPr>
                <w:rFonts w:hint="eastAsia"/>
                <w:bCs/>
                <w:color w:val="auto"/>
                <w:sz w:val="28"/>
                <w:szCs w:val="28"/>
              </w:rPr>
              <w:t>废气</w:t>
            </w:r>
            <w:r>
              <w:rPr>
                <w:bCs/>
                <w:color w:val="auto"/>
                <w:sz w:val="28"/>
                <w:szCs w:val="28"/>
              </w:rPr>
              <w:t>治理措施后，从环境影响的角度分析，项目的环境影响可接受。</w:t>
            </w:r>
          </w:p>
          <w:p>
            <w:pPr>
              <w:spacing w:line="520" w:lineRule="exact"/>
              <w:ind w:firstLine="560" w:firstLineChars="200"/>
              <w:rPr>
                <w:color w:val="auto"/>
                <w:sz w:val="28"/>
                <w:szCs w:val="28"/>
              </w:rPr>
            </w:pPr>
            <w:r>
              <w:rPr>
                <w:color w:val="auto"/>
                <w:sz w:val="28"/>
                <w:szCs w:val="28"/>
              </w:rPr>
              <w:t>（2）废水</w:t>
            </w:r>
            <w:r>
              <w:rPr>
                <w:rFonts w:hint="eastAsia"/>
                <w:color w:val="auto"/>
                <w:sz w:val="28"/>
                <w:szCs w:val="28"/>
              </w:rPr>
              <w:t>：项目运行期间产生的废水主要冷却水和职工办公生活污水、餐饮废水。</w:t>
            </w:r>
          </w:p>
          <w:p>
            <w:pPr>
              <w:spacing w:line="520" w:lineRule="exact"/>
              <w:ind w:firstLine="560" w:firstLineChars="200"/>
              <w:rPr>
                <w:rFonts w:hAnsi="宋体"/>
                <w:bCs/>
                <w:color w:val="auto"/>
                <w:sz w:val="28"/>
                <w:szCs w:val="28"/>
              </w:rPr>
            </w:pPr>
            <w:r>
              <w:rPr>
                <w:color w:val="auto"/>
                <w:sz w:val="28"/>
                <w:szCs w:val="28"/>
              </w:rPr>
              <w:t>治理措施：</w:t>
            </w:r>
            <w:r>
              <w:rPr>
                <w:rFonts w:hint="eastAsia"/>
                <w:color w:val="auto"/>
                <w:sz w:val="28"/>
                <w:szCs w:val="28"/>
              </w:rPr>
              <w:t>生产过程中冷却水循环使用不外排，生活污水及餐饮废水排入污水管网，由污水处理厂处理。</w:t>
            </w:r>
          </w:p>
          <w:p>
            <w:pPr>
              <w:spacing w:line="520" w:lineRule="exact"/>
              <w:ind w:firstLine="560" w:firstLineChars="200"/>
              <w:rPr>
                <w:bCs/>
                <w:color w:val="auto"/>
                <w:sz w:val="28"/>
                <w:szCs w:val="28"/>
              </w:rPr>
            </w:pPr>
            <w:r>
              <w:rPr>
                <w:rFonts w:hint="eastAsia"/>
                <w:bCs/>
                <w:color w:val="auto"/>
                <w:sz w:val="28"/>
                <w:szCs w:val="28"/>
              </w:rPr>
              <w:t>运营期</w:t>
            </w:r>
            <w:r>
              <w:rPr>
                <w:bCs/>
                <w:color w:val="auto"/>
                <w:sz w:val="28"/>
                <w:szCs w:val="28"/>
              </w:rPr>
              <w:t>经采取上述</w:t>
            </w:r>
            <w:r>
              <w:rPr>
                <w:rFonts w:hint="eastAsia"/>
                <w:bCs/>
                <w:color w:val="auto"/>
                <w:sz w:val="28"/>
                <w:szCs w:val="28"/>
              </w:rPr>
              <w:t>废水</w:t>
            </w:r>
            <w:r>
              <w:rPr>
                <w:bCs/>
                <w:color w:val="auto"/>
                <w:sz w:val="28"/>
                <w:szCs w:val="28"/>
              </w:rPr>
              <w:t>治理措施后，从环境影响的角度分析，项目的环境影响可接受。</w:t>
            </w:r>
          </w:p>
          <w:p>
            <w:pPr>
              <w:spacing w:line="520" w:lineRule="exact"/>
              <w:ind w:firstLine="560" w:firstLineChars="200"/>
              <w:rPr>
                <w:color w:val="auto"/>
                <w:sz w:val="28"/>
                <w:szCs w:val="28"/>
              </w:rPr>
            </w:pPr>
            <w:r>
              <w:rPr>
                <w:color w:val="auto"/>
                <w:sz w:val="28"/>
                <w:szCs w:val="28"/>
              </w:rPr>
              <w:t>（</w:t>
            </w:r>
            <w:r>
              <w:rPr>
                <w:rFonts w:hint="eastAsia"/>
                <w:color w:val="auto"/>
                <w:sz w:val="28"/>
                <w:szCs w:val="28"/>
              </w:rPr>
              <w:t>3</w:t>
            </w:r>
            <w:r>
              <w:rPr>
                <w:color w:val="auto"/>
                <w:sz w:val="28"/>
                <w:szCs w:val="28"/>
              </w:rPr>
              <w:t>）固废</w:t>
            </w:r>
            <w:r>
              <w:rPr>
                <w:rFonts w:hint="eastAsia"/>
                <w:color w:val="auto"/>
                <w:sz w:val="28"/>
                <w:szCs w:val="28"/>
              </w:rPr>
              <w:t>：运营期固废主要为塑料拖鞋边角料、废次品，经破碎后当做原料继续回用；成品包装过程会产生少量废包装袋及包装箱；废弃原料袋及职工生活垃圾；危险废物为废活性炭、废灯管和废机油。</w:t>
            </w:r>
          </w:p>
          <w:p>
            <w:pPr>
              <w:spacing w:line="520" w:lineRule="exact"/>
              <w:ind w:firstLine="560" w:firstLineChars="200"/>
              <w:rPr>
                <w:color w:val="auto"/>
                <w:sz w:val="28"/>
                <w:szCs w:val="28"/>
              </w:rPr>
            </w:pPr>
            <w:r>
              <w:rPr>
                <w:color w:val="auto"/>
                <w:sz w:val="28"/>
                <w:szCs w:val="28"/>
              </w:rPr>
              <w:t>治理措施：</w:t>
            </w:r>
            <w:r>
              <w:rPr>
                <w:rFonts w:hint="eastAsia"/>
                <w:color w:val="auto"/>
                <w:sz w:val="28"/>
                <w:szCs w:val="28"/>
              </w:rPr>
              <w:t>不合格产品及边角料作为原料回用；厂区内设置有固废堆存点，对废包装进行集中收集后外售给废品收购站；生活垃圾集中收集后清运至垃圾填埋场；固废暂存符合《一般工业固体废物贮存、处置场控制标准》（GB18599—2001）；不合格产品可直接回用于生产环节；生活垃圾通过垃圾箱集中收集后由环卫清运至垃圾填埋场处理。本项目产生危险废物主要为废机油、废灯管和废活性炭，厂区内设置危废暂存间对危险废物进行集中收集，之后委托有资质单位对危废进行处理，危废暂存符合《危险废物贮存污染控制标准》（GB18597-2001）。</w:t>
            </w:r>
          </w:p>
          <w:p>
            <w:pPr>
              <w:spacing w:line="520" w:lineRule="exact"/>
              <w:ind w:firstLine="560" w:firstLineChars="200"/>
              <w:rPr>
                <w:bCs/>
                <w:color w:val="auto"/>
                <w:sz w:val="28"/>
                <w:szCs w:val="28"/>
              </w:rPr>
            </w:pPr>
            <w:r>
              <w:rPr>
                <w:rFonts w:hint="eastAsia"/>
                <w:bCs/>
                <w:color w:val="auto"/>
                <w:sz w:val="28"/>
                <w:szCs w:val="28"/>
              </w:rPr>
              <w:t>运营期</w:t>
            </w:r>
            <w:r>
              <w:rPr>
                <w:bCs/>
                <w:color w:val="auto"/>
                <w:sz w:val="28"/>
                <w:szCs w:val="28"/>
              </w:rPr>
              <w:t>经采取上述固体废弃物治理措施后，从环境影响的角度分析，项目的环境影响可接受。</w:t>
            </w:r>
          </w:p>
          <w:p>
            <w:pPr>
              <w:spacing w:line="520" w:lineRule="exact"/>
              <w:ind w:firstLine="560" w:firstLineChars="200"/>
              <w:rPr>
                <w:color w:val="auto"/>
                <w:sz w:val="28"/>
                <w:szCs w:val="28"/>
              </w:rPr>
            </w:pPr>
            <w:r>
              <w:rPr>
                <w:color w:val="auto"/>
                <w:sz w:val="28"/>
                <w:szCs w:val="28"/>
              </w:rPr>
              <w:t>（</w:t>
            </w:r>
            <w:r>
              <w:rPr>
                <w:rFonts w:hint="eastAsia"/>
                <w:color w:val="auto"/>
                <w:sz w:val="28"/>
                <w:szCs w:val="28"/>
              </w:rPr>
              <w:t>4</w:t>
            </w:r>
            <w:r>
              <w:rPr>
                <w:color w:val="auto"/>
                <w:sz w:val="28"/>
                <w:szCs w:val="28"/>
              </w:rPr>
              <w:t>）噪声</w:t>
            </w:r>
            <w:r>
              <w:rPr>
                <w:rFonts w:hint="eastAsia"/>
                <w:color w:val="auto"/>
                <w:sz w:val="28"/>
                <w:szCs w:val="28"/>
              </w:rPr>
              <w:t>：项目运营期噪声源主要运输车辆噪声和生产设备运行噪声。</w:t>
            </w:r>
          </w:p>
          <w:p>
            <w:pPr>
              <w:spacing w:line="520" w:lineRule="exact"/>
              <w:ind w:firstLine="560" w:firstLineChars="200"/>
              <w:rPr>
                <w:color w:val="auto"/>
                <w:sz w:val="28"/>
                <w:szCs w:val="28"/>
              </w:rPr>
            </w:pPr>
            <w:r>
              <w:rPr>
                <w:color w:val="auto"/>
                <w:sz w:val="28"/>
                <w:szCs w:val="28"/>
              </w:rPr>
              <w:t>治理措施：</w:t>
            </w:r>
            <w:r>
              <w:rPr>
                <w:rFonts w:hint="eastAsia"/>
                <w:color w:val="auto"/>
                <w:sz w:val="28"/>
                <w:szCs w:val="28"/>
              </w:rPr>
              <w:t>车辆进出厂区应低速行驶，禁止鸣笛；生产设备进行加装减震垫、隔声罩，降低设备运行产生的噪声，厂界噪声满足《工业企业厂界环境噪声排放标准》（GB12348—2008）</w:t>
            </w:r>
            <w:r>
              <w:rPr>
                <w:rFonts w:hint="eastAsia"/>
                <w:color w:val="auto"/>
                <w:sz w:val="28"/>
                <w:szCs w:val="28"/>
                <w:lang w:val="en-US" w:eastAsia="zh-CN"/>
              </w:rPr>
              <w:t>3</w:t>
            </w:r>
            <w:r>
              <w:rPr>
                <w:rFonts w:hint="eastAsia"/>
                <w:color w:val="auto"/>
                <w:sz w:val="28"/>
                <w:szCs w:val="28"/>
              </w:rPr>
              <w:t>类标准。</w:t>
            </w:r>
          </w:p>
          <w:p>
            <w:pPr>
              <w:spacing w:line="520" w:lineRule="exact"/>
              <w:ind w:firstLine="560" w:firstLineChars="200"/>
              <w:rPr>
                <w:bCs/>
                <w:color w:val="auto"/>
                <w:sz w:val="28"/>
                <w:szCs w:val="28"/>
              </w:rPr>
            </w:pPr>
            <w:r>
              <w:rPr>
                <w:rFonts w:hint="eastAsia"/>
                <w:bCs/>
                <w:color w:val="auto"/>
                <w:sz w:val="28"/>
                <w:szCs w:val="28"/>
              </w:rPr>
              <w:t>运营期</w:t>
            </w:r>
            <w:r>
              <w:rPr>
                <w:bCs/>
                <w:color w:val="auto"/>
                <w:sz w:val="28"/>
                <w:szCs w:val="28"/>
              </w:rPr>
              <w:t>的噪声影响</w:t>
            </w:r>
            <w:r>
              <w:rPr>
                <w:rFonts w:hint="eastAsia"/>
                <w:bCs/>
                <w:color w:val="auto"/>
                <w:sz w:val="28"/>
                <w:szCs w:val="28"/>
              </w:rPr>
              <w:t>，</w:t>
            </w:r>
            <w:r>
              <w:rPr>
                <w:bCs/>
                <w:color w:val="auto"/>
                <w:sz w:val="28"/>
                <w:szCs w:val="28"/>
              </w:rPr>
              <w:t>从环境影响的角度分析，项目的环境影响可接受。</w:t>
            </w:r>
          </w:p>
          <w:p>
            <w:pPr>
              <w:pStyle w:val="6"/>
              <w:spacing w:before="0" w:after="0" w:line="520" w:lineRule="exact"/>
              <w:jc w:val="both"/>
              <w:rPr>
                <w:color w:val="auto"/>
                <w:kern w:val="2"/>
              </w:rPr>
            </w:pPr>
            <w:r>
              <w:rPr>
                <w:rFonts w:hint="eastAsia"/>
                <w:color w:val="auto"/>
                <w:kern w:val="2"/>
              </w:rPr>
              <w:t>1.6总量控制指标结论</w:t>
            </w:r>
          </w:p>
          <w:p>
            <w:pPr>
              <w:spacing w:line="520" w:lineRule="exact"/>
              <w:ind w:firstLine="560" w:firstLineChars="200"/>
              <w:rPr>
                <w:color w:val="auto"/>
                <w:sz w:val="28"/>
                <w:szCs w:val="28"/>
              </w:rPr>
            </w:pPr>
            <w:r>
              <w:rPr>
                <w:rFonts w:hint="eastAsia"/>
                <w:color w:val="auto"/>
                <w:sz w:val="28"/>
                <w:szCs w:val="28"/>
              </w:rPr>
              <w:t>在生态环境行政主管部门未核准前，建议各类污染物控制排放总量为：非甲烷总烃1.736t/a。</w:t>
            </w:r>
          </w:p>
          <w:p>
            <w:pPr>
              <w:pStyle w:val="6"/>
              <w:spacing w:before="0" w:after="0" w:line="520" w:lineRule="exact"/>
              <w:jc w:val="both"/>
              <w:rPr>
                <w:color w:val="auto"/>
                <w:kern w:val="2"/>
              </w:rPr>
            </w:pPr>
            <w:r>
              <w:rPr>
                <w:color w:val="auto"/>
                <w:kern w:val="2"/>
              </w:rPr>
              <w:t>1.</w:t>
            </w:r>
            <w:r>
              <w:rPr>
                <w:rFonts w:hint="eastAsia"/>
                <w:color w:val="auto"/>
                <w:kern w:val="2"/>
              </w:rPr>
              <w:t>7</w:t>
            </w:r>
            <w:r>
              <w:rPr>
                <w:color w:val="auto"/>
                <w:kern w:val="2"/>
              </w:rPr>
              <w:t>环保措施投资估算</w:t>
            </w:r>
          </w:p>
          <w:p>
            <w:pPr>
              <w:spacing w:line="520" w:lineRule="exact"/>
              <w:ind w:firstLine="560" w:firstLineChars="200"/>
              <w:rPr>
                <w:color w:val="auto"/>
                <w:sz w:val="28"/>
                <w:szCs w:val="28"/>
              </w:rPr>
            </w:pPr>
            <w:r>
              <w:rPr>
                <w:color w:val="auto"/>
                <w:sz w:val="28"/>
                <w:szCs w:val="28"/>
              </w:rPr>
              <w:t>本项目总投资</w:t>
            </w:r>
            <w:r>
              <w:rPr>
                <w:rFonts w:hint="eastAsia"/>
                <w:color w:val="auto"/>
                <w:sz w:val="28"/>
                <w:szCs w:val="28"/>
              </w:rPr>
              <w:t>500</w:t>
            </w:r>
            <w:r>
              <w:rPr>
                <w:color w:val="auto"/>
                <w:sz w:val="28"/>
                <w:szCs w:val="28"/>
              </w:rPr>
              <w:t>万元，环境保护污染物防治措施投资估算为</w:t>
            </w:r>
            <w:r>
              <w:rPr>
                <w:rFonts w:hint="eastAsia"/>
                <w:color w:val="auto"/>
                <w:sz w:val="28"/>
                <w:szCs w:val="28"/>
              </w:rPr>
              <w:t>16.7</w:t>
            </w:r>
            <w:r>
              <w:rPr>
                <w:color w:val="auto"/>
                <w:sz w:val="28"/>
                <w:szCs w:val="28"/>
              </w:rPr>
              <w:t>万元，占总投资的</w:t>
            </w:r>
            <w:r>
              <w:rPr>
                <w:rFonts w:hint="eastAsia"/>
                <w:color w:val="auto"/>
                <w:sz w:val="28"/>
                <w:szCs w:val="28"/>
              </w:rPr>
              <w:t>3.34</w:t>
            </w:r>
            <w:r>
              <w:rPr>
                <w:color w:val="auto"/>
                <w:sz w:val="28"/>
                <w:szCs w:val="28"/>
              </w:rPr>
              <w:t>%。</w:t>
            </w:r>
          </w:p>
          <w:p>
            <w:pPr>
              <w:pStyle w:val="6"/>
              <w:spacing w:before="0" w:after="0" w:line="520" w:lineRule="exact"/>
              <w:jc w:val="both"/>
              <w:rPr>
                <w:color w:val="auto"/>
                <w:kern w:val="2"/>
              </w:rPr>
            </w:pPr>
            <w:r>
              <w:rPr>
                <w:color w:val="auto"/>
                <w:kern w:val="2"/>
              </w:rPr>
              <w:t>1.</w:t>
            </w:r>
            <w:r>
              <w:rPr>
                <w:rFonts w:hint="eastAsia"/>
                <w:color w:val="auto"/>
                <w:kern w:val="2"/>
              </w:rPr>
              <w:t>8</w:t>
            </w:r>
            <w:r>
              <w:rPr>
                <w:color w:val="auto"/>
                <w:kern w:val="2"/>
              </w:rPr>
              <w:t>综合评价结论</w:t>
            </w:r>
          </w:p>
          <w:p>
            <w:pPr>
              <w:pStyle w:val="5"/>
              <w:ind w:firstLine="560" w:firstLineChars="200"/>
              <w:jc w:val="both"/>
              <w:rPr>
                <w:b w:val="0"/>
                <w:color w:val="auto"/>
                <w:kern w:val="0"/>
              </w:rPr>
            </w:pPr>
            <w:r>
              <w:rPr>
                <w:b w:val="0"/>
                <w:color w:val="auto"/>
                <w:kern w:val="0"/>
              </w:rPr>
              <w:t>本项目</w:t>
            </w:r>
            <w:r>
              <w:rPr>
                <w:rFonts w:hint="eastAsia"/>
                <w:b w:val="0"/>
                <w:color w:val="auto"/>
                <w:kern w:val="0"/>
              </w:rPr>
              <w:t>生产工艺和生产设备均不属于</w:t>
            </w:r>
            <w:r>
              <w:rPr>
                <w:b w:val="0"/>
                <w:color w:val="auto"/>
                <w:kern w:val="0"/>
              </w:rPr>
              <w:t>《产业结构调整指导目录（201</w:t>
            </w:r>
            <w:r>
              <w:rPr>
                <w:rFonts w:hint="eastAsia"/>
                <w:b w:val="0"/>
                <w:color w:val="auto"/>
                <w:kern w:val="0"/>
              </w:rPr>
              <w:t>9</w:t>
            </w:r>
            <w:r>
              <w:rPr>
                <w:b w:val="0"/>
                <w:color w:val="auto"/>
                <w:kern w:val="0"/>
              </w:rPr>
              <w:t>年本）中的</w:t>
            </w:r>
            <w:r>
              <w:rPr>
                <w:rFonts w:hint="eastAsia"/>
                <w:b w:val="0"/>
                <w:color w:val="auto"/>
                <w:kern w:val="0"/>
              </w:rPr>
              <w:t>限制类和淘汰类项目，属于允许类，符合国家的相关产业政策。</w:t>
            </w:r>
            <w:r>
              <w:rPr>
                <w:b w:val="0"/>
                <w:color w:val="auto"/>
                <w:kern w:val="0"/>
              </w:rPr>
              <w:t>运营期污染采取相应的污染防治措施后，不会对地表水</w:t>
            </w:r>
            <w:r>
              <w:rPr>
                <w:rFonts w:hint="eastAsia"/>
                <w:b w:val="0"/>
                <w:color w:val="auto"/>
                <w:kern w:val="0"/>
              </w:rPr>
              <w:t>、地下水</w:t>
            </w:r>
            <w:r>
              <w:rPr>
                <w:b w:val="0"/>
                <w:color w:val="auto"/>
                <w:kern w:val="0"/>
              </w:rPr>
              <w:t>、环境空气、声环境产生较大影响。</w:t>
            </w:r>
          </w:p>
          <w:p>
            <w:pPr>
              <w:pStyle w:val="5"/>
              <w:ind w:firstLine="560" w:firstLineChars="200"/>
              <w:jc w:val="both"/>
              <w:rPr>
                <w:b w:val="0"/>
                <w:color w:val="auto"/>
                <w:kern w:val="0"/>
              </w:rPr>
            </w:pPr>
            <w:r>
              <w:rPr>
                <w:rFonts w:hint="eastAsia"/>
                <w:b w:val="0"/>
                <w:color w:val="auto"/>
                <w:kern w:val="0"/>
              </w:rPr>
              <w:t>项目位于巩留县恰甫其海路南侧众帮苯板厂院内，占用地类型为工业用地，项目建设选址符合园区规划。</w:t>
            </w:r>
            <w:r>
              <w:rPr>
                <w:b w:val="0"/>
                <w:color w:val="auto"/>
                <w:kern w:val="0"/>
              </w:rPr>
              <w:t>项目区无重要保护文物、风景名胜区等明显的环境制约因子，选址合理</w:t>
            </w:r>
            <w:r>
              <w:rPr>
                <w:rFonts w:hint="eastAsia"/>
                <w:b w:val="0"/>
                <w:color w:val="auto"/>
                <w:kern w:val="0"/>
              </w:rPr>
              <w:t>。</w:t>
            </w:r>
          </w:p>
          <w:p>
            <w:pPr>
              <w:pStyle w:val="5"/>
              <w:ind w:firstLine="560" w:firstLineChars="200"/>
              <w:jc w:val="both"/>
              <w:rPr>
                <w:b w:val="0"/>
                <w:color w:val="auto"/>
                <w:kern w:val="0"/>
              </w:rPr>
            </w:pPr>
            <w:r>
              <w:rPr>
                <w:rFonts w:hint="eastAsia"/>
                <w:b w:val="0"/>
                <w:color w:val="auto"/>
                <w:kern w:val="0"/>
              </w:rPr>
              <w:t>本项目从原料生产、再到产品整体工艺呈流水线布置，厂区、厂房分块合理，废气处理装置布设在相应生产装置区域，整体平面布局合理。</w:t>
            </w:r>
          </w:p>
          <w:p>
            <w:pPr>
              <w:pStyle w:val="5"/>
              <w:ind w:firstLine="560" w:firstLineChars="200"/>
              <w:jc w:val="both"/>
              <w:rPr>
                <w:color w:val="auto"/>
              </w:rPr>
            </w:pPr>
            <w:r>
              <w:rPr>
                <w:b w:val="0"/>
                <w:color w:val="auto"/>
                <w:kern w:val="0"/>
              </w:rPr>
              <w:t>工程运行过程中，</w:t>
            </w:r>
            <w:r>
              <w:rPr>
                <w:rFonts w:hint="eastAsia"/>
                <w:b w:val="0"/>
                <w:color w:val="auto"/>
                <w:kern w:val="0"/>
              </w:rPr>
              <w:t>建设单位应严格实施本环评报告提出的各项环保措施和建议，做到污染物达标排放，在严格落实本环评提出的各项污染物治理措施和建议的前提下，该项目污染物排放不会对区域环境质量产生大的影响；项目建设符合环境保护相关政策，从环境保护角度分析，本项目建设是可行的。</w:t>
            </w:r>
          </w:p>
          <w:p>
            <w:pPr>
              <w:pStyle w:val="5"/>
              <w:jc w:val="both"/>
              <w:rPr>
                <w:color w:val="auto"/>
              </w:rPr>
            </w:pPr>
            <w:r>
              <w:rPr>
                <w:color w:val="auto"/>
              </w:rPr>
              <w:t>2建议</w:t>
            </w:r>
          </w:p>
          <w:p>
            <w:pPr>
              <w:spacing w:line="520" w:lineRule="exact"/>
              <w:ind w:firstLine="560" w:firstLineChars="200"/>
              <w:rPr>
                <w:bCs/>
                <w:color w:val="auto"/>
                <w:sz w:val="28"/>
                <w:szCs w:val="28"/>
              </w:rPr>
            </w:pPr>
            <w:r>
              <w:rPr>
                <w:rFonts w:hint="eastAsia"/>
                <w:bCs/>
                <w:color w:val="auto"/>
                <w:sz w:val="28"/>
                <w:szCs w:val="28"/>
              </w:rPr>
              <w:t>（1）建议委托有资质的设计单位对产生的污染物进行治理设计，按环保“三同时”要求，切实落实废水、废气、噪声和固废防治措施；</w:t>
            </w:r>
          </w:p>
          <w:p>
            <w:pPr>
              <w:spacing w:line="520" w:lineRule="exact"/>
              <w:ind w:firstLine="560" w:firstLineChars="200"/>
              <w:rPr>
                <w:color w:val="auto"/>
                <w:sz w:val="28"/>
              </w:rPr>
            </w:pPr>
            <w:r>
              <w:rPr>
                <w:rFonts w:hint="eastAsia"/>
                <w:bCs/>
                <w:color w:val="auto"/>
                <w:sz w:val="28"/>
                <w:szCs w:val="28"/>
              </w:rPr>
              <w:t>（2）</w:t>
            </w:r>
            <w:r>
              <w:rPr>
                <w:rFonts w:hint="eastAsia"/>
                <w:color w:val="auto"/>
                <w:sz w:val="28"/>
              </w:rPr>
              <w:t>生产过程中严格执行操作规程，做好生产设备运行期间的维护保养工作，加强噪声污染防治工作，确保厂界噪声达标；</w:t>
            </w:r>
          </w:p>
          <w:p>
            <w:pPr>
              <w:spacing w:line="520" w:lineRule="exact"/>
              <w:ind w:firstLine="560" w:firstLineChars="200"/>
              <w:rPr>
                <w:bCs/>
                <w:color w:val="auto"/>
                <w:sz w:val="28"/>
                <w:szCs w:val="28"/>
              </w:rPr>
            </w:pPr>
            <w:r>
              <w:rPr>
                <w:rFonts w:hint="eastAsia"/>
                <w:color w:val="auto"/>
                <w:sz w:val="28"/>
              </w:rPr>
              <w:t>（3）制定严格的防火制度，定期对生产人员进行消防等安全教育，同时建立安全监督机制，进行安全考核等，并设计紧急事故处理预案，明确消防责任人</w:t>
            </w:r>
            <w:r>
              <w:rPr>
                <w:rFonts w:hint="eastAsia"/>
                <w:bCs/>
                <w:color w:val="auto"/>
                <w:sz w:val="28"/>
                <w:szCs w:val="28"/>
              </w:rPr>
              <w:t>；</w:t>
            </w:r>
          </w:p>
          <w:p>
            <w:pPr>
              <w:spacing w:line="520" w:lineRule="exact"/>
              <w:ind w:firstLine="560" w:firstLineChars="200"/>
              <w:rPr>
                <w:color w:val="auto"/>
                <w:sz w:val="28"/>
                <w:szCs w:val="28"/>
              </w:rPr>
            </w:pPr>
            <w:r>
              <w:rPr>
                <w:bCs/>
                <w:color w:val="auto"/>
                <w:sz w:val="28"/>
                <w:szCs w:val="28"/>
              </w:rPr>
              <w:t>（</w:t>
            </w:r>
            <w:r>
              <w:rPr>
                <w:rFonts w:hint="eastAsia"/>
                <w:bCs/>
                <w:color w:val="auto"/>
                <w:sz w:val="28"/>
                <w:szCs w:val="28"/>
              </w:rPr>
              <w:t>4</w:t>
            </w:r>
            <w:r>
              <w:rPr>
                <w:bCs/>
                <w:color w:val="auto"/>
                <w:sz w:val="28"/>
                <w:szCs w:val="28"/>
              </w:rPr>
              <w:t>）</w:t>
            </w:r>
            <w:r>
              <w:rPr>
                <w:color w:val="auto"/>
                <w:sz w:val="28"/>
                <w:szCs w:val="28"/>
              </w:rPr>
              <w:t>建设单位应严格执行本环境影响报告表提出的各项污染控制措施，减少</w:t>
            </w:r>
            <w:r>
              <w:rPr>
                <w:rFonts w:hint="eastAsia"/>
                <w:color w:val="auto"/>
                <w:sz w:val="28"/>
                <w:szCs w:val="28"/>
              </w:rPr>
              <w:t>项目生产</w:t>
            </w:r>
            <w:r>
              <w:rPr>
                <w:color w:val="auto"/>
                <w:sz w:val="28"/>
                <w:szCs w:val="28"/>
              </w:rPr>
              <w:t>对周围环境带来的污染</w:t>
            </w:r>
            <w:r>
              <w:rPr>
                <w:rFonts w:hint="eastAsia"/>
                <w:color w:val="auto"/>
                <w:sz w:val="28"/>
                <w:szCs w:val="28"/>
              </w:rPr>
              <w:t>；</w:t>
            </w:r>
          </w:p>
          <w:p>
            <w:pPr>
              <w:spacing w:line="520" w:lineRule="exact"/>
              <w:ind w:firstLine="560" w:firstLineChars="200"/>
              <w:rPr>
                <w:color w:val="auto"/>
                <w:sz w:val="28"/>
                <w:szCs w:val="28"/>
              </w:rPr>
            </w:pPr>
            <w:r>
              <w:rPr>
                <w:rFonts w:hint="eastAsia"/>
                <w:color w:val="auto"/>
                <w:sz w:val="28"/>
                <w:szCs w:val="28"/>
              </w:rPr>
              <w:t>（5）建议厂区合理进行管理，提高厂区生态环境。</w:t>
            </w:r>
          </w:p>
        </w:tc>
      </w:tr>
    </w:tbl>
    <w:p>
      <w:pPr>
        <w:rPr>
          <w:color w:val="auto"/>
        </w:rPr>
        <w:sectPr>
          <w:pgSz w:w="11906" w:h="16838"/>
          <w:pgMar w:top="1418" w:right="1134" w:bottom="1701" w:left="1701" w:header="851" w:footer="992" w:gutter="0"/>
          <w:pgNumType w:start="1"/>
          <w:cols w:space="720" w:num="1"/>
          <w:docGrid w:type="lines" w:linePitch="312" w:charSpace="0"/>
        </w:sectPr>
      </w:pPr>
    </w:p>
    <w:p>
      <w:pPr>
        <w:rPr>
          <w:color w:val="auto"/>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6" w:type="dxa"/>
            <w:tcBorders>
              <w:top w:val="single" w:color="auto" w:sz="12" w:space="0"/>
              <w:left w:val="single" w:color="auto" w:sz="12" w:space="0"/>
              <w:bottom w:val="single" w:color="auto" w:sz="12" w:space="0"/>
              <w:right w:val="single" w:color="auto" w:sz="12" w:space="0"/>
            </w:tcBorders>
          </w:tcPr>
          <w:p>
            <w:pPr>
              <w:spacing w:line="560" w:lineRule="exact"/>
              <w:rPr>
                <w:b/>
                <w:color w:val="auto"/>
                <w:sz w:val="28"/>
                <w:szCs w:val="28"/>
              </w:rPr>
            </w:pPr>
            <w:r>
              <w:rPr>
                <w:b/>
                <w:color w:val="auto"/>
                <w:sz w:val="28"/>
                <w:szCs w:val="28"/>
              </w:rPr>
              <w:t>预审意见：</w:t>
            </w:r>
          </w:p>
          <w:p>
            <w:pPr>
              <w:spacing w:line="560" w:lineRule="exact"/>
              <w:rPr>
                <w:color w:val="auto"/>
                <w:sz w:val="28"/>
                <w:szCs w:val="28"/>
              </w:rPr>
            </w:pPr>
          </w:p>
          <w:p>
            <w:pPr>
              <w:spacing w:line="560" w:lineRule="exact"/>
              <w:rPr>
                <w:color w:val="auto"/>
                <w:sz w:val="28"/>
                <w:szCs w:val="28"/>
              </w:rPr>
            </w:pPr>
          </w:p>
          <w:p>
            <w:pPr>
              <w:spacing w:line="560" w:lineRule="exact"/>
              <w:rPr>
                <w:color w:val="auto"/>
                <w:sz w:val="28"/>
                <w:szCs w:val="28"/>
              </w:rPr>
            </w:pPr>
          </w:p>
          <w:p>
            <w:pPr>
              <w:spacing w:line="560" w:lineRule="exact"/>
              <w:rPr>
                <w:color w:val="auto"/>
                <w:sz w:val="28"/>
                <w:szCs w:val="28"/>
              </w:rPr>
            </w:pPr>
          </w:p>
          <w:p>
            <w:pPr>
              <w:spacing w:line="560" w:lineRule="exact"/>
              <w:rPr>
                <w:color w:val="auto"/>
                <w:sz w:val="28"/>
                <w:szCs w:val="28"/>
              </w:rPr>
            </w:pPr>
            <w:r>
              <w:rPr>
                <w:color w:val="auto"/>
                <w:sz w:val="28"/>
                <w:szCs w:val="28"/>
              </w:rPr>
              <w:t>公章</w:t>
            </w:r>
          </w:p>
          <w:p>
            <w:pPr>
              <w:spacing w:line="560" w:lineRule="exact"/>
              <w:rPr>
                <w:color w:val="auto"/>
                <w:sz w:val="28"/>
                <w:szCs w:val="28"/>
              </w:rPr>
            </w:pPr>
            <w:r>
              <w:rPr>
                <w:color w:val="auto"/>
                <w:sz w:val="28"/>
                <w:szCs w:val="28"/>
              </w:rPr>
              <w:t>经办人：</w:t>
            </w:r>
            <w:r>
              <w:rPr>
                <w:rFonts w:hint="eastAsia"/>
                <w:color w:val="auto"/>
                <w:sz w:val="28"/>
                <w:szCs w:val="28"/>
              </w:rPr>
              <w:t xml:space="preserve">    </w:t>
            </w:r>
            <w:r>
              <w:rPr>
                <w:color w:val="auto"/>
                <w:sz w:val="28"/>
                <w:szCs w:val="28"/>
              </w:rPr>
              <w:t>年</w:t>
            </w:r>
            <w:r>
              <w:rPr>
                <w:rFonts w:hint="eastAsia"/>
                <w:color w:val="auto"/>
                <w:sz w:val="28"/>
                <w:szCs w:val="28"/>
              </w:rPr>
              <w:t xml:space="preserve">  </w:t>
            </w:r>
            <w:r>
              <w:rPr>
                <w:color w:val="auto"/>
                <w:sz w:val="28"/>
                <w:szCs w:val="28"/>
              </w:rPr>
              <w:t>月</w:t>
            </w:r>
            <w:r>
              <w:rPr>
                <w:rFonts w:hint="eastAsia"/>
                <w:color w:val="auto"/>
                <w:sz w:val="28"/>
                <w:szCs w:val="28"/>
              </w:rPr>
              <w:t xml:space="preserve">  </w:t>
            </w:r>
            <w:r>
              <w:rPr>
                <w:color w:val="auto"/>
                <w:sz w:val="28"/>
                <w:szCs w:val="28"/>
              </w:rPr>
              <w:t>日</w:t>
            </w:r>
          </w:p>
          <w:p>
            <w:pPr>
              <w:spacing w:line="560" w:lineRule="exact"/>
              <w:rPr>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6" w:type="dxa"/>
            <w:tcBorders>
              <w:top w:val="single" w:color="auto" w:sz="12" w:space="0"/>
              <w:left w:val="single" w:color="auto" w:sz="12" w:space="0"/>
              <w:bottom w:val="single" w:color="auto" w:sz="12" w:space="0"/>
              <w:right w:val="single" w:color="auto" w:sz="12" w:space="0"/>
            </w:tcBorders>
          </w:tcPr>
          <w:p>
            <w:pPr>
              <w:spacing w:line="560" w:lineRule="exact"/>
              <w:rPr>
                <w:b/>
                <w:color w:val="auto"/>
                <w:sz w:val="28"/>
                <w:szCs w:val="28"/>
              </w:rPr>
            </w:pPr>
            <w:r>
              <w:rPr>
                <w:b/>
                <w:color w:val="auto"/>
                <w:sz w:val="28"/>
                <w:szCs w:val="28"/>
              </w:rPr>
              <w:t>下一级环境保护行政主管部门审查意见：</w:t>
            </w:r>
          </w:p>
          <w:p>
            <w:pPr>
              <w:spacing w:line="560" w:lineRule="exact"/>
              <w:rPr>
                <w:color w:val="auto"/>
                <w:sz w:val="28"/>
                <w:szCs w:val="28"/>
              </w:rPr>
            </w:pPr>
          </w:p>
          <w:p>
            <w:pPr>
              <w:spacing w:line="560" w:lineRule="exact"/>
              <w:rPr>
                <w:color w:val="auto"/>
                <w:sz w:val="28"/>
                <w:szCs w:val="28"/>
              </w:rPr>
            </w:pPr>
          </w:p>
          <w:p>
            <w:pPr>
              <w:spacing w:line="560" w:lineRule="exact"/>
              <w:rPr>
                <w:color w:val="auto"/>
                <w:sz w:val="28"/>
                <w:szCs w:val="28"/>
              </w:rPr>
            </w:pPr>
          </w:p>
          <w:p>
            <w:pPr>
              <w:spacing w:line="560" w:lineRule="exact"/>
              <w:rPr>
                <w:color w:val="auto"/>
                <w:sz w:val="28"/>
                <w:szCs w:val="28"/>
              </w:rPr>
            </w:pPr>
          </w:p>
          <w:p>
            <w:pPr>
              <w:spacing w:line="560" w:lineRule="exact"/>
              <w:ind w:right="560" w:firstLine="6300" w:firstLineChars="2250"/>
              <w:rPr>
                <w:color w:val="auto"/>
                <w:sz w:val="28"/>
                <w:szCs w:val="28"/>
              </w:rPr>
            </w:pPr>
            <w:r>
              <w:rPr>
                <w:color w:val="auto"/>
                <w:sz w:val="28"/>
                <w:szCs w:val="28"/>
              </w:rPr>
              <w:t>公章</w:t>
            </w:r>
          </w:p>
          <w:p>
            <w:pPr>
              <w:spacing w:line="560" w:lineRule="exact"/>
              <w:rPr>
                <w:color w:val="auto"/>
                <w:sz w:val="28"/>
                <w:szCs w:val="28"/>
              </w:rPr>
            </w:pPr>
            <w:r>
              <w:rPr>
                <w:color w:val="auto"/>
                <w:sz w:val="28"/>
                <w:szCs w:val="28"/>
              </w:rPr>
              <w:t>经办人：</w:t>
            </w:r>
            <w:r>
              <w:rPr>
                <w:rFonts w:hint="eastAsia"/>
                <w:color w:val="auto"/>
                <w:sz w:val="28"/>
                <w:szCs w:val="28"/>
              </w:rPr>
              <w:t xml:space="preserve">    </w:t>
            </w:r>
            <w:r>
              <w:rPr>
                <w:color w:val="auto"/>
                <w:sz w:val="28"/>
                <w:szCs w:val="28"/>
              </w:rPr>
              <w:t>年</w:t>
            </w:r>
            <w:r>
              <w:rPr>
                <w:rFonts w:hint="eastAsia"/>
                <w:color w:val="auto"/>
                <w:sz w:val="28"/>
                <w:szCs w:val="28"/>
              </w:rPr>
              <w:t xml:space="preserve">  </w:t>
            </w:r>
            <w:r>
              <w:rPr>
                <w:color w:val="auto"/>
                <w:sz w:val="28"/>
                <w:szCs w:val="28"/>
              </w:rPr>
              <w:t>月</w:t>
            </w:r>
            <w:r>
              <w:rPr>
                <w:rFonts w:hint="eastAsia"/>
                <w:color w:val="auto"/>
                <w:sz w:val="28"/>
                <w:szCs w:val="28"/>
              </w:rPr>
              <w:t xml:space="preserve">  </w:t>
            </w:r>
            <w:r>
              <w:rPr>
                <w:color w:val="auto"/>
                <w:sz w:val="28"/>
                <w:szCs w:val="28"/>
              </w:rPr>
              <w:t>日</w:t>
            </w:r>
          </w:p>
          <w:p>
            <w:pPr>
              <w:rPr>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6" w:type="dxa"/>
            <w:tcBorders>
              <w:top w:val="single" w:color="auto" w:sz="12" w:space="0"/>
              <w:left w:val="single" w:color="auto" w:sz="12" w:space="0"/>
              <w:bottom w:val="single" w:color="auto" w:sz="12" w:space="0"/>
              <w:right w:val="single" w:color="auto" w:sz="12" w:space="0"/>
            </w:tcBorders>
          </w:tcPr>
          <w:p>
            <w:pPr>
              <w:spacing w:line="560" w:lineRule="exact"/>
              <w:rPr>
                <w:b/>
                <w:color w:val="auto"/>
                <w:sz w:val="28"/>
                <w:szCs w:val="28"/>
              </w:rPr>
            </w:pPr>
            <w:r>
              <w:rPr>
                <w:b/>
                <w:color w:val="auto"/>
                <w:sz w:val="28"/>
                <w:szCs w:val="28"/>
              </w:rPr>
              <w:t>审批意见：</w:t>
            </w:r>
          </w:p>
          <w:p>
            <w:pPr>
              <w:spacing w:line="560" w:lineRule="exact"/>
              <w:rPr>
                <w:color w:val="auto"/>
                <w:sz w:val="28"/>
                <w:szCs w:val="28"/>
              </w:rPr>
            </w:pPr>
          </w:p>
          <w:p>
            <w:pPr>
              <w:spacing w:line="560" w:lineRule="exact"/>
              <w:rPr>
                <w:color w:val="auto"/>
                <w:sz w:val="28"/>
                <w:szCs w:val="28"/>
              </w:rPr>
            </w:pPr>
          </w:p>
          <w:p>
            <w:pPr>
              <w:spacing w:line="560" w:lineRule="exact"/>
              <w:rPr>
                <w:color w:val="auto"/>
                <w:sz w:val="28"/>
                <w:szCs w:val="28"/>
              </w:rPr>
            </w:pPr>
          </w:p>
          <w:p>
            <w:pPr>
              <w:spacing w:line="560" w:lineRule="exact"/>
              <w:rPr>
                <w:color w:val="auto"/>
                <w:sz w:val="28"/>
                <w:szCs w:val="28"/>
              </w:rPr>
            </w:pPr>
          </w:p>
          <w:p>
            <w:pPr>
              <w:spacing w:line="560" w:lineRule="exact"/>
              <w:ind w:right="560" w:firstLine="6300" w:firstLineChars="2250"/>
              <w:rPr>
                <w:color w:val="auto"/>
                <w:sz w:val="28"/>
                <w:szCs w:val="28"/>
              </w:rPr>
            </w:pPr>
            <w:r>
              <w:rPr>
                <w:color w:val="auto"/>
                <w:sz w:val="28"/>
                <w:szCs w:val="28"/>
              </w:rPr>
              <w:t>公章</w:t>
            </w:r>
          </w:p>
          <w:p>
            <w:pPr>
              <w:spacing w:line="560" w:lineRule="exact"/>
              <w:rPr>
                <w:color w:val="auto"/>
                <w:sz w:val="28"/>
                <w:szCs w:val="28"/>
              </w:rPr>
            </w:pPr>
            <w:r>
              <w:rPr>
                <w:color w:val="auto"/>
                <w:sz w:val="28"/>
                <w:szCs w:val="28"/>
              </w:rPr>
              <w:t>经办人：</w:t>
            </w:r>
            <w:r>
              <w:rPr>
                <w:rFonts w:hint="eastAsia"/>
                <w:color w:val="auto"/>
                <w:sz w:val="28"/>
                <w:szCs w:val="28"/>
              </w:rPr>
              <w:t xml:space="preserve">    </w:t>
            </w:r>
            <w:r>
              <w:rPr>
                <w:color w:val="auto"/>
                <w:sz w:val="28"/>
                <w:szCs w:val="28"/>
              </w:rPr>
              <w:t>年</w:t>
            </w:r>
            <w:r>
              <w:rPr>
                <w:rFonts w:hint="eastAsia"/>
                <w:color w:val="auto"/>
                <w:sz w:val="28"/>
                <w:szCs w:val="28"/>
              </w:rPr>
              <w:t xml:space="preserve">  </w:t>
            </w:r>
            <w:r>
              <w:rPr>
                <w:color w:val="auto"/>
                <w:sz w:val="28"/>
                <w:szCs w:val="28"/>
              </w:rPr>
              <w:t>月</w:t>
            </w:r>
            <w:r>
              <w:rPr>
                <w:rFonts w:hint="eastAsia"/>
                <w:color w:val="auto"/>
                <w:sz w:val="28"/>
                <w:szCs w:val="28"/>
              </w:rPr>
              <w:t xml:space="preserve">  </w:t>
            </w:r>
            <w:r>
              <w:rPr>
                <w:color w:val="auto"/>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9" w:hRule="atLeast"/>
        </w:trPr>
        <w:tc>
          <w:tcPr>
            <w:tcW w:w="9286" w:type="dxa"/>
            <w:tcBorders>
              <w:top w:val="single" w:color="auto" w:sz="12" w:space="0"/>
              <w:left w:val="single" w:color="auto" w:sz="12" w:space="0"/>
              <w:bottom w:val="single" w:color="auto" w:sz="12" w:space="0"/>
              <w:right w:val="single" w:color="auto" w:sz="12" w:space="0"/>
            </w:tcBorders>
          </w:tcPr>
          <w:p>
            <w:pPr>
              <w:spacing w:line="560" w:lineRule="exact"/>
              <w:jc w:val="center"/>
              <w:rPr>
                <w:b/>
                <w:color w:val="auto"/>
                <w:sz w:val="28"/>
                <w:szCs w:val="28"/>
              </w:rPr>
            </w:pPr>
            <w:r>
              <w:rPr>
                <w:b/>
                <w:color w:val="auto"/>
                <w:sz w:val="28"/>
                <w:szCs w:val="28"/>
              </w:rPr>
              <w:t>注释</w:t>
            </w:r>
          </w:p>
          <w:p>
            <w:pPr>
              <w:spacing w:line="560" w:lineRule="exact"/>
              <w:ind w:firstLine="560" w:firstLineChars="200"/>
              <w:rPr>
                <w:color w:val="auto"/>
                <w:sz w:val="28"/>
                <w:szCs w:val="28"/>
              </w:rPr>
            </w:pPr>
            <w:r>
              <w:rPr>
                <w:color w:val="auto"/>
                <w:sz w:val="28"/>
                <w:szCs w:val="28"/>
              </w:rPr>
              <w:t>一、本报告表应附以下附件、附图</w:t>
            </w:r>
          </w:p>
          <w:p>
            <w:pPr>
              <w:spacing w:line="560" w:lineRule="exact"/>
              <w:ind w:firstLine="560" w:firstLineChars="200"/>
              <w:rPr>
                <w:color w:val="auto"/>
                <w:sz w:val="28"/>
                <w:szCs w:val="28"/>
              </w:rPr>
            </w:pPr>
            <w:r>
              <w:rPr>
                <w:color w:val="auto"/>
                <w:sz w:val="28"/>
                <w:szCs w:val="28"/>
              </w:rPr>
              <w:t>附件1、立项批准文件</w:t>
            </w:r>
          </w:p>
          <w:p>
            <w:pPr>
              <w:spacing w:line="560" w:lineRule="exact"/>
              <w:ind w:firstLine="560" w:firstLineChars="200"/>
              <w:rPr>
                <w:color w:val="auto"/>
                <w:sz w:val="28"/>
                <w:szCs w:val="28"/>
              </w:rPr>
            </w:pPr>
            <w:r>
              <w:rPr>
                <w:color w:val="auto"/>
                <w:sz w:val="28"/>
                <w:szCs w:val="28"/>
              </w:rPr>
              <w:t>附件2、其它与环评有关的行政管理文件</w:t>
            </w:r>
          </w:p>
          <w:p>
            <w:pPr>
              <w:spacing w:line="560" w:lineRule="exact"/>
              <w:ind w:firstLine="560" w:firstLineChars="200"/>
              <w:rPr>
                <w:color w:val="auto"/>
                <w:sz w:val="28"/>
                <w:szCs w:val="28"/>
              </w:rPr>
            </w:pPr>
            <w:r>
              <w:rPr>
                <w:color w:val="auto"/>
                <w:sz w:val="28"/>
                <w:szCs w:val="28"/>
              </w:rPr>
              <w:t>附图1、项目地理位置图（应反映行政区划、水系、表明纳污口位置和地形、地貌等）</w:t>
            </w:r>
          </w:p>
          <w:p>
            <w:pPr>
              <w:spacing w:line="560" w:lineRule="exact"/>
              <w:ind w:firstLine="560" w:firstLineChars="200"/>
              <w:rPr>
                <w:color w:val="auto"/>
                <w:sz w:val="28"/>
                <w:szCs w:val="28"/>
              </w:rPr>
            </w:pPr>
            <w:r>
              <w:rPr>
                <w:color w:val="auto"/>
                <w:sz w:val="28"/>
                <w:szCs w:val="28"/>
              </w:rPr>
              <w:t>附图2、项目平面布置图</w:t>
            </w:r>
          </w:p>
          <w:p>
            <w:pPr>
              <w:spacing w:line="560" w:lineRule="exact"/>
              <w:ind w:firstLine="560" w:firstLineChars="200"/>
              <w:rPr>
                <w:color w:val="auto"/>
                <w:sz w:val="28"/>
                <w:szCs w:val="28"/>
              </w:rPr>
            </w:pPr>
            <w:r>
              <w:rPr>
                <w:color w:val="auto"/>
                <w:sz w:val="28"/>
                <w:szCs w:val="28"/>
              </w:rPr>
              <w:t>二、如果本报告表不能说明项目产生的污染及对环境造成的影响，应进行专项评价。根据建设项目的特点和当地环境特征，应选下列1－2项进行专项评价。</w:t>
            </w:r>
          </w:p>
          <w:p>
            <w:pPr>
              <w:spacing w:line="560" w:lineRule="exact"/>
              <w:ind w:firstLine="560" w:firstLineChars="200"/>
              <w:rPr>
                <w:color w:val="auto"/>
                <w:sz w:val="28"/>
                <w:szCs w:val="28"/>
              </w:rPr>
            </w:pPr>
            <w:r>
              <w:rPr>
                <w:color w:val="auto"/>
                <w:sz w:val="28"/>
                <w:szCs w:val="28"/>
              </w:rPr>
              <w:t>1、大气环境影响专项评价</w:t>
            </w:r>
          </w:p>
          <w:p>
            <w:pPr>
              <w:spacing w:line="560" w:lineRule="exact"/>
              <w:ind w:firstLine="560" w:firstLineChars="200"/>
              <w:rPr>
                <w:color w:val="auto"/>
                <w:sz w:val="28"/>
                <w:szCs w:val="28"/>
              </w:rPr>
            </w:pPr>
            <w:r>
              <w:rPr>
                <w:color w:val="auto"/>
                <w:sz w:val="28"/>
                <w:szCs w:val="28"/>
              </w:rPr>
              <w:t>2、水环境影响专项评价（包括地表水和地下水）</w:t>
            </w:r>
          </w:p>
          <w:p>
            <w:pPr>
              <w:spacing w:line="560" w:lineRule="exact"/>
              <w:ind w:firstLine="560" w:firstLineChars="200"/>
              <w:rPr>
                <w:color w:val="auto"/>
                <w:sz w:val="28"/>
                <w:szCs w:val="28"/>
              </w:rPr>
            </w:pPr>
            <w:r>
              <w:rPr>
                <w:color w:val="auto"/>
                <w:sz w:val="28"/>
                <w:szCs w:val="28"/>
              </w:rPr>
              <w:t>3、生态影响专项评价</w:t>
            </w:r>
          </w:p>
          <w:p>
            <w:pPr>
              <w:spacing w:line="560" w:lineRule="exact"/>
              <w:ind w:firstLine="560" w:firstLineChars="200"/>
              <w:rPr>
                <w:color w:val="auto"/>
                <w:sz w:val="28"/>
                <w:szCs w:val="28"/>
              </w:rPr>
            </w:pPr>
            <w:r>
              <w:rPr>
                <w:color w:val="auto"/>
                <w:sz w:val="28"/>
                <w:szCs w:val="28"/>
              </w:rPr>
              <w:t>4、声影响专项评价</w:t>
            </w:r>
          </w:p>
          <w:p>
            <w:pPr>
              <w:spacing w:line="560" w:lineRule="exact"/>
              <w:ind w:firstLine="560" w:firstLineChars="200"/>
              <w:rPr>
                <w:color w:val="auto"/>
                <w:sz w:val="28"/>
                <w:szCs w:val="28"/>
              </w:rPr>
            </w:pPr>
            <w:r>
              <w:rPr>
                <w:color w:val="auto"/>
                <w:sz w:val="28"/>
                <w:szCs w:val="28"/>
              </w:rPr>
              <w:t>5、土壤影响专项评价</w:t>
            </w:r>
          </w:p>
          <w:p>
            <w:pPr>
              <w:spacing w:line="560" w:lineRule="exact"/>
              <w:ind w:firstLine="560" w:firstLineChars="200"/>
              <w:rPr>
                <w:color w:val="auto"/>
                <w:sz w:val="28"/>
                <w:szCs w:val="28"/>
              </w:rPr>
            </w:pPr>
            <w:r>
              <w:rPr>
                <w:color w:val="auto"/>
                <w:sz w:val="28"/>
                <w:szCs w:val="28"/>
              </w:rPr>
              <w:t>6、固体废弃物影响专项评价</w:t>
            </w:r>
          </w:p>
          <w:p>
            <w:pPr>
              <w:spacing w:line="560" w:lineRule="exact"/>
              <w:ind w:firstLine="560" w:firstLineChars="200"/>
              <w:rPr>
                <w:color w:val="auto"/>
                <w:sz w:val="28"/>
                <w:szCs w:val="28"/>
              </w:rPr>
            </w:pPr>
            <w:r>
              <w:rPr>
                <w:color w:val="auto"/>
                <w:sz w:val="28"/>
                <w:szCs w:val="28"/>
              </w:rPr>
              <w:t>以上专项评价包括可另列专项，专项评价按照《环境影响评价技术导则》中的要求进行。</w:t>
            </w:r>
          </w:p>
        </w:tc>
      </w:tr>
    </w:tbl>
    <w:p>
      <w:pPr>
        <w:spacing w:line="20" w:lineRule="exact"/>
        <w:rPr>
          <w:vanish/>
          <w:color w:val="auto"/>
          <w:sz w:val="28"/>
          <w:szCs w:val="28"/>
        </w:rPr>
      </w:pPr>
    </w:p>
    <w:p>
      <w:pPr>
        <w:rPr>
          <w:color w:val="auto"/>
        </w:rPr>
      </w:pPr>
    </w:p>
    <w:sectPr>
      <w:pgSz w:w="11906" w:h="16838"/>
      <w:pgMar w:top="1418" w:right="1418" w:bottom="1701"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标宋体">
    <w:altName w:val="黑体"/>
    <w:panose1 w:val="00000000000000000000"/>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MS Mincho">
    <w:panose1 w:val="02020609040205080304"/>
    <w:charset w:val="80"/>
    <w:family w:val="modern"/>
    <w:pitch w:val="default"/>
    <w:sig w:usb0="E00002FF" w:usb1="6AC7FDFB" w:usb2="00000012" w:usb3="00000000" w:csb0="4002009F" w:csb1="DFD70000"/>
  </w:font>
  <w:font w:name="MingLiU">
    <w:panose1 w:val="02020509000000000000"/>
    <w:charset w:val="88"/>
    <w:family w:val="modern"/>
    <w:pitch w:val="default"/>
    <w:sig w:usb0="A00002FF" w:usb1="28CFFCFA" w:usb2="00000016" w:usb3="00000000" w:csb0="00100001" w:csb1="00000000"/>
  </w:font>
  <w:font w:name="Batang">
    <w:panose1 w:val="02030600000101010101"/>
    <w:charset w:val="81"/>
    <w:family w:val="roman"/>
    <w:pitch w:val="default"/>
    <w:sig w:usb0="B00002AF" w:usb1="69D77CFB" w:usb2="00000030" w:usb3="00000000" w:csb0="4008009F" w:csb1="DFD70000"/>
  </w:font>
  <w:font w:name="微软雅黑">
    <w:panose1 w:val="020B0503020204020204"/>
    <w:charset w:val="86"/>
    <w:family w:val="swiss"/>
    <w:pitch w:val="default"/>
    <w:sig w:usb0="80000287" w:usb1="280F3C52" w:usb2="00000016" w:usb3="00000000" w:csb0="0004001F" w:csb1="00000000"/>
  </w:font>
  <w:font w:name="方正姚体">
    <w:panose1 w:val="02010601030101010101"/>
    <w:charset w:val="86"/>
    <w:family w:val="auto"/>
    <w:pitch w:val="default"/>
    <w:sig w:usb0="00000003"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imesNewRomanPSMT">
    <w:altName w:val="Times New Roman"/>
    <w:panose1 w:val="00000000000000000000"/>
    <w:charset w:val="00"/>
    <w:family w:val="roman"/>
    <w:pitch w:val="default"/>
    <w:sig w:usb0="00000000" w:usb1="00000000" w:usb2="00000010" w:usb3="00000000" w:csb0="00040001"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page" w:x="6028" w:y="-32"/>
      <w:rPr>
        <w:rStyle w:val="28"/>
      </w:rPr>
    </w:pPr>
    <w:r>
      <w:fldChar w:fldCharType="begin"/>
    </w:r>
    <w:r>
      <w:rPr>
        <w:rStyle w:val="28"/>
      </w:rPr>
      <w:instrText xml:space="preserve">PAGE  </w:instrText>
    </w:r>
    <w:r>
      <w:fldChar w:fldCharType="separate"/>
    </w:r>
    <w:r>
      <w:rPr>
        <w:rStyle w:val="28"/>
      </w:rPr>
      <w:t>2</w:t>
    </w:r>
    <w:r>
      <w:fldChar w:fldCharType="end"/>
    </w:r>
  </w:p>
  <w:p>
    <w:pPr>
      <w:pStyle w:val="18"/>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8"/>
      </w:rPr>
    </w:pPr>
    <w:r>
      <w:fldChar w:fldCharType="begin"/>
    </w:r>
    <w:r>
      <w:rPr>
        <w:rStyle w:val="28"/>
      </w:rPr>
      <w:instrText xml:space="preserve">PAGE  </w:instrText>
    </w:r>
    <w:r>
      <w:fldChar w:fldCharType="end"/>
    </w:r>
  </w:p>
  <w:p>
    <w:pPr>
      <w:pStyle w:val="1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page" w:x="6028" w:y="-32"/>
      <w:rPr>
        <w:rStyle w:val="28"/>
      </w:rPr>
    </w:pPr>
    <w:r>
      <w:fldChar w:fldCharType="begin"/>
    </w:r>
    <w:r>
      <w:rPr>
        <w:rStyle w:val="28"/>
      </w:rPr>
      <w:instrText xml:space="preserve">PAGE  </w:instrText>
    </w:r>
    <w:r>
      <w:fldChar w:fldCharType="separate"/>
    </w:r>
    <w:r>
      <w:rPr>
        <w:rStyle w:val="28"/>
      </w:rPr>
      <w:t>77</w:t>
    </w:r>
    <w:r>
      <w:fldChar w:fldCharType="end"/>
    </w:r>
  </w:p>
  <w:p>
    <w:pPr>
      <w:pStyle w:val="18"/>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jc w:val="right"/>
      <w:rPr>
        <w:rFonts w:ascii="方正姚体" w:hAnsi="楷体" w:eastAsia="方正姚体"/>
      </w:rPr>
    </w:pPr>
    <w:r>
      <w:rPr>
        <w:rFonts w:ascii="方正姚体" w:hAnsi="楷体" w:eastAsia="方正姚体" w:cs="宋体"/>
        <w:sz w:val="24"/>
      </w:rPr>
      <w:drawing>
        <wp:anchor distT="0" distB="0" distL="114300" distR="114300" simplePos="0" relativeHeight="251660288" behindDoc="0" locked="0" layoutInCell="1" allowOverlap="1">
          <wp:simplePos x="0" y="0"/>
          <wp:positionH relativeFrom="column">
            <wp:posOffset>3303270</wp:posOffset>
          </wp:positionH>
          <wp:positionV relativeFrom="paragraph">
            <wp:posOffset>-36195</wp:posOffset>
          </wp:positionV>
          <wp:extent cx="247650" cy="247650"/>
          <wp:effectExtent l="0" t="0" r="0" b="0"/>
          <wp:wrapSquare wrapText="bothSides"/>
          <wp:docPr id="2" name="图片 2" descr="45@P$6AD_7T}ALLYIU2F$_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45@P$6AD_7T}ALLYIU2F$_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47650" cy="247650"/>
                  </a:xfrm>
                  <a:prstGeom prst="rect">
                    <a:avLst/>
                  </a:prstGeom>
                  <a:noFill/>
                  <a:ln>
                    <a:noFill/>
                  </a:ln>
                </pic:spPr>
              </pic:pic>
            </a:graphicData>
          </a:graphic>
        </wp:anchor>
      </w:drawing>
    </w:r>
    <w:r>
      <w:rPr>
        <w:rFonts w:hint="eastAsia" w:ascii="方正姚体" w:hAnsi="楷体" w:eastAsia="方正姚体" w:cs="宋体"/>
        <w:sz w:val="24"/>
      </w:rPr>
      <w:t>伊犁创禹水利环境科技有限公司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jc w:val="right"/>
      <w:rPr>
        <w:rFonts w:ascii="方正姚体" w:hAnsi="楷体" w:eastAsia="方正姚体"/>
      </w:rPr>
    </w:pPr>
    <w:r>
      <w:rPr>
        <w:rFonts w:ascii="方正姚体" w:hAnsi="楷体" w:eastAsia="方正姚体" w:cs="宋体"/>
        <w:sz w:val="24"/>
      </w:rPr>
      <w:drawing>
        <wp:anchor distT="0" distB="0" distL="114300" distR="114300" simplePos="0" relativeHeight="251659264" behindDoc="0" locked="0" layoutInCell="1" allowOverlap="1">
          <wp:simplePos x="0" y="0"/>
          <wp:positionH relativeFrom="column">
            <wp:posOffset>3303270</wp:posOffset>
          </wp:positionH>
          <wp:positionV relativeFrom="paragraph">
            <wp:posOffset>-36195</wp:posOffset>
          </wp:positionV>
          <wp:extent cx="247650" cy="247650"/>
          <wp:effectExtent l="0" t="0" r="0" b="0"/>
          <wp:wrapSquare wrapText="bothSides"/>
          <wp:docPr id="1" name="图片 1" descr="45@P$6AD_7T}ALLYIU2F$_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45@P$6AD_7T}ALLYIU2F$_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47650" cy="247650"/>
                  </a:xfrm>
                  <a:prstGeom prst="rect">
                    <a:avLst/>
                  </a:prstGeom>
                  <a:noFill/>
                  <a:ln>
                    <a:noFill/>
                  </a:ln>
                </pic:spPr>
              </pic:pic>
            </a:graphicData>
          </a:graphic>
        </wp:anchor>
      </w:drawing>
    </w:r>
    <w:r>
      <w:rPr>
        <w:rFonts w:hint="eastAsia" w:ascii="方正姚体" w:hAnsi="楷体" w:eastAsia="方正姚体" w:cs="宋体"/>
        <w:sz w:val="24"/>
      </w:rPr>
      <w:t>新疆创禹水利环境科技有限公司</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076"/>
    <w:rsid w:val="0000251D"/>
    <w:rsid w:val="00003946"/>
    <w:rsid w:val="000039C5"/>
    <w:rsid w:val="000039E3"/>
    <w:rsid w:val="0000599A"/>
    <w:rsid w:val="000116C0"/>
    <w:rsid w:val="00012790"/>
    <w:rsid w:val="00013B9E"/>
    <w:rsid w:val="00015724"/>
    <w:rsid w:val="00020604"/>
    <w:rsid w:val="000224A7"/>
    <w:rsid w:val="000241DC"/>
    <w:rsid w:val="00026E5F"/>
    <w:rsid w:val="00033292"/>
    <w:rsid w:val="000342C6"/>
    <w:rsid w:val="000349C9"/>
    <w:rsid w:val="00034CC7"/>
    <w:rsid w:val="0003572B"/>
    <w:rsid w:val="00036EAE"/>
    <w:rsid w:val="000376E7"/>
    <w:rsid w:val="000414E1"/>
    <w:rsid w:val="00042E96"/>
    <w:rsid w:val="00044308"/>
    <w:rsid w:val="0005682C"/>
    <w:rsid w:val="00060C1D"/>
    <w:rsid w:val="00062BE6"/>
    <w:rsid w:val="0006359D"/>
    <w:rsid w:val="000702D5"/>
    <w:rsid w:val="0007092A"/>
    <w:rsid w:val="00070E38"/>
    <w:rsid w:val="00070FF6"/>
    <w:rsid w:val="00072424"/>
    <w:rsid w:val="00073D3B"/>
    <w:rsid w:val="00075528"/>
    <w:rsid w:val="00077D1E"/>
    <w:rsid w:val="000809C2"/>
    <w:rsid w:val="0008548C"/>
    <w:rsid w:val="00085F00"/>
    <w:rsid w:val="00085FAA"/>
    <w:rsid w:val="000901BE"/>
    <w:rsid w:val="00091713"/>
    <w:rsid w:val="00092026"/>
    <w:rsid w:val="00094891"/>
    <w:rsid w:val="000948CA"/>
    <w:rsid w:val="000968EA"/>
    <w:rsid w:val="000A2980"/>
    <w:rsid w:val="000A2E56"/>
    <w:rsid w:val="000A3CA5"/>
    <w:rsid w:val="000A5C57"/>
    <w:rsid w:val="000A5C5A"/>
    <w:rsid w:val="000B0B22"/>
    <w:rsid w:val="000B3204"/>
    <w:rsid w:val="000B51C6"/>
    <w:rsid w:val="000B6994"/>
    <w:rsid w:val="000B6CB6"/>
    <w:rsid w:val="000C33E1"/>
    <w:rsid w:val="000D0107"/>
    <w:rsid w:val="000D228E"/>
    <w:rsid w:val="000D269B"/>
    <w:rsid w:val="000D3C74"/>
    <w:rsid w:val="000E09A0"/>
    <w:rsid w:val="000F14F1"/>
    <w:rsid w:val="000F32D9"/>
    <w:rsid w:val="000F4752"/>
    <w:rsid w:val="000F6097"/>
    <w:rsid w:val="00100B37"/>
    <w:rsid w:val="001016E9"/>
    <w:rsid w:val="0010286E"/>
    <w:rsid w:val="00104B4E"/>
    <w:rsid w:val="00107FB9"/>
    <w:rsid w:val="00111DDA"/>
    <w:rsid w:val="001129E9"/>
    <w:rsid w:val="001134E8"/>
    <w:rsid w:val="00116FFE"/>
    <w:rsid w:val="0012037D"/>
    <w:rsid w:val="00121EE3"/>
    <w:rsid w:val="00125171"/>
    <w:rsid w:val="001337F0"/>
    <w:rsid w:val="001348E5"/>
    <w:rsid w:val="0013500E"/>
    <w:rsid w:val="00135249"/>
    <w:rsid w:val="00135496"/>
    <w:rsid w:val="00137E26"/>
    <w:rsid w:val="0014008D"/>
    <w:rsid w:val="00140263"/>
    <w:rsid w:val="00140A59"/>
    <w:rsid w:val="00141E64"/>
    <w:rsid w:val="00141E97"/>
    <w:rsid w:val="001446F0"/>
    <w:rsid w:val="00147847"/>
    <w:rsid w:val="00155FF3"/>
    <w:rsid w:val="00156A64"/>
    <w:rsid w:val="001573F5"/>
    <w:rsid w:val="00161299"/>
    <w:rsid w:val="0016256B"/>
    <w:rsid w:val="00165036"/>
    <w:rsid w:val="00166651"/>
    <w:rsid w:val="00171C03"/>
    <w:rsid w:val="00173970"/>
    <w:rsid w:val="001773C2"/>
    <w:rsid w:val="00182EC1"/>
    <w:rsid w:val="001837D6"/>
    <w:rsid w:val="00185076"/>
    <w:rsid w:val="001874F3"/>
    <w:rsid w:val="00187800"/>
    <w:rsid w:val="0019265D"/>
    <w:rsid w:val="00196965"/>
    <w:rsid w:val="001A1E5C"/>
    <w:rsid w:val="001A2621"/>
    <w:rsid w:val="001A29D9"/>
    <w:rsid w:val="001A34B0"/>
    <w:rsid w:val="001A5C90"/>
    <w:rsid w:val="001B3D05"/>
    <w:rsid w:val="001B49B8"/>
    <w:rsid w:val="001B5E53"/>
    <w:rsid w:val="001B62EB"/>
    <w:rsid w:val="001C1346"/>
    <w:rsid w:val="001C2C91"/>
    <w:rsid w:val="001C3EF6"/>
    <w:rsid w:val="001D0231"/>
    <w:rsid w:val="001D1BC6"/>
    <w:rsid w:val="001D2FFB"/>
    <w:rsid w:val="001D3A70"/>
    <w:rsid w:val="001D41A8"/>
    <w:rsid w:val="001D7395"/>
    <w:rsid w:val="001E16EC"/>
    <w:rsid w:val="001E419B"/>
    <w:rsid w:val="001E6547"/>
    <w:rsid w:val="001E7CFC"/>
    <w:rsid w:val="001F28B3"/>
    <w:rsid w:val="001F3F56"/>
    <w:rsid w:val="001F6E6D"/>
    <w:rsid w:val="001F7B57"/>
    <w:rsid w:val="002035E9"/>
    <w:rsid w:val="002039D0"/>
    <w:rsid w:val="00205201"/>
    <w:rsid w:val="00205323"/>
    <w:rsid w:val="0020583D"/>
    <w:rsid w:val="00206464"/>
    <w:rsid w:val="0020751B"/>
    <w:rsid w:val="00210CA0"/>
    <w:rsid w:val="00212A68"/>
    <w:rsid w:val="00212F32"/>
    <w:rsid w:val="00213946"/>
    <w:rsid w:val="00216658"/>
    <w:rsid w:val="00220883"/>
    <w:rsid w:val="0022240D"/>
    <w:rsid w:val="00222EE8"/>
    <w:rsid w:val="00223584"/>
    <w:rsid w:val="0022468B"/>
    <w:rsid w:val="00224E57"/>
    <w:rsid w:val="002258B4"/>
    <w:rsid w:val="0023027D"/>
    <w:rsid w:val="00231464"/>
    <w:rsid w:val="00231B00"/>
    <w:rsid w:val="00232114"/>
    <w:rsid w:val="00237537"/>
    <w:rsid w:val="00243C3A"/>
    <w:rsid w:val="00245AE4"/>
    <w:rsid w:val="0025125F"/>
    <w:rsid w:val="002539A7"/>
    <w:rsid w:val="00253FEB"/>
    <w:rsid w:val="00255B16"/>
    <w:rsid w:val="002564D7"/>
    <w:rsid w:val="002607CF"/>
    <w:rsid w:val="002617E0"/>
    <w:rsid w:val="002643A1"/>
    <w:rsid w:val="00266252"/>
    <w:rsid w:val="00270117"/>
    <w:rsid w:val="00270E46"/>
    <w:rsid w:val="00271C47"/>
    <w:rsid w:val="002747B8"/>
    <w:rsid w:val="002779C0"/>
    <w:rsid w:val="002807C2"/>
    <w:rsid w:val="00280959"/>
    <w:rsid w:val="00282799"/>
    <w:rsid w:val="002827E2"/>
    <w:rsid w:val="002838CB"/>
    <w:rsid w:val="00284AD1"/>
    <w:rsid w:val="0028706D"/>
    <w:rsid w:val="002871A2"/>
    <w:rsid w:val="00291FF6"/>
    <w:rsid w:val="00292239"/>
    <w:rsid w:val="00294DED"/>
    <w:rsid w:val="00297A40"/>
    <w:rsid w:val="002A30B8"/>
    <w:rsid w:val="002A67D9"/>
    <w:rsid w:val="002A6A58"/>
    <w:rsid w:val="002B0D88"/>
    <w:rsid w:val="002B119A"/>
    <w:rsid w:val="002B3332"/>
    <w:rsid w:val="002B483D"/>
    <w:rsid w:val="002B79A1"/>
    <w:rsid w:val="002B79CF"/>
    <w:rsid w:val="002B79D7"/>
    <w:rsid w:val="002B7EAC"/>
    <w:rsid w:val="002C12B8"/>
    <w:rsid w:val="002C2CF9"/>
    <w:rsid w:val="002C4D85"/>
    <w:rsid w:val="002C596C"/>
    <w:rsid w:val="002C5E7E"/>
    <w:rsid w:val="002C6EDF"/>
    <w:rsid w:val="002C76B2"/>
    <w:rsid w:val="002D3A6A"/>
    <w:rsid w:val="002D6397"/>
    <w:rsid w:val="002E12E9"/>
    <w:rsid w:val="002F10E0"/>
    <w:rsid w:val="002F3D24"/>
    <w:rsid w:val="002F51EE"/>
    <w:rsid w:val="002F726E"/>
    <w:rsid w:val="002F7CDF"/>
    <w:rsid w:val="00301670"/>
    <w:rsid w:val="0030327F"/>
    <w:rsid w:val="00305747"/>
    <w:rsid w:val="0030663D"/>
    <w:rsid w:val="00307497"/>
    <w:rsid w:val="00307EE1"/>
    <w:rsid w:val="003102BB"/>
    <w:rsid w:val="0031184C"/>
    <w:rsid w:val="003132B1"/>
    <w:rsid w:val="00314146"/>
    <w:rsid w:val="00316493"/>
    <w:rsid w:val="003201B8"/>
    <w:rsid w:val="00321E66"/>
    <w:rsid w:val="00324124"/>
    <w:rsid w:val="00324C48"/>
    <w:rsid w:val="00325E9D"/>
    <w:rsid w:val="00331EB9"/>
    <w:rsid w:val="003335AF"/>
    <w:rsid w:val="00333E61"/>
    <w:rsid w:val="0033532E"/>
    <w:rsid w:val="00340807"/>
    <w:rsid w:val="00341773"/>
    <w:rsid w:val="00344605"/>
    <w:rsid w:val="00345993"/>
    <w:rsid w:val="0034792B"/>
    <w:rsid w:val="00347E62"/>
    <w:rsid w:val="00350108"/>
    <w:rsid w:val="00352F60"/>
    <w:rsid w:val="0035649F"/>
    <w:rsid w:val="0035680B"/>
    <w:rsid w:val="0036280F"/>
    <w:rsid w:val="00362F78"/>
    <w:rsid w:val="003641E6"/>
    <w:rsid w:val="00365716"/>
    <w:rsid w:val="003673FF"/>
    <w:rsid w:val="00374C63"/>
    <w:rsid w:val="0037542D"/>
    <w:rsid w:val="00380C85"/>
    <w:rsid w:val="0038703D"/>
    <w:rsid w:val="00391F30"/>
    <w:rsid w:val="0039492A"/>
    <w:rsid w:val="003966C3"/>
    <w:rsid w:val="00396E54"/>
    <w:rsid w:val="003A03B6"/>
    <w:rsid w:val="003A16BD"/>
    <w:rsid w:val="003A1929"/>
    <w:rsid w:val="003A56E1"/>
    <w:rsid w:val="003A5A98"/>
    <w:rsid w:val="003A5BA3"/>
    <w:rsid w:val="003A79CB"/>
    <w:rsid w:val="003A7B40"/>
    <w:rsid w:val="003A7E6B"/>
    <w:rsid w:val="003B12F1"/>
    <w:rsid w:val="003B6AB6"/>
    <w:rsid w:val="003C0171"/>
    <w:rsid w:val="003C6F3D"/>
    <w:rsid w:val="003C73F8"/>
    <w:rsid w:val="003D0232"/>
    <w:rsid w:val="003D128D"/>
    <w:rsid w:val="003E7D55"/>
    <w:rsid w:val="003F08D5"/>
    <w:rsid w:val="003F13A9"/>
    <w:rsid w:val="003F15ED"/>
    <w:rsid w:val="003F1743"/>
    <w:rsid w:val="003F6133"/>
    <w:rsid w:val="003F69AC"/>
    <w:rsid w:val="003F6EFF"/>
    <w:rsid w:val="00400A60"/>
    <w:rsid w:val="00405253"/>
    <w:rsid w:val="0040712A"/>
    <w:rsid w:val="00407833"/>
    <w:rsid w:val="0041364E"/>
    <w:rsid w:val="004159C6"/>
    <w:rsid w:val="00416275"/>
    <w:rsid w:val="00416DF4"/>
    <w:rsid w:val="004171A8"/>
    <w:rsid w:val="00420236"/>
    <w:rsid w:val="00422160"/>
    <w:rsid w:val="00424845"/>
    <w:rsid w:val="00424B81"/>
    <w:rsid w:val="004305DE"/>
    <w:rsid w:val="00430B7A"/>
    <w:rsid w:val="0043730E"/>
    <w:rsid w:val="00440012"/>
    <w:rsid w:val="004409E9"/>
    <w:rsid w:val="00444108"/>
    <w:rsid w:val="0044591A"/>
    <w:rsid w:val="00453357"/>
    <w:rsid w:val="00453EE2"/>
    <w:rsid w:val="004556B0"/>
    <w:rsid w:val="00455C6D"/>
    <w:rsid w:val="00455E35"/>
    <w:rsid w:val="0045718D"/>
    <w:rsid w:val="004602B1"/>
    <w:rsid w:val="00462EB0"/>
    <w:rsid w:val="00463109"/>
    <w:rsid w:val="00470975"/>
    <w:rsid w:val="00472308"/>
    <w:rsid w:val="00474B54"/>
    <w:rsid w:val="0047583A"/>
    <w:rsid w:val="00477B7C"/>
    <w:rsid w:val="0048034F"/>
    <w:rsid w:val="0048036B"/>
    <w:rsid w:val="00480506"/>
    <w:rsid w:val="00482532"/>
    <w:rsid w:val="0048339F"/>
    <w:rsid w:val="004848A1"/>
    <w:rsid w:val="00484D6C"/>
    <w:rsid w:val="00485E01"/>
    <w:rsid w:val="00486207"/>
    <w:rsid w:val="00490C67"/>
    <w:rsid w:val="00494CE8"/>
    <w:rsid w:val="00495B3E"/>
    <w:rsid w:val="00496B21"/>
    <w:rsid w:val="00496E41"/>
    <w:rsid w:val="004A02DE"/>
    <w:rsid w:val="004A5A6B"/>
    <w:rsid w:val="004A7D8E"/>
    <w:rsid w:val="004B2C42"/>
    <w:rsid w:val="004B62D6"/>
    <w:rsid w:val="004C196D"/>
    <w:rsid w:val="004C1D8A"/>
    <w:rsid w:val="004C69A3"/>
    <w:rsid w:val="004D3C0E"/>
    <w:rsid w:val="004D3C9C"/>
    <w:rsid w:val="004D7C1D"/>
    <w:rsid w:val="004D7CA8"/>
    <w:rsid w:val="004E17D8"/>
    <w:rsid w:val="004E2921"/>
    <w:rsid w:val="004E31B3"/>
    <w:rsid w:val="004E58D6"/>
    <w:rsid w:val="004E6A5F"/>
    <w:rsid w:val="004E6C4F"/>
    <w:rsid w:val="004F0A08"/>
    <w:rsid w:val="004F4342"/>
    <w:rsid w:val="0050052A"/>
    <w:rsid w:val="00500730"/>
    <w:rsid w:val="00500EA0"/>
    <w:rsid w:val="005044FE"/>
    <w:rsid w:val="00504E29"/>
    <w:rsid w:val="005058D6"/>
    <w:rsid w:val="00505A97"/>
    <w:rsid w:val="00510FE2"/>
    <w:rsid w:val="00513993"/>
    <w:rsid w:val="005161C6"/>
    <w:rsid w:val="00517E0E"/>
    <w:rsid w:val="005244FF"/>
    <w:rsid w:val="00525307"/>
    <w:rsid w:val="00527814"/>
    <w:rsid w:val="005308DE"/>
    <w:rsid w:val="005322A9"/>
    <w:rsid w:val="00532F79"/>
    <w:rsid w:val="00533F06"/>
    <w:rsid w:val="005341B1"/>
    <w:rsid w:val="00535AFD"/>
    <w:rsid w:val="00536D89"/>
    <w:rsid w:val="00542C3F"/>
    <w:rsid w:val="005436DC"/>
    <w:rsid w:val="005437C4"/>
    <w:rsid w:val="00544B91"/>
    <w:rsid w:val="005502B8"/>
    <w:rsid w:val="00551BD1"/>
    <w:rsid w:val="00551C64"/>
    <w:rsid w:val="0056038D"/>
    <w:rsid w:val="005638BF"/>
    <w:rsid w:val="00565162"/>
    <w:rsid w:val="005679C3"/>
    <w:rsid w:val="00571E43"/>
    <w:rsid w:val="00582411"/>
    <w:rsid w:val="005834BD"/>
    <w:rsid w:val="005838DD"/>
    <w:rsid w:val="00585151"/>
    <w:rsid w:val="00585B43"/>
    <w:rsid w:val="00587970"/>
    <w:rsid w:val="005909C1"/>
    <w:rsid w:val="00592528"/>
    <w:rsid w:val="00593E6E"/>
    <w:rsid w:val="00596CD3"/>
    <w:rsid w:val="005A18DE"/>
    <w:rsid w:val="005A3D09"/>
    <w:rsid w:val="005A5E5E"/>
    <w:rsid w:val="005A6459"/>
    <w:rsid w:val="005B11D3"/>
    <w:rsid w:val="005B2459"/>
    <w:rsid w:val="005B3C6D"/>
    <w:rsid w:val="005B6778"/>
    <w:rsid w:val="005C0C27"/>
    <w:rsid w:val="005C3F43"/>
    <w:rsid w:val="005C699C"/>
    <w:rsid w:val="005D0286"/>
    <w:rsid w:val="005D0A46"/>
    <w:rsid w:val="005D76B8"/>
    <w:rsid w:val="005E1449"/>
    <w:rsid w:val="005E2BEA"/>
    <w:rsid w:val="005E3C33"/>
    <w:rsid w:val="005E6CFC"/>
    <w:rsid w:val="005F183E"/>
    <w:rsid w:val="005F197D"/>
    <w:rsid w:val="005F6272"/>
    <w:rsid w:val="005F7134"/>
    <w:rsid w:val="00601C3E"/>
    <w:rsid w:val="00605A83"/>
    <w:rsid w:val="006063C1"/>
    <w:rsid w:val="00614575"/>
    <w:rsid w:val="00614EF3"/>
    <w:rsid w:val="00615D97"/>
    <w:rsid w:val="0061640D"/>
    <w:rsid w:val="00620136"/>
    <w:rsid w:val="006230D5"/>
    <w:rsid w:val="00624097"/>
    <w:rsid w:val="00625BFF"/>
    <w:rsid w:val="00630194"/>
    <w:rsid w:val="006350DC"/>
    <w:rsid w:val="006363CC"/>
    <w:rsid w:val="00636C9A"/>
    <w:rsid w:val="00640CA5"/>
    <w:rsid w:val="006411A2"/>
    <w:rsid w:val="006411C7"/>
    <w:rsid w:val="006429CA"/>
    <w:rsid w:val="00643479"/>
    <w:rsid w:val="00644A0E"/>
    <w:rsid w:val="0064596A"/>
    <w:rsid w:val="00645EDA"/>
    <w:rsid w:val="0064728D"/>
    <w:rsid w:val="006509D7"/>
    <w:rsid w:val="006532AE"/>
    <w:rsid w:val="00654A27"/>
    <w:rsid w:val="00654B25"/>
    <w:rsid w:val="0065512E"/>
    <w:rsid w:val="00660888"/>
    <w:rsid w:val="0066355F"/>
    <w:rsid w:val="0066378A"/>
    <w:rsid w:val="006656F8"/>
    <w:rsid w:val="00666057"/>
    <w:rsid w:val="00666B29"/>
    <w:rsid w:val="006717DE"/>
    <w:rsid w:val="0067471E"/>
    <w:rsid w:val="0068182E"/>
    <w:rsid w:val="00693462"/>
    <w:rsid w:val="00694E2B"/>
    <w:rsid w:val="00696964"/>
    <w:rsid w:val="00696AD5"/>
    <w:rsid w:val="00697711"/>
    <w:rsid w:val="006A4FD5"/>
    <w:rsid w:val="006A538E"/>
    <w:rsid w:val="006C594B"/>
    <w:rsid w:val="006C689A"/>
    <w:rsid w:val="006C6A61"/>
    <w:rsid w:val="006C7AD3"/>
    <w:rsid w:val="006D0689"/>
    <w:rsid w:val="006D0E9A"/>
    <w:rsid w:val="006D143A"/>
    <w:rsid w:val="006D15BB"/>
    <w:rsid w:val="006D235A"/>
    <w:rsid w:val="006D2AEE"/>
    <w:rsid w:val="006E181B"/>
    <w:rsid w:val="006E1A40"/>
    <w:rsid w:val="006E4D54"/>
    <w:rsid w:val="006E5A57"/>
    <w:rsid w:val="006F03E8"/>
    <w:rsid w:val="006F25C4"/>
    <w:rsid w:val="006F26A7"/>
    <w:rsid w:val="006F361C"/>
    <w:rsid w:val="006F7D90"/>
    <w:rsid w:val="00700887"/>
    <w:rsid w:val="00710D51"/>
    <w:rsid w:val="00710EF1"/>
    <w:rsid w:val="00711941"/>
    <w:rsid w:val="007128AF"/>
    <w:rsid w:val="00712F35"/>
    <w:rsid w:val="00714F41"/>
    <w:rsid w:val="00715E66"/>
    <w:rsid w:val="00715F1A"/>
    <w:rsid w:val="00722741"/>
    <w:rsid w:val="00723459"/>
    <w:rsid w:val="00724E72"/>
    <w:rsid w:val="007254AD"/>
    <w:rsid w:val="00725834"/>
    <w:rsid w:val="00730CB1"/>
    <w:rsid w:val="00736640"/>
    <w:rsid w:val="00737064"/>
    <w:rsid w:val="00740977"/>
    <w:rsid w:val="00745578"/>
    <w:rsid w:val="00746B99"/>
    <w:rsid w:val="00750AFD"/>
    <w:rsid w:val="00756292"/>
    <w:rsid w:val="00757D9E"/>
    <w:rsid w:val="00761A2D"/>
    <w:rsid w:val="00764EF7"/>
    <w:rsid w:val="00765053"/>
    <w:rsid w:val="007700DB"/>
    <w:rsid w:val="00770DF5"/>
    <w:rsid w:val="00774235"/>
    <w:rsid w:val="00774551"/>
    <w:rsid w:val="00774821"/>
    <w:rsid w:val="00775327"/>
    <w:rsid w:val="00780009"/>
    <w:rsid w:val="007835AF"/>
    <w:rsid w:val="0078528C"/>
    <w:rsid w:val="00785CAD"/>
    <w:rsid w:val="00787CDB"/>
    <w:rsid w:val="00792417"/>
    <w:rsid w:val="0079361A"/>
    <w:rsid w:val="007A28AF"/>
    <w:rsid w:val="007A2E07"/>
    <w:rsid w:val="007A352A"/>
    <w:rsid w:val="007A44B1"/>
    <w:rsid w:val="007B2213"/>
    <w:rsid w:val="007B7952"/>
    <w:rsid w:val="007B7B81"/>
    <w:rsid w:val="007C0ED7"/>
    <w:rsid w:val="007C64C3"/>
    <w:rsid w:val="007D0931"/>
    <w:rsid w:val="007D2ADF"/>
    <w:rsid w:val="007D3489"/>
    <w:rsid w:val="007D39D8"/>
    <w:rsid w:val="007D566E"/>
    <w:rsid w:val="007D72DD"/>
    <w:rsid w:val="007E0653"/>
    <w:rsid w:val="007E0A8A"/>
    <w:rsid w:val="007E68A4"/>
    <w:rsid w:val="007F25F7"/>
    <w:rsid w:val="007F7643"/>
    <w:rsid w:val="00802BF9"/>
    <w:rsid w:val="00804AC6"/>
    <w:rsid w:val="008103ED"/>
    <w:rsid w:val="00811197"/>
    <w:rsid w:val="00811206"/>
    <w:rsid w:val="0081296B"/>
    <w:rsid w:val="0081346D"/>
    <w:rsid w:val="00815877"/>
    <w:rsid w:val="0082532D"/>
    <w:rsid w:val="0082621F"/>
    <w:rsid w:val="00827A04"/>
    <w:rsid w:val="0083169D"/>
    <w:rsid w:val="0083326C"/>
    <w:rsid w:val="00834BD5"/>
    <w:rsid w:val="00834C3C"/>
    <w:rsid w:val="00834D2B"/>
    <w:rsid w:val="0083596C"/>
    <w:rsid w:val="00840D67"/>
    <w:rsid w:val="00842D12"/>
    <w:rsid w:val="008462BC"/>
    <w:rsid w:val="008473AD"/>
    <w:rsid w:val="0085282D"/>
    <w:rsid w:val="0085345D"/>
    <w:rsid w:val="008544F2"/>
    <w:rsid w:val="008544F5"/>
    <w:rsid w:val="00856196"/>
    <w:rsid w:val="008562CF"/>
    <w:rsid w:val="00860627"/>
    <w:rsid w:val="00865AF8"/>
    <w:rsid w:val="008665AE"/>
    <w:rsid w:val="00870DEA"/>
    <w:rsid w:val="00872C3D"/>
    <w:rsid w:val="00875800"/>
    <w:rsid w:val="00876225"/>
    <w:rsid w:val="00877D8D"/>
    <w:rsid w:val="008811B9"/>
    <w:rsid w:val="008815A8"/>
    <w:rsid w:val="00884D77"/>
    <w:rsid w:val="008976C7"/>
    <w:rsid w:val="00897933"/>
    <w:rsid w:val="00897994"/>
    <w:rsid w:val="008A253B"/>
    <w:rsid w:val="008A593E"/>
    <w:rsid w:val="008A5FC1"/>
    <w:rsid w:val="008B548B"/>
    <w:rsid w:val="008B72EB"/>
    <w:rsid w:val="008B79FA"/>
    <w:rsid w:val="008B7BFB"/>
    <w:rsid w:val="008C3803"/>
    <w:rsid w:val="008C646F"/>
    <w:rsid w:val="008C6521"/>
    <w:rsid w:val="008D16B2"/>
    <w:rsid w:val="008D1DD1"/>
    <w:rsid w:val="008D74DE"/>
    <w:rsid w:val="008D7CA0"/>
    <w:rsid w:val="008E3322"/>
    <w:rsid w:val="008E5C21"/>
    <w:rsid w:val="008F0FFB"/>
    <w:rsid w:val="008F1BB0"/>
    <w:rsid w:val="008F2570"/>
    <w:rsid w:val="008F4172"/>
    <w:rsid w:val="0090024D"/>
    <w:rsid w:val="00903AD0"/>
    <w:rsid w:val="00904092"/>
    <w:rsid w:val="009126BD"/>
    <w:rsid w:val="009138F4"/>
    <w:rsid w:val="00913FFC"/>
    <w:rsid w:val="009147FE"/>
    <w:rsid w:val="00916260"/>
    <w:rsid w:val="00917FF2"/>
    <w:rsid w:val="00920081"/>
    <w:rsid w:val="00920664"/>
    <w:rsid w:val="00922F99"/>
    <w:rsid w:val="0092714E"/>
    <w:rsid w:val="00927E0F"/>
    <w:rsid w:val="0093284A"/>
    <w:rsid w:val="0094202B"/>
    <w:rsid w:val="00942154"/>
    <w:rsid w:val="009427EE"/>
    <w:rsid w:val="00943573"/>
    <w:rsid w:val="00946883"/>
    <w:rsid w:val="00946BCA"/>
    <w:rsid w:val="009474B8"/>
    <w:rsid w:val="00957C93"/>
    <w:rsid w:val="00961D2D"/>
    <w:rsid w:val="00962F7D"/>
    <w:rsid w:val="0096346F"/>
    <w:rsid w:val="00966242"/>
    <w:rsid w:val="009665F5"/>
    <w:rsid w:val="00970109"/>
    <w:rsid w:val="009754C1"/>
    <w:rsid w:val="00977C18"/>
    <w:rsid w:val="009802D9"/>
    <w:rsid w:val="009873ED"/>
    <w:rsid w:val="009929B3"/>
    <w:rsid w:val="0099486E"/>
    <w:rsid w:val="009A4256"/>
    <w:rsid w:val="009A5906"/>
    <w:rsid w:val="009A7016"/>
    <w:rsid w:val="009A70EC"/>
    <w:rsid w:val="009A7DF6"/>
    <w:rsid w:val="009B346A"/>
    <w:rsid w:val="009B40AE"/>
    <w:rsid w:val="009B6899"/>
    <w:rsid w:val="009C06B3"/>
    <w:rsid w:val="009C1541"/>
    <w:rsid w:val="009C26B8"/>
    <w:rsid w:val="009D2E24"/>
    <w:rsid w:val="009D46BD"/>
    <w:rsid w:val="009E1375"/>
    <w:rsid w:val="009E7CFD"/>
    <w:rsid w:val="009F5BBC"/>
    <w:rsid w:val="00A00464"/>
    <w:rsid w:val="00A00BA4"/>
    <w:rsid w:val="00A01957"/>
    <w:rsid w:val="00A021AE"/>
    <w:rsid w:val="00A0307D"/>
    <w:rsid w:val="00A036C0"/>
    <w:rsid w:val="00A07A81"/>
    <w:rsid w:val="00A07BC2"/>
    <w:rsid w:val="00A07C84"/>
    <w:rsid w:val="00A07F2B"/>
    <w:rsid w:val="00A1098D"/>
    <w:rsid w:val="00A15837"/>
    <w:rsid w:val="00A15888"/>
    <w:rsid w:val="00A164C4"/>
    <w:rsid w:val="00A206AE"/>
    <w:rsid w:val="00A245FF"/>
    <w:rsid w:val="00A24DD2"/>
    <w:rsid w:val="00A24E7F"/>
    <w:rsid w:val="00A25073"/>
    <w:rsid w:val="00A25D08"/>
    <w:rsid w:val="00A2636F"/>
    <w:rsid w:val="00A30059"/>
    <w:rsid w:val="00A35E1F"/>
    <w:rsid w:val="00A36193"/>
    <w:rsid w:val="00A40275"/>
    <w:rsid w:val="00A4052F"/>
    <w:rsid w:val="00A41A14"/>
    <w:rsid w:val="00A4277A"/>
    <w:rsid w:val="00A42BB7"/>
    <w:rsid w:val="00A44C12"/>
    <w:rsid w:val="00A4636E"/>
    <w:rsid w:val="00A46932"/>
    <w:rsid w:val="00A46FA3"/>
    <w:rsid w:val="00A47255"/>
    <w:rsid w:val="00A51AE4"/>
    <w:rsid w:val="00A51C8D"/>
    <w:rsid w:val="00A52B83"/>
    <w:rsid w:val="00A52DE0"/>
    <w:rsid w:val="00A5316F"/>
    <w:rsid w:val="00A576AF"/>
    <w:rsid w:val="00A6052C"/>
    <w:rsid w:val="00A606B1"/>
    <w:rsid w:val="00A60814"/>
    <w:rsid w:val="00A64721"/>
    <w:rsid w:val="00A67685"/>
    <w:rsid w:val="00A713B0"/>
    <w:rsid w:val="00A81251"/>
    <w:rsid w:val="00A8700D"/>
    <w:rsid w:val="00A91D69"/>
    <w:rsid w:val="00A92CC3"/>
    <w:rsid w:val="00A93395"/>
    <w:rsid w:val="00A97A01"/>
    <w:rsid w:val="00A97E16"/>
    <w:rsid w:val="00AA13EE"/>
    <w:rsid w:val="00AA1455"/>
    <w:rsid w:val="00AA21E4"/>
    <w:rsid w:val="00AA4826"/>
    <w:rsid w:val="00AA5429"/>
    <w:rsid w:val="00AA566B"/>
    <w:rsid w:val="00AA600A"/>
    <w:rsid w:val="00AA6B89"/>
    <w:rsid w:val="00AA7637"/>
    <w:rsid w:val="00AB234E"/>
    <w:rsid w:val="00AB4165"/>
    <w:rsid w:val="00AB4BAD"/>
    <w:rsid w:val="00AB5380"/>
    <w:rsid w:val="00AB5525"/>
    <w:rsid w:val="00AB5671"/>
    <w:rsid w:val="00AB60E1"/>
    <w:rsid w:val="00AC2934"/>
    <w:rsid w:val="00AC70C5"/>
    <w:rsid w:val="00AD02C1"/>
    <w:rsid w:val="00AD12D2"/>
    <w:rsid w:val="00AD13FF"/>
    <w:rsid w:val="00AD3448"/>
    <w:rsid w:val="00AD7018"/>
    <w:rsid w:val="00AD74B4"/>
    <w:rsid w:val="00AE0D8F"/>
    <w:rsid w:val="00AE1724"/>
    <w:rsid w:val="00AE25A3"/>
    <w:rsid w:val="00AE2984"/>
    <w:rsid w:val="00AE3C17"/>
    <w:rsid w:val="00AE4B86"/>
    <w:rsid w:val="00AE6D0E"/>
    <w:rsid w:val="00AF1075"/>
    <w:rsid w:val="00AF5150"/>
    <w:rsid w:val="00B014A7"/>
    <w:rsid w:val="00B035F9"/>
    <w:rsid w:val="00B06152"/>
    <w:rsid w:val="00B06C96"/>
    <w:rsid w:val="00B12E66"/>
    <w:rsid w:val="00B15406"/>
    <w:rsid w:val="00B1570B"/>
    <w:rsid w:val="00B17547"/>
    <w:rsid w:val="00B211E6"/>
    <w:rsid w:val="00B21260"/>
    <w:rsid w:val="00B2467B"/>
    <w:rsid w:val="00B3045C"/>
    <w:rsid w:val="00B33C32"/>
    <w:rsid w:val="00B348E7"/>
    <w:rsid w:val="00B34E89"/>
    <w:rsid w:val="00B37517"/>
    <w:rsid w:val="00B442CD"/>
    <w:rsid w:val="00B4640F"/>
    <w:rsid w:val="00B4745E"/>
    <w:rsid w:val="00B52D9B"/>
    <w:rsid w:val="00B5552C"/>
    <w:rsid w:val="00B6051A"/>
    <w:rsid w:val="00B61CF7"/>
    <w:rsid w:val="00B64177"/>
    <w:rsid w:val="00B65738"/>
    <w:rsid w:val="00B72462"/>
    <w:rsid w:val="00B80830"/>
    <w:rsid w:val="00B82B8E"/>
    <w:rsid w:val="00B82EFE"/>
    <w:rsid w:val="00B94938"/>
    <w:rsid w:val="00B96B1A"/>
    <w:rsid w:val="00B97309"/>
    <w:rsid w:val="00BA1E4E"/>
    <w:rsid w:val="00BA2745"/>
    <w:rsid w:val="00BA616D"/>
    <w:rsid w:val="00BA6DA5"/>
    <w:rsid w:val="00BB14EA"/>
    <w:rsid w:val="00BC0B18"/>
    <w:rsid w:val="00BC128F"/>
    <w:rsid w:val="00BC12B7"/>
    <w:rsid w:val="00BC1FD5"/>
    <w:rsid w:val="00BC2658"/>
    <w:rsid w:val="00BC3231"/>
    <w:rsid w:val="00BD1895"/>
    <w:rsid w:val="00BD19E8"/>
    <w:rsid w:val="00BD1ADF"/>
    <w:rsid w:val="00BD2CF4"/>
    <w:rsid w:val="00BD363C"/>
    <w:rsid w:val="00BD4146"/>
    <w:rsid w:val="00BD72C5"/>
    <w:rsid w:val="00BD7662"/>
    <w:rsid w:val="00BD7E2A"/>
    <w:rsid w:val="00BE1769"/>
    <w:rsid w:val="00BE33FB"/>
    <w:rsid w:val="00BE65BB"/>
    <w:rsid w:val="00BF02CD"/>
    <w:rsid w:val="00BF21EB"/>
    <w:rsid w:val="00BF261A"/>
    <w:rsid w:val="00BF6DAA"/>
    <w:rsid w:val="00BF786B"/>
    <w:rsid w:val="00BF7ED8"/>
    <w:rsid w:val="00C004D3"/>
    <w:rsid w:val="00C06F9F"/>
    <w:rsid w:val="00C10FE7"/>
    <w:rsid w:val="00C11353"/>
    <w:rsid w:val="00C12AAA"/>
    <w:rsid w:val="00C13EF8"/>
    <w:rsid w:val="00C14597"/>
    <w:rsid w:val="00C15A01"/>
    <w:rsid w:val="00C17104"/>
    <w:rsid w:val="00C20984"/>
    <w:rsid w:val="00C21501"/>
    <w:rsid w:val="00C230D4"/>
    <w:rsid w:val="00C258D3"/>
    <w:rsid w:val="00C27333"/>
    <w:rsid w:val="00C30543"/>
    <w:rsid w:val="00C40B12"/>
    <w:rsid w:val="00C40F73"/>
    <w:rsid w:val="00C42C28"/>
    <w:rsid w:val="00C44B38"/>
    <w:rsid w:val="00C572D9"/>
    <w:rsid w:val="00C61290"/>
    <w:rsid w:val="00C62236"/>
    <w:rsid w:val="00C62E07"/>
    <w:rsid w:val="00C6653A"/>
    <w:rsid w:val="00C71AC9"/>
    <w:rsid w:val="00C72FF0"/>
    <w:rsid w:val="00C7597E"/>
    <w:rsid w:val="00C75C04"/>
    <w:rsid w:val="00C76FD2"/>
    <w:rsid w:val="00C771BB"/>
    <w:rsid w:val="00C77D9B"/>
    <w:rsid w:val="00C81134"/>
    <w:rsid w:val="00C824A8"/>
    <w:rsid w:val="00C90782"/>
    <w:rsid w:val="00C9355E"/>
    <w:rsid w:val="00C95A54"/>
    <w:rsid w:val="00C963F0"/>
    <w:rsid w:val="00C970D9"/>
    <w:rsid w:val="00CA07C9"/>
    <w:rsid w:val="00CB007E"/>
    <w:rsid w:val="00CB23B7"/>
    <w:rsid w:val="00CB2F9B"/>
    <w:rsid w:val="00CB3EAD"/>
    <w:rsid w:val="00CB401C"/>
    <w:rsid w:val="00CB7A28"/>
    <w:rsid w:val="00CC35C4"/>
    <w:rsid w:val="00CC4038"/>
    <w:rsid w:val="00CC7C01"/>
    <w:rsid w:val="00CD06A7"/>
    <w:rsid w:val="00CD266E"/>
    <w:rsid w:val="00CD2808"/>
    <w:rsid w:val="00CE0357"/>
    <w:rsid w:val="00CE0EA5"/>
    <w:rsid w:val="00CE1427"/>
    <w:rsid w:val="00CE2844"/>
    <w:rsid w:val="00CE4A39"/>
    <w:rsid w:val="00CE542E"/>
    <w:rsid w:val="00CE6272"/>
    <w:rsid w:val="00CF00E1"/>
    <w:rsid w:val="00CF07C2"/>
    <w:rsid w:val="00CF235A"/>
    <w:rsid w:val="00CF2C09"/>
    <w:rsid w:val="00CF31B9"/>
    <w:rsid w:val="00CF53D6"/>
    <w:rsid w:val="00CF54AF"/>
    <w:rsid w:val="00CF7E7C"/>
    <w:rsid w:val="00D009BF"/>
    <w:rsid w:val="00D00B31"/>
    <w:rsid w:val="00D0112C"/>
    <w:rsid w:val="00D017BF"/>
    <w:rsid w:val="00D033BA"/>
    <w:rsid w:val="00D07CF2"/>
    <w:rsid w:val="00D1120E"/>
    <w:rsid w:val="00D112DD"/>
    <w:rsid w:val="00D114DE"/>
    <w:rsid w:val="00D11F3E"/>
    <w:rsid w:val="00D1213A"/>
    <w:rsid w:val="00D14911"/>
    <w:rsid w:val="00D1493B"/>
    <w:rsid w:val="00D160F4"/>
    <w:rsid w:val="00D22DB4"/>
    <w:rsid w:val="00D25BBC"/>
    <w:rsid w:val="00D30A92"/>
    <w:rsid w:val="00D3349D"/>
    <w:rsid w:val="00D33E2A"/>
    <w:rsid w:val="00D33F90"/>
    <w:rsid w:val="00D379F3"/>
    <w:rsid w:val="00D403CD"/>
    <w:rsid w:val="00D4220F"/>
    <w:rsid w:val="00D423C5"/>
    <w:rsid w:val="00D46542"/>
    <w:rsid w:val="00D46FC8"/>
    <w:rsid w:val="00D500E0"/>
    <w:rsid w:val="00D50AB0"/>
    <w:rsid w:val="00D535EB"/>
    <w:rsid w:val="00D55119"/>
    <w:rsid w:val="00D556C3"/>
    <w:rsid w:val="00D57A30"/>
    <w:rsid w:val="00D619F3"/>
    <w:rsid w:val="00D61BFC"/>
    <w:rsid w:val="00D64B21"/>
    <w:rsid w:val="00D65579"/>
    <w:rsid w:val="00D65720"/>
    <w:rsid w:val="00D65E72"/>
    <w:rsid w:val="00D713B6"/>
    <w:rsid w:val="00D737F3"/>
    <w:rsid w:val="00D739C2"/>
    <w:rsid w:val="00D74D16"/>
    <w:rsid w:val="00D777C5"/>
    <w:rsid w:val="00D87C32"/>
    <w:rsid w:val="00D9292C"/>
    <w:rsid w:val="00D96167"/>
    <w:rsid w:val="00D96D7F"/>
    <w:rsid w:val="00D97307"/>
    <w:rsid w:val="00D974D8"/>
    <w:rsid w:val="00D97576"/>
    <w:rsid w:val="00DA082F"/>
    <w:rsid w:val="00DA1444"/>
    <w:rsid w:val="00DA2C35"/>
    <w:rsid w:val="00DA36A3"/>
    <w:rsid w:val="00DA5E5B"/>
    <w:rsid w:val="00DA7739"/>
    <w:rsid w:val="00DB2DE1"/>
    <w:rsid w:val="00DB33A2"/>
    <w:rsid w:val="00DB466F"/>
    <w:rsid w:val="00DB5CA3"/>
    <w:rsid w:val="00DB77A4"/>
    <w:rsid w:val="00DC1FC0"/>
    <w:rsid w:val="00DC3BE2"/>
    <w:rsid w:val="00DC666D"/>
    <w:rsid w:val="00DC7E41"/>
    <w:rsid w:val="00DD18D7"/>
    <w:rsid w:val="00DD22C3"/>
    <w:rsid w:val="00DD3298"/>
    <w:rsid w:val="00DD7D91"/>
    <w:rsid w:val="00DE07F7"/>
    <w:rsid w:val="00DE10FA"/>
    <w:rsid w:val="00DE16E2"/>
    <w:rsid w:val="00DE2A8E"/>
    <w:rsid w:val="00DF048D"/>
    <w:rsid w:val="00DF2E50"/>
    <w:rsid w:val="00DF3F3A"/>
    <w:rsid w:val="00DF56EB"/>
    <w:rsid w:val="00DF67A7"/>
    <w:rsid w:val="00DF6E62"/>
    <w:rsid w:val="00DF7BC2"/>
    <w:rsid w:val="00E0074F"/>
    <w:rsid w:val="00E009A7"/>
    <w:rsid w:val="00E019E3"/>
    <w:rsid w:val="00E01F2D"/>
    <w:rsid w:val="00E0293D"/>
    <w:rsid w:val="00E03BC6"/>
    <w:rsid w:val="00E0410C"/>
    <w:rsid w:val="00E05DA3"/>
    <w:rsid w:val="00E11221"/>
    <w:rsid w:val="00E1503F"/>
    <w:rsid w:val="00E16106"/>
    <w:rsid w:val="00E16C4D"/>
    <w:rsid w:val="00E17CDD"/>
    <w:rsid w:val="00E231EC"/>
    <w:rsid w:val="00E23264"/>
    <w:rsid w:val="00E2366F"/>
    <w:rsid w:val="00E24554"/>
    <w:rsid w:val="00E2652F"/>
    <w:rsid w:val="00E26821"/>
    <w:rsid w:val="00E32236"/>
    <w:rsid w:val="00E338EC"/>
    <w:rsid w:val="00E36F70"/>
    <w:rsid w:val="00E37FBD"/>
    <w:rsid w:val="00E41D9C"/>
    <w:rsid w:val="00E43B82"/>
    <w:rsid w:val="00E4709E"/>
    <w:rsid w:val="00E558FC"/>
    <w:rsid w:val="00E718E9"/>
    <w:rsid w:val="00E762F5"/>
    <w:rsid w:val="00E77EF1"/>
    <w:rsid w:val="00E82066"/>
    <w:rsid w:val="00E823F5"/>
    <w:rsid w:val="00E83B1B"/>
    <w:rsid w:val="00E84F57"/>
    <w:rsid w:val="00E85C25"/>
    <w:rsid w:val="00E861DD"/>
    <w:rsid w:val="00E914AA"/>
    <w:rsid w:val="00E9568C"/>
    <w:rsid w:val="00E95B1D"/>
    <w:rsid w:val="00E95C84"/>
    <w:rsid w:val="00EA1C93"/>
    <w:rsid w:val="00EA7594"/>
    <w:rsid w:val="00EB0ACF"/>
    <w:rsid w:val="00EB2954"/>
    <w:rsid w:val="00EB2D75"/>
    <w:rsid w:val="00EB4854"/>
    <w:rsid w:val="00EB7156"/>
    <w:rsid w:val="00EC0A82"/>
    <w:rsid w:val="00EC2B33"/>
    <w:rsid w:val="00EC356D"/>
    <w:rsid w:val="00EC42C0"/>
    <w:rsid w:val="00EC4511"/>
    <w:rsid w:val="00EC4E0D"/>
    <w:rsid w:val="00EC5F6B"/>
    <w:rsid w:val="00EC5FFF"/>
    <w:rsid w:val="00EC63C0"/>
    <w:rsid w:val="00ED0BFF"/>
    <w:rsid w:val="00ED36C8"/>
    <w:rsid w:val="00ED37CA"/>
    <w:rsid w:val="00EE6B04"/>
    <w:rsid w:val="00EE6F20"/>
    <w:rsid w:val="00EF65DA"/>
    <w:rsid w:val="00EF724B"/>
    <w:rsid w:val="00EF7EA6"/>
    <w:rsid w:val="00F009B2"/>
    <w:rsid w:val="00F00DAE"/>
    <w:rsid w:val="00F01333"/>
    <w:rsid w:val="00F04EA4"/>
    <w:rsid w:val="00F05435"/>
    <w:rsid w:val="00F0746C"/>
    <w:rsid w:val="00F1146D"/>
    <w:rsid w:val="00F126A8"/>
    <w:rsid w:val="00F13369"/>
    <w:rsid w:val="00F134B4"/>
    <w:rsid w:val="00F14029"/>
    <w:rsid w:val="00F14CC3"/>
    <w:rsid w:val="00F1687C"/>
    <w:rsid w:val="00F21DF1"/>
    <w:rsid w:val="00F260A4"/>
    <w:rsid w:val="00F27BD9"/>
    <w:rsid w:val="00F31F06"/>
    <w:rsid w:val="00F3485E"/>
    <w:rsid w:val="00F35F0C"/>
    <w:rsid w:val="00F368AD"/>
    <w:rsid w:val="00F36B71"/>
    <w:rsid w:val="00F378BF"/>
    <w:rsid w:val="00F44942"/>
    <w:rsid w:val="00F44F6C"/>
    <w:rsid w:val="00F45196"/>
    <w:rsid w:val="00F4649F"/>
    <w:rsid w:val="00F50ACF"/>
    <w:rsid w:val="00F55245"/>
    <w:rsid w:val="00F5526C"/>
    <w:rsid w:val="00F57CC4"/>
    <w:rsid w:val="00F61017"/>
    <w:rsid w:val="00F62B2B"/>
    <w:rsid w:val="00F6317C"/>
    <w:rsid w:val="00F63AEB"/>
    <w:rsid w:val="00F643A8"/>
    <w:rsid w:val="00F70003"/>
    <w:rsid w:val="00F7048C"/>
    <w:rsid w:val="00F74660"/>
    <w:rsid w:val="00F82554"/>
    <w:rsid w:val="00F83216"/>
    <w:rsid w:val="00F83E2D"/>
    <w:rsid w:val="00F85FA0"/>
    <w:rsid w:val="00F91A25"/>
    <w:rsid w:val="00F91C58"/>
    <w:rsid w:val="00F924C7"/>
    <w:rsid w:val="00F92A94"/>
    <w:rsid w:val="00F96AB0"/>
    <w:rsid w:val="00F97235"/>
    <w:rsid w:val="00FA06DB"/>
    <w:rsid w:val="00FA16B9"/>
    <w:rsid w:val="00FA2276"/>
    <w:rsid w:val="00FA25D0"/>
    <w:rsid w:val="00FA2AEF"/>
    <w:rsid w:val="00FA2DCD"/>
    <w:rsid w:val="00FA51AA"/>
    <w:rsid w:val="00FA645F"/>
    <w:rsid w:val="00FA7F61"/>
    <w:rsid w:val="00FB3BC0"/>
    <w:rsid w:val="00FB7B21"/>
    <w:rsid w:val="00FC177E"/>
    <w:rsid w:val="00FC67EB"/>
    <w:rsid w:val="00FD234D"/>
    <w:rsid w:val="00FD28F0"/>
    <w:rsid w:val="00FD6C9C"/>
    <w:rsid w:val="00FD7352"/>
    <w:rsid w:val="00FD74DB"/>
    <w:rsid w:val="00FD7565"/>
    <w:rsid w:val="00FE02F5"/>
    <w:rsid w:val="00FE410D"/>
    <w:rsid w:val="00FE4559"/>
    <w:rsid w:val="00FE6A07"/>
    <w:rsid w:val="00FE7C60"/>
    <w:rsid w:val="00FF06FD"/>
    <w:rsid w:val="00FF11DE"/>
    <w:rsid w:val="00FF345D"/>
    <w:rsid w:val="00FF541F"/>
    <w:rsid w:val="04335930"/>
    <w:rsid w:val="0E1945B7"/>
    <w:rsid w:val="259A55E4"/>
    <w:rsid w:val="25BD778E"/>
    <w:rsid w:val="278C2197"/>
    <w:rsid w:val="2C2669B1"/>
    <w:rsid w:val="2C85550B"/>
    <w:rsid w:val="2D2514EB"/>
    <w:rsid w:val="2DEB7C07"/>
    <w:rsid w:val="30317133"/>
    <w:rsid w:val="343D6D23"/>
    <w:rsid w:val="389B7C01"/>
    <w:rsid w:val="38AB42F6"/>
    <w:rsid w:val="3EF94A09"/>
    <w:rsid w:val="409822BF"/>
    <w:rsid w:val="4C3B6508"/>
    <w:rsid w:val="57991034"/>
    <w:rsid w:val="5A8B1215"/>
    <w:rsid w:val="5ABA5454"/>
    <w:rsid w:val="5C7D0C7B"/>
    <w:rsid w:val="603D58AC"/>
    <w:rsid w:val="63FA655F"/>
    <w:rsid w:val="78CA5755"/>
    <w:rsid w:val="7DE40C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35"/>
    <w:qFormat/>
    <w:uiPriority w:val="0"/>
    <w:pPr>
      <w:keepNext/>
      <w:keepLines/>
      <w:spacing w:line="520" w:lineRule="exact"/>
      <w:jc w:val="left"/>
      <w:outlineLvl w:val="0"/>
    </w:pPr>
    <w:rPr>
      <w:b/>
      <w:bCs/>
      <w:kern w:val="44"/>
      <w:sz w:val="28"/>
      <w:szCs w:val="44"/>
    </w:rPr>
  </w:style>
  <w:style w:type="paragraph" w:styleId="6">
    <w:name w:val="heading 2"/>
    <w:basedOn w:val="1"/>
    <w:next w:val="1"/>
    <w:link w:val="39"/>
    <w:qFormat/>
    <w:uiPriority w:val="0"/>
    <w:pPr>
      <w:spacing w:before="20" w:after="20" w:line="560" w:lineRule="exact"/>
      <w:jc w:val="left"/>
      <w:outlineLvl w:val="1"/>
    </w:pPr>
    <w:rPr>
      <w:b/>
      <w:bCs/>
      <w:kern w:val="0"/>
      <w:sz w:val="28"/>
      <w:szCs w:val="28"/>
    </w:rPr>
  </w:style>
  <w:style w:type="paragraph" w:styleId="7">
    <w:name w:val="heading 3"/>
    <w:basedOn w:val="1"/>
    <w:next w:val="1"/>
    <w:link w:val="37"/>
    <w:qFormat/>
    <w:uiPriority w:val="0"/>
    <w:pPr>
      <w:keepNext/>
      <w:keepLines/>
      <w:spacing w:before="260" w:after="260" w:line="416" w:lineRule="auto"/>
      <w:outlineLvl w:val="2"/>
    </w:pPr>
    <w:rPr>
      <w:b/>
      <w:bCs/>
      <w:sz w:val="32"/>
      <w:szCs w:val="32"/>
    </w:rPr>
  </w:style>
  <w:style w:type="paragraph" w:styleId="4">
    <w:name w:val="heading 4"/>
    <w:basedOn w:val="1"/>
    <w:next w:val="1"/>
    <w:link w:val="38"/>
    <w:qFormat/>
    <w:uiPriority w:val="0"/>
    <w:pPr>
      <w:keepNext/>
      <w:keepLines/>
      <w:spacing w:before="280" w:after="290" w:line="376" w:lineRule="auto"/>
      <w:outlineLvl w:val="3"/>
    </w:pPr>
    <w:rPr>
      <w:rFonts w:ascii="Cambria" w:hAnsi="Cambria"/>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99"/>
    <w:semiHidden/>
    <w:unhideWhenUsed/>
    <w:qFormat/>
    <w:uiPriority w:val="99"/>
    <w:pPr>
      <w:ind w:firstLine="420" w:firstLineChars="200"/>
    </w:pPr>
  </w:style>
  <w:style w:type="paragraph" w:styleId="3">
    <w:name w:val="Body Text Indent"/>
    <w:basedOn w:val="1"/>
    <w:next w:val="4"/>
    <w:link w:val="50"/>
    <w:qFormat/>
    <w:uiPriority w:val="0"/>
    <w:pPr>
      <w:spacing w:after="120"/>
      <w:ind w:left="420" w:leftChars="200"/>
    </w:pPr>
  </w:style>
  <w:style w:type="paragraph" w:styleId="8">
    <w:name w:val="Normal Indent"/>
    <w:basedOn w:val="1"/>
    <w:link w:val="73"/>
    <w:qFormat/>
    <w:uiPriority w:val="0"/>
    <w:pPr>
      <w:ind w:firstLine="420"/>
    </w:pPr>
    <w:rPr>
      <w:szCs w:val="21"/>
    </w:rPr>
  </w:style>
  <w:style w:type="paragraph" w:styleId="9">
    <w:name w:val="caption"/>
    <w:basedOn w:val="1"/>
    <w:next w:val="1"/>
    <w:qFormat/>
    <w:uiPriority w:val="0"/>
    <w:rPr>
      <w:rFonts w:ascii="Cambria" w:hAnsi="Cambria" w:eastAsia="黑体"/>
      <w:sz w:val="20"/>
      <w:szCs w:val="20"/>
    </w:rPr>
  </w:style>
  <w:style w:type="paragraph" w:styleId="10">
    <w:name w:val="Document Map"/>
    <w:basedOn w:val="1"/>
    <w:link w:val="57"/>
    <w:qFormat/>
    <w:uiPriority w:val="0"/>
    <w:rPr>
      <w:rFonts w:ascii="宋体"/>
      <w:sz w:val="18"/>
      <w:szCs w:val="18"/>
    </w:rPr>
  </w:style>
  <w:style w:type="paragraph" w:styleId="11">
    <w:name w:val="annotation text"/>
    <w:basedOn w:val="1"/>
    <w:link w:val="43"/>
    <w:unhideWhenUsed/>
    <w:qFormat/>
    <w:uiPriority w:val="0"/>
    <w:pPr>
      <w:jc w:val="left"/>
    </w:pPr>
  </w:style>
  <w:style w:type="paragraph" w:styleId="12">
    <w:name w:val="Body Text"/>
    <w:basedOn w:val="1"/>
    <w:link w:val="34"/>
    <w:unhideWhenUsed/>
    <w:qFormat/>
    <w:uiPriority w:val="0"/>
    <w:pPr>
      <w:spacing w:after="120"/>
    </w:pPr>
  </w:style>
  <w:style w:type="paragraph" w:styleId="13">
    <w:name w:val="List 2"/>
    <w:basedOn w:val="1"/>
    <w:qFormat/>
    <w:uiPriority w:val="0"/>
    <w:pPr>
      <w:adjustRightInd w:val="0"/>
      <w:spacing w:line="312" w:lineRule="atLeast"/>
      <w:ind w:left="840" w:hanging="420"/>
      <w:textAlignment w:val="baseline"/>
    </w:pPr>
    <w:rPr>
      <w:rFonts w:eastAsia="标宋体"/>
      <w:kern w:val="0"/>
      <w:sz w:val="28"/>
      <w:szCs w:val="20"/>
    </w:rPr>
  </w:style>
  <w:style w:type="paragraph" w:styleId="14">
    <w:name w:val="Plain Text"/>
    <w:basedOn w:val="1"/>
    <w:link w:val="40"/>
    <w:qFormat/>
    <w:uiPriority w:val="0"/>
    <w:rPr>
      <w:rFonts w:ascii="宋体" w:hAnsi="Courier New" w:cs="Courier New"/>
      <w:szCs w:val="21"/>
    </w:rPr>
  </w:style>
  <w:style w:type="paragraph" w:styleId="15">
    <w:name w:val="Date"/>
    <w:basedOn w:val="1"/>
    <w:next w:val="1"/>
    <w:link w:val="69"/>
    <w:qFormat/>
    <w:uiPriority w:val="0"/>
  </w:style>
  <w:style w:type="paragraph" w:styleId="16">
    <w:name w:val="Body Text Indent 2"/>
    <w:basedOn w:val="1"/>
    <w:link w:val="55"/>
    <w:qFormat/>
    <w:uiPriority w:val="0"/>
    <w:pPr>
      <w:spacing w:after="120" w:line="480" w:lineRule="auto"/>
      <w:ind w:left="420" w:leftChars="200"/>
    </w:pPr>
  </w:style>
  <w:style w:type="paragraph" w:styleId="17">
    <w:name w:val="Balloon Text"/>
    <w:basedOn w:val="1"/>
    <w:link w:val="48"/>
    <w:qFormat/>
    <w:uiPriority w:val="0"/>
    <w:rPr>
      <w:sz w:val="18"/>
      <w:szCs w:val="18"/>
    </w:rPr>
  </w:style>
  <w:style w:type="paragraph" w:styleId="18">
    <w:name w:val="footer"/>
    <w:basedOn w:val="1"/>
    <w:link w:val="63"/>
    <w:qFormat/>
    <w:uiPriority w:val="0"/>
    <w:pPr>
      <w:tabs>
        <w:tab w:val="center" w:pos="4153"/>
        <w:tab w:val="right" w:pos="8306"/>
      </w:tabs>
      <w:snapToGrid w:val="0"/>
      <w:jc w:val="left"/>
    </w:pPr>
    <w:rPr>
      <w:sz w:val="18"/>
      <w:szCs w:val="18"/>
    </w:rPr>
  </w:style>
  <w:style w:type="paragraph" w:styleId="19">
    <w:name w:val="header"/>
    <w:basedOn w:val="1"/>
    <w:link w:val="59"/>
    <w:qFormat/>
    <w:uiPriority w:val="0"/>
    <w:pPr>
      <w:pBdr>
        <w:bottom w:val="single" w:color="auto" w:sz="6" w:space="1"/>
      </w:pBdr>
      <w:tabs>
        <w:tab w:val="center" w:pos="4153"/>
        <w:tab w:val="right" w:pos="8306"/>
      </w:tabs>
      <w:snapToGrid w:val="0"/>
      <w:jc w:val="center"/>
    </w:pPr>
    <w:rPr>
      <w:sz w:val="18"/>
      <w:szCs w:val="18"/>
    </w:rPr>
  </w:style>
  <w:style w:type="paragraph" w:styleId="20">
    <w:name w:val="footnote text"/>
    <w:basedOn w:val="1"/>
    <w:link w:val="74"/>
    <w:qFormat/>
    <w:uiPriority w:val="0"/>
    <w:pPr>
      <w:snapToGrid w:val="0"/>
      <w:jc w:val="left"/>
    </w:pPr>
    <w:rPr>
      <w:sz w:val="18"/>
      <w:szCs w:val="18"/>
    </w:rPr>
  </w:style>
  <w:style w:type="paragraph" w:styleId="21">
    <w:name w:val="Normal (Web)"/>
    <w:basedOn w:val="1"/>
    <w:qFormat/>
    <w:uiPriority w:val="0"/>
    <w:rPr>
      <w:sz w:val="24"/>
    </w:rPr>
  </w:style>
  <w:style w:type="paragraph" w:styleId="22">
    <w:name w:val="annotation subject"/>
    <w:basedOn w:val="11"/>
    <w:next w:val="11"/>
    <w:link w:val="42"/>
    <w:qFormat/>
    <w:uiPriority w:val="0"/>
    <w:rPr>
      <w:b/>
      <w:bCs/>
    </w:rPr>
  </w:style>
  <w:style w:type="paragraph" w:styleId="23">
    <w:name w:val="Body Text First Indent"/>
    <w:basedOn w:val="12"/>
    <w:link w:val="53"/>
    <w:qFormat/>
    <w:uiPriority w:val="0"/>
    <w:pPr>
      <w:ind w:firstLine="420" w:firstLineChars="100"/>
    </w:pPr>
  </w:style>
  <w:style w:type="table" w:styleId="25">
    <w:name w:val="Table Grid"/>
    <w:basedOn w:val="2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0"/>
    <w:rPr>
      <w:rFonts w:ascii="Times New Roman" w:hAnsi="Times New Roman" w:eastAsia="宋体" w:cs="Times New Roman"/>
      <w:b/>
      <w:bCs/>
    </w:rPr>
  </w:style>
  <w:style w:type="character" w:styleId="28">
    <w:name w:val="page number"/>
    <w:qFormat/>
    <w:uiPriority w:val="0"/>
    <w:rPr>
      <w:rFonts w:ascii="Times New Roman" w:hAnsi="Times New Roman" w:eastAsia="宋体" w:cs="Times New Roman"/>
    </w:rPr>
  </w:style>
  <w:style w:type="character" w:styleId="29">
    <w:name w:val="FollowedHyperlink"/>
    <w:qFormat/>
    <w:uiPriority w:val="99"/>
    <w:rPr>
      <w:rFonts w:ascii="Times New Roman" w:hAnsi="Times New Roman" w:eastAsia="宋体" w:cs="Times New Roman"/>
      <w:color w:val="3F4344"/>
      <w:u w:val="none"/>
    </w:rPr>
  </w:style>
  <w:style w:type="character" w:styleId="30">
    <w:name w:val="Hyperlink"/>
    <w:qFormat/>
    <w:uiPriority w:val="99"/>
    <w:rPr>
      <w:rFonts w:ascii="Times New Roman" w:hAnsi="Times New Roman" w:eastAsia="宋体" w:cs="Times New Roman"/>
      <w:color w:val="3F4344"/>
      <w:u w:val="none"/>
    </w:rPr>
  </w:style>
  <w:style w:type="character" w:styleId="31">
    <w:name w:val="annotation reference"/>
    <w:qFormat/>
    <w:uiPriority w:val="0"/>
    <w:rPr>
      <w:rFonts w:ascii="Times New Roman" w:hAnsi="Times New Roman" w:eastAsia="宋体" w:cs="Times New Roman"/>
      <w:sz w:val="21"/>
      <w:szCs w:val="21"/>
    </w:rPr>
  </w:style>
  <w:style w:type="character" w:styleId="32">
    <w:name w:val="footnote reference"/>
    <w:qFormat/>
    <w:uiPriority w:val="0"/>
    <w:rPr>
      <w:rFonts w:ascii="Times New Roman" w:hAnsi="Times New Roman" w:eastAsia="宋体" w:cs="Times New Roman"/>
      <w:vertAlign w:val="superscript"/>
    </w:rPr>
  </w:style>
  <w:style w:type="paragraph" w:customStyle="1" w:styleId="33">
    <w:name w:val="报告表正文"/>
    <w:basedOn w:val="1"/>
    <w:qFormat/>
    <w:uiPriority w:val="0"/>
    <w:pPr>
      <w:adjustRightInd w:val="0"/>
      <w:spacing w:line="312" w:lineRule="auto"/>
      <w:ind w:left="113" w:right="113" w:firstLine="482"/>
      <w:jc w:val="left"/>
      <w:textAlignment w:val="baseline"/>
    </w:pPr>
    <w:rPr>
      <w:kern w:val="0"/>
      <w:sz w:val="24"/>
      <w:szCs w:val="20"/>
    </w:rPr>
  </w:style>
  <w:style w:type="character" w:customStyle="1" w:styleId="34">
    <w:name w:val="正文文本 字符"/>
    <w:basedOn w:val="26"/>
    <w:link w:val="12"/>
    <w:qFormat/>
    <w:uiPriority w:val="0"/>
    <w:rPr>
      <w:rFonts w:ascii="Times New Roman" w:hAnsi="Times New Roman" w:eastAsia="宋体" w:cs="Times New Roman"/>
      <w:szCs w:val="24"/>
    </w:rPr>
  </w:style>
  <w:style w:type="character" w:customStyle="1" w:styleId="35">
    <w:name w:val="标题 1 字符"/>
    <w:basedOn w:val="26"/>
    <w:link w:val="5"/>
    <w:qFormat/>
    <w:uiPriority w:val="0"/>
    <w:rPr>
      <w:rFonts w:ascii="Times New Roman" w:hAnsi="Times New Roman" w:eastAsia="宋体" w:cs="Times New Roman"/>
      <w:b/>
      <w:bCs/>
      <w:kern w:val="44"/>
      <w:sz w:val="28"/>
      <w:szCs w:val="44"/>
    </w:rPr>
  </w:style>
  <w:style w:type="character" w:customStyle="1" w:styleId="36">
    <w:name w:val="标题 2 Char"/>
    <w:basedOn w:val="26"/>
    <w:qFormat/>
    <w:uiPriority w:val="0"/>
    <w:rPr>
      <w:rFonts w:asciiTheme="majorHAnsi" w:hAnsiTheme="majorHAnsi" w:eastAsiaTheme="majorEastAsia" w:cstheme="majorBidi"/>
      <w:b/>
      <w:bCs/>
      <w:sz w:val="32"/>
      <w:szCs w:val="32"/>
    </w:rPr>
  </w:style>
  <w:style w:type="character" w:customStyle="1" w:styleId="37">
    <w:name w:val="标题 3 字符"/>
    <w:basedOn w:val="26"/>
    <w:link w:val="7"/>
    <w:qFormat/>
    <w:uiPriority w:val="0"/>
    <w:rPr>
      <w:rFonts w:ascii="Times New Roman" w:hAnsi="Times New Roman" w:eastAsia="宋体" w:cs="Times New Roman"/>
      <w:b/>
      <w:bCs/>
      <w:sz w:val="32"/>
      <w:szCs w:val="32"/>
    </w:rPr>
  </w:style>
  <w:style w:type="character" w:customStyle="1" w:styleId="38">
    <w:name w:val="标题 4 字符"/>
    <w:basedOn w:val="26"/>
    <w:link w:val="4"/>
    <w:qFormat/>
    <w:uiPriority w:val="0"/>
    <w:rPr>
      <w:rFonts w:ascii="Cambria" w:hAnsi="Cambria" w:eastAsia="宋体" w:cs="Times New Roman"/>
      <w:b/>
      <w:bCs/>
      <w:sz w:val="28"/>
      <w:szCs w:val="28"/>
    </w:rPr>
  </w:style>
  <w:style w:type="character" w:customStyle="1" w:styleId="39">
    <w:name w:val="标题 2 字符"/>
    <w:link w:val="6"/>
    <w:qFormat/>
    <w:uiPriority w:val="0"/>
    <w:rPr>
      <w:rFonts w:ascii="Times New Roman" w:hAnsi="Times New Roman" w:eastAsia="宋体" w:cs="Times New Roman"/>
      <w:b/>
      <w:bCs/>
      <w:kern w:val="0"/>
      <w:sz w:val="28"/>
      <w:szCs w:val="28"/>
    </w:rPr>
  </w:style>
  <w:style w:type="character" w:customStyle="1" w:styleId="40">
    <w:name w:val="纯文本 字符"/>
    <w:link w:val="14"/>
    <w:qFormat/>
    <w:uiPriority w:val="0"/>
    <w:rPr>
      <w:rFonts w:ascii="宋体" w:hAnsi="Courier New" w:eastAsia="宋体" w:cs="Courier New"/>
    </w:rPr>
  </w:style>
  <w:style w:type="character" w:customStyle="1" w:styleId="41">
    <w:name w:val="纯文本 Char"/>
    <w:basedOn w:val="26"/>
    <w:qFormat/>
    <w:uiPriority w:val="0"/>
    <w:rPr>
      <w:rFonts w:ascii="宋体" w:hAnsi="Courier New" w:eastAsia="宋体" w:cs="Courier New"/>
    </w:rPr>
  </w:style>
  <w:style w:type="character" w:customStyle="1" w:styleId="42">
    <w:name w:val="批注主题 字符"/>
    <w:link w:val="22"/>
    <w:qFormat/>
    <w:uiPriority w:val="0"/>
    <w:rPr>
      <w:rFonts w:ascii="Times New Roman" w:hAnsi="Times New Roman" w:eastAsia="宋体" w:cs="Times New Roman"/>
      <w:b/>
      <w:bCs/>
      <w:szCs w:val="24"/>
    </w:rPr>
  </w:style>
  <w:style w:type="character" w:customStyle="1" w:styleId="43">
    <w:name w:val="批注文字 字符"/>
    <w:basedOn w:val="26"/>
    <w:link w:val="11"/>
    <w:qFormat/>
    <w:uiPriority w:val="0"/>
    <w:rPr>
      <w:rFonts w:ascii="Times New Roman" w:hAnsi="Times New Roman" w:eastAsia="宋体" w:cs="Times New Roman"/>
      <w:szCs w:val="24"/>
    </w:rPr>
  </w:style>
  <w:style w:type="character" w:customStyle="1" w:styleId="44">
    <w:name w:val="批注主题 Char"/>
    <w:basedOn w:val="43"/>
    <w:qFormat/>
    <w:uiPriority w:val="0"/>
    <w:rPr>
      <w:rFonts w:ascii="Times New Roman" w:hAnsi="Times New Roman" w:eastAsia="宋体" w:cs="Times New Roman"/>
      <w:b/>
      <w:bCs/>
      <w:szCs w:val="24"/>
    </w:rPr>
  </w:style>
  <w:style w:type="character" w:customStyle="1" w:styleId="45">
    <w:name w:val="批注文字 Char1"/>
    <w:qFormat/>
    <w:uiPriority w:val="0"/>
    <w:rPr>
      <w:rFonts w:ascii="Times New Roman" w:hAnsi="Times New Roman" w:eastAsia="宋体" w:cs="Times New Roman"/>
      <w:szCs w:val="24"/>
    </w:rPr>
  </w:style>
  <w:style w:type="character" w:customStyle="1" w:styleId="46">
    <w:name w:val="正文文本缩进 Char"/>
    <w:qFormat/>
    <w:uiPriority w:val="0"/>
    <w:rPr>
      <w:rFonts w:ascii="Times New Roman" w:hAnsi="Times New Roman" w:eastAsia="宋体" w:cs="Times New Roman"/>
      <w:szCs w:val="24"/>
    </w:rPr>
  </w:style>
  <w:style w:type="character" w:customStyle="1" w:styleId="47">
    <w:name w:val="fontstyle11"/>
    <w:qFormat/>
    <w:uiPriority w:val="0"/>
    <w:rPr>
      <w:rFonts w:hint="default" w:ascii="Arial" w:hAnsi="Arial" w:eastAsia="宋体" w:cs="Arial"/>
      <w:color w:val="000000"/>
      <w:sz w:val="24"/>
      <w:szCs w:val="24"/>
    </w:rPr>
  </w:style>
  <w:style w:type="character" w:customStyle="1" w:styleId="48">
    <w:name w:val="批注框文本 字符"/>
    <w:link w:val="17"/>
    <w:qFormat/>
    <w:uiPriority w:val="0"/>
    <w:rPr>
      <w:rFonts w:ascii="Times New Roman" w:hAnsi="Times New Roman" w:eastAsia="宋体" w:cs="Times New Roman"/>
      <w:sz w:val="18"/>
      <w:szCs w:val="18"/>
    </w:rPr>
  </w:style>
  <w:style w:type="character" w:customStyle="1" w:styleId="49">
    <w:name w:val="批注框文本 Char"/>
    <w:basedOn w:val="26"/>
    <w:qFormat/>
    <w:uiPriority w:val="0"/>
    <w:rPr>
      <w:rFonts w:ascii="Times New Roman" w:hAnsi="Times New Roman" w:eastAsia="宋体" w:cs="Times New Roman"/>
      <w:sz w:val="18"/>
      <w:szCs w:val="18"/>
    </w:rPr>
  </w:style>
  <w:style w:type="character" w:customStyle="1" w:styleId="50">
    <w:name w:val="正文文本缩进 字符"/>
    <w:link w:val="3"/>
    <w:qFormat/>
    <w:uiPriority w:val="0"/>
    <w:rPr>
      <w:rFonts w:ascii="Times New Roman" w:hAnsi="Times New Roman" w:eastAsia="宋体" w:cs="Times New Roman"/>
      <w:szCs w:val="24"/>
    </w:rPr>
  </w:style>
  <w:style w:type="character" w:customStyle="1" w:styleId="51">
    <w:name w:val="正文文本缩进 Char2"/>
    <w:basedOn w:val="26"/>
    <w:semiHidden/>
    <w:qFormat/>
    <w:uiPriority w:val="99"/>
    <w:rPr>
      <w:rFonts w:ascii="Times New Roman" w:hAnsi="Times New Roman" w:eastAsia="宋体" w:cs="Times New Roman"/>
      <w:szCs w:val="24"/>
    </w:rPr>
  </w:style>
  <w:style w:type="character" w:customStyle="1" w:styleId="52">
    <w:name w:val="正文缩进 Char1"/>
    <w:qFormat/>
    <w:uiPriority w:val="0"/>
    <w:rPr>
      <w:rFonts w:ascii="Times New Roman" w:hAnsi="Times New Roman" w:eastAsia="宋体" w:cs="Times New Roman"/>
      <w:kern w:val="2"/>
      <w:sz w:val="24"/>
      <w:szCs w:val="24"/>
      <w:lang w:val="en-US" w:eastAsia="zh-CN" w:bidi="ar-SA"/>
    </w:rPr>
  </w:style>
  <w:style w:type="character" w:customStyle="1" w:styleId="53">
    <w:name w:val="正文文本首行缩进 字符"/>
    <w:link w:val="23"/>
    <w:qFormat/>
    <w:uiPriority w:val="0"/>
    <w:rPr>
      <w:rFonts w:ascii="Times New Roman" w:hAnsi="Times New Roman" w:eastAsia="宋体" w:cs="Times New Roman"/>
      <w:szCs w:val="24"/>
    </w:rPr>
  </w:style>
  <w:style w:type="character" w:customStyle="1" w:styleId="54">
    <w:name w:val="正文首行缩进 Char1"/>
    <w:basedOn w:val="34"/>
    <w:semiHidden/>
    <w:qFormat/>
    <w:uiPriority w:val="99"/>
    <w:rPr>
      <w:rFonts w:ascii="Times New Roman" w:hAnsi="Times New Roman" w:eastAsia="宋体" w:cs="Times New Roman"/>
      <w:szCs w:val="24"/>
    </w:rPr>
  </w:style>
  <w:style w:type="character" w:customStyle="1" w:styleId="55">
    <w:name w:val="正文文本缩进 2 字符"/>
    <w:link w:val="16"/>
    <w:qFormat/>
    <w:uiPriority w:val="0"/>
    <w:rPr>
      <w:rFonts w:ascii="Times New Roman" w:hAnsi="Times New Roman" w:eastAsia="宋体" w:cs="Times New Roman"/>
      <w:szCs w:val="24"/>
    </w:rPr>
  </w:style>
  <w:style w:type="character" w:customStyle="1" w:styleId="56">
    <w:name w:val="正文文本缩进 2 Char"/>
    <w:basedOn w:val="26"/>
    <w:qFormat/>
    <w:uiPriority w:val="0"/>
    <w:rPr>
      <w:rFonts w:ascii="Times New Roman" w:hAnsi="Times New Roman" w:eastAsia="宋体" w:cs="Times New Roman"/>
      <w:szCs w:val="24"/>
    </w:rPr>
  </w:style>
  <w:style w:type="character" w:customStyle="1" w:styleId="57">
    <w:name w:val="文档结构图 字符"/>
    <w:link w:val="10"/>
    <w:qFormat/>
    <w:uiPriority w:val="0"/>
    <w:rPr>
      <w:rFonts w:ascii="宋体" w:hAnsi="Times New Roman" w:eastAsia="宋体" w:cs="Times New Roman"/>
      <w:sz w:val="18"/>
      <w:szCs w:val="18"/>
    </w:rPr>
  </w:style>
  <w:style w:type="character" w:customStyle="1" w:styleId="58">
    <w:name w:val="文档结构图 Char"/>
    <w:basedOn w:val="26"/>
    <w:qFormat/>
    <w:uiPriority w:val="0"/>
    <w:rPr>
      <w:rFonts w:ascii="宋体" w:hAnsi="Times New Roman" w:eastAsia="宋体" w:cs="Times New Roman"/>
      <w:sz w:val="18"/>
      <w:szCs w:val="18"/>
    </w:rPr>
  </w:style>
  <w:style w:type="character" w:customStyle="1" w:styleId="59">
    <w:name w:val="页眉 字符"/>
    <w:link w:val="19"/>
    <w:qFormat/>
    <w:uiPriority w:val="0"/>
    <w:rPr>
      <w:rFonts w:ascii="Times New Roman" w:hAnsi="Times New Roman" w:eastAsia="宋体" w:cs="Times New Roman"/>
      <w:sz w:val="18"/>
      <w:szCs w:val="18"/>
    </w:rPr>
  </w:style>
  <w:style w:type="character" w:customStyle="1" w:styleId="60">
    <w:name w:val="页眉 Char1"/>
    <w:basedOn w:val="26"/>
    <w:semiHidden/>
    <w:qFormat/>
    <w:uiPriority w:val="99"/>
    <w:rPr>
      <w:rFonts w:ascii="Times New Roman" w:hAnsi="Times New Roman" w:eastAsia="宋体" w:cs="Times New Roman"/>
      <w:sz w:val="18"/>
      <w:szCs w:val="18"/>
    </w:rPr>
  </w:style>
  <w:style w:type="character" w:customStyle="1" w:styleId="61">
    <w:name w:val="font41"/>
    <w:qFormat/>
    <w:uiPriority w:val="0"/>
    <w:rPr>
      <w:rFonts w:hint="default" w:ascii="Times New Roman" w:hAnsi="Times New Roman" w:eastAsia="宋体" w:cs="Times New Roman"/>
      <w:color w:val="1807F7"/>
      <w:sz w:val="21"/>
      <w:szCs w:val="21"/>
      <w:u w:val="none"/>
      <w:vertAlign w:val="subscript"/>
    </w:rPr>
  </w:style>
  <w:style w:type="character" w:customStyle="1" w:styleId="62">
    <w:name w:val="fontstyle01"/>
    <w:qFormat/>
    <w:uiPriority w:val="0"/>
    <w:rPr>
      <w:rFonts w:hint="eastAsia" w:ascii="宋体" w:hAnsi="宋体" w:eastAsia="宋体" w:cs="Times New Roman"/>
      <w:color w:val="000000"/>
      <w:sz w:val="24"/>
      <w:szCs w:val="24"/>
    </w:rPr>
  </w:style>
  <w:style w:type="character" w:customStyle="1" w:styleId="63">
    <w:name w:val="页脚 字符"/>
    <w:link w:val="18"/>
    <w:qFormat/>
    <w:uiPriority w:val="0"/>
    <w:rPr>
      <w:rFonts w:ascii="Times New Roman" w:hAnsi="Times New Roman" w:eastAsia="宋体" w:cs="Times New Roman"/>
      <w:sz w:val="18"/>
      <w:szCs w:val="18"/>
    </w:rPr>
  </w:style>
  <w:style w:type="character" w:customStyle="1" w:styleId="64">
    <w:name w:val="页脚 Char1"/>
    <w:basedOn w:val="26"/>
    <w:semiHidden/>
    <w:qFormat/>
    <w:uiPriority w:val="99"/>
    <w:rPr>
      <w:rFonts w:ascii="Times New Roman" w:hAnsi="Times New Roman" w:eastAsia="宋体" w:cs="Times New Roman"/>
      <w:sz w:val="18"/>
      <w:szCs w:val="18"/>
    </w:rPr>
  </w:style>
  <w:style w:type="character" w:customStyle="1" w:styleId="65">
    <w:name w:val="纯文本 Char1"/>
    <w:qFormat/>
    <w:uiPriority w:val="0"/>
    <w:rPr>
      <w:rFonts w:ascii="宋体" w:hAnsi="Courier New" w:eastAsia="宋体" w:cs="Courier New"/>
      <w:kern w:val="21"/>
      <w:szCs w:val="21"/>
    </w:rPr>
  </w:style>
  <w:style w:type="character" w:customStyle="1" w:styleId="66">
    <w:name w:val="表格文字小五"/>
    <w:qFormat/>
    <w:uiPriority w:val="0"/>
    <w:rPr>
      <w:rFonts w:ascii="Times New Roman" w:hAnsi="Times New Roman" w:eastAsia="宋体" w:cs="Times New Roman"/>
      <w:kern w:val="2"/>
      <w:sz w:val="18"/>
      <w:szCs w:val="24"/>
      <w:lang w:val="en-US" w:eastAsia="zh-CN" w:bidi="ar-SA"/>
    </w:rPr>
  </w:style>
  <w:style w:type="character" w:customStyle="1" w:styleId="67">
    <w:name w:val="fontstyle21"/>
    <w:qFormat/>
    <w:uiPriority w:val="0"/>
    <w:rPr>
      <w:rFonts w:hint="eastAsia" w:ascii="华文新魏" w:hAnsi="Times New Roman" w:eastAsia="华文新魏" w:cs="Times New Roman"/>
      <w:color w:val="000000"/>
      <w:sz w:val="22"/>
      <w:szCs w:val="22"/>
    </w:rPr>
  </w:style>
  <w:style w:type="character" w:customStyle="1" w:styleId="68">
    <w:name w:val="日期 Char"/>
    <w:qFormat/>
    <w:uiPriority w:val="0"/>
    <w:rPr>
      <w:rFonts w:ascii="Times New Roman" w:hAnsi="Times New Roman" w:eastAsia="宋体" w:cs="Times New Roman"/>
      <w:szCs w:val="20"/>
    </w:rPr>
  </w:style>
  <w:style w:type="character" w:customStyle="1" w:styleId="69">
    <w:name w:val="日期 字符"/>
    <w:link w:val="15"/>
    <w:qFormat/>
    <w:uiPriority w:val="0"/>
    <w:rPr>
      <w:rFonts w:ascii="Times New Roman" w:hAnsi="Times New Roman" w:eastAsia="宋体" w:cs="Times New Roman"/>
      <w:szCs w:val="24"/>
    </w:rPr>
  </w:style>
  <w:style w:type="character" w:customStyle="1" w:styleId="70">
    <w:name w:val="日期 Char2"/>
    <w:basedOn w:val="26"/>
    <w:semiHidden/>
    <w:qFormat/>
    <w:uiPriority w:val="99"/>
    <w:rPr>
      <w:rFonts w:ascii="Times New Roman" w:hAnsi="Times New Roman" w:eastAsia="宋体" w:cs="Times New Roman"/>
      <w:szCs w:val="24"/>
    </w:rPr>
  </w:style>
  <w:style w:type="character" w:customStyle="1" w:styleId="71">
    <w:name w:val="font31"/>
    <w:qFormat/>
    <w:uiPriority w:val="0"/>
    <w:rPr>
      <w:rFonts w:hint="eastAsia" w:ascii="宋体" w:hAnsi="宋体" w:eastAsia="宋体" w:cs="宋体"/>
      <w:color w:val="1807F7"/>
      <w:sz w:val="21"/>
      <w:szCs w:val="21"/>
      <w:u w:val="none"/>
      <w:vertAlign w:val="subscript"/>
    </w:rPr>
  </w:style>
  <w:style w:type="character" w:customStyle="1" w:styleId="72">
    <w:name w:val="Char"/>
    <w:qFormat/>
    <w:uiPriority w:val="0"/>
    <w:rPr>
      <w:rFonts w:ascii="Times New Roman" w:hAnsi="Times New Roman" w:eastAsia="宋体" w:cs="Times New Roman"/>
      <w:b/>
      <w:bCs/>
      <w:kern w:val="44"/>
      <w:sz w:val="28"/>
      <w:szCs w:val="44"/>
      <w:lang w:val="en-US" w:eastAsia="zh-CN" w:bidi="ar-SA"/>
    </w:rPr>
  </w:style>
  <w:style w:type="character" w:customStyle="1" w:styleId="73">
    <w:name w:val="正文缩进 字符"/>
    <w:link w:val="8"/>
    <w:qFormat/>
    <w:uiPriority w:val="0"/>
    <w:rPr>
      <w:rFonts w:ascii="Times New Roman" w:hAnsi="Times New Roman" w:eastAsia="宋体" w:cs="Times New Roman"/>
    </w:rPr>
  </w:style>
  <w:style w:type="character" w:customStyle="1" w:styleId="74">
    <w:name w:val="脚注文本 字符"/>
    <w:link w:val="20"/>
    <w:qFormat/>
    <w:uiPriority w:val="0"/>
    <w:rPr>
      <w:rFonts w:ascii="Times New Roman" w:hAnsi="Times New Roman" w:eastAsia="宋体" w:cs="Times New Roman"/>
      <w:sz w:val="18"/>
      <w:szCs w:val="18"/>
    </w:rPr>
  </w:style>
  <w:style w:type="character" w:customStyle="1" w:styleId="75">
    <w:name w:val="脚注文本 Char1"/>
    <w:basedOn w:val="26"/>
    <w:semiHidden/>
    <w:qFormat/>
    <w:uiPriority w:val="99"/>
    <w:rPr>
      <w:rFonts w:ascii="Times New Roman" w:hAnsi="Times New Roman" w:eastAsia="宋体" w:cs="Times New Roman"/>
      <w:sz w:val="18"/>
      <w:szCs w:val="18"/>
    </w:rPr>
  </w:style>
  <w:style w:type="paragraph" w:customStyle="1" w:styleId="76">
    <w:name w:val="列出段落1"/>
    <w:basedOn w:val="1"/>
    <w:qFormat/>
    <w:uiPriority w:val="0"/>
    <w:pPr>
      <w:ind w:firstLine="420" w:firstLineChars="200"/>
    </w:pPr>
  </w:style>
  <w:style w:type="paragraph" w:customStyle="1" w:styleId="77">
    <w:name w:val="Char Char Char Char"/>
    <w:basedOn w:val="1"/>
    <w:qFormat/>
    <w:uiPriority w:val="0"/>
    <w:pPr>
      <w:snapToGrid w:val="0"/>
      <w:spacing w:line="360" w:lineRule="auto"/>
      <w:ind w:firstLine="200" w:firstLineChars="200"/>
    </w:pPr>
    <w:rPr>
      <w:rFonts w:eastAsia="仿宋_GB2312"/>
      <w:sz w:val="24"/>
    </w:rPr>
  </w:style>
  <w:style w:type="paragraph" w:customStyle="1" w:styleId="78">
    <w:name w:val="正文1"/>
    <w:basedOn w:val="1"/>
    <w:qFormat/>
    <w:uiPriority w:val="0"/>
    <w:pPr>
      <w:adjustRightInd w:val="0"/>
      <w:snapToGrid w:val="0"/>
      <w:spacing w:line="520" w:lineRule="exact"/>
      <w:ind w:firstLine="584" w:firstLineChars="200"/>
      <w:textAlignment w:val="baseline"/>
    </w:pPr>
    <w:rPr>
      <w:rFonts w:ascii="宋体" w:hAnsi="宋体" w:cs="Arial"/>
      <w:bCs/>
      <w:snapToGrid w:val="0"/>
      <w:color w:val="000000"/>
      <w:spacing w:val="6"/>
      <w:kern w:val="0"/>
      <w:sz w:val="28"/>
      <w:szCs w:val="28"/>
    </w:rPr>
  </w:style>
  <w:style w:type="paragraph" w:customStyle="1" w:styleId="79">
    <w:name w:val="修订1"/>
    <w:qFormat/>
    <w:uiPriority w:val="0"/>
    <w:rPr>
      <w:rFonts w:ascii="Times New Roman" w:hAnsi="Times New Roman" w:eastAsia="宋体" w:cs="Times New Roman"/>
      <w:kern w:val="2"/>
      <w:sz w:val="21"/>
      <w:szCs w:val="24"/>
      <w:lang w:val="en-US" w:eastAsia="zh-CN" w:bidi="ar-SA"/>
    </w:rPr>
  </w:style>
  <w:style w:type="paragraph" w:customStyle="1" w:styleId="80">
    <w:name w:val="unnamed1"/>
    <w:basedOn w:val="1"/>
    <w:qFormat/>
    <w:uiPriority w:val="0"/>
    <w:pPr>
      <w:widowControl/>
      <w:spacing w:before="100" w:beforeAutospacing="1" w:after="100" w:afterAutospacing="1" w:line="450" w:lineRule="atLeast"/>
      <w:ind w:firstLine="480"/>
      <w:jc w:val="left"/>
    </w:pPr>
    <w:rPr>
      <w:rFonts w:ascii="宋体" w:hAnsi="宋体" w:cs="宋体"/>
      <w:kern w:val="0"/>
      <w:sz w:val="24"/>
    </w:rPr>
  </w:style>
  <w:style w:type="paragraph" w:customStyle="1" w:styleId="81">
    <w:name w:val="表格2"/>
    <w:basedOn w:val="1"/>
    <w:qFormat/>
    <w:uiPriority w:val="0"/>
    <w:pPr>
      <w:spacing w:line="320" w:lineRule="exact"/>
      <w:jc w:val="center"/>
    </w:pPr>
    <w:rPr>
      <w:sz w:val="24"/>
      <w:szCs w:val="28"/>
    </w:rPr>
  </w:style>
  <w:style w:type="paragraph" w:customStyle="1" w:styleId="82">
    <w:name w:val="p0"/>
    <w:basedOn w:val="1"/>
    <w:qFormat/>
    <w:uiPriority w:val="0"/>
    <w:pPr>
      <w:widowControl/>
    </w:pPr>
    <w:rPr>
      <w:kern w:val="0"/>
      <w:szCs w:val="21"/>
    </w:rPr>
  </w:style>
  <w:style w:type="paragraph" w:customStyle="1" w:styleId="83">
    <w:name w:val="默认段落字体 Para Char Char Char Char"/>
    <w:basedOn w:val="1"/>
    <w:qFormat/>
    <w:uiPriority w:val="0"/>
    <w:pPr>
      <w:spacing w:beforeLines="100" w:afterLines="50" w:line="600" w:lineRule="exact"/>
      <w:ind w:firstLine="200" w:firstLineChars="200"/>
    </w:pPr>
    <w:rPr>
      <w:rFonts w:eastAsia="黑体"/>
      <w:sz w:val="28"/>
    </w:rPr>
  </w:style>
  <w:style w:type="paragraph" w:customStyle="1" w:styleId="84">
    <w:name w:val="标准"/>
    <w:basedOn w:val="1"/>
    <w:qFormat/>
    <w:uiPriority w:val="0"/>
    <w:pPr>
      <w:adjustRightInd w:val="0"/>
      <w:spacing w:line="312" w:lineRule="atLeast"/>
      <w:jc w:val="center"/>
      <w:textAlignment w:val="baseline"/>
    </w:pPr>
    <w:rPr>
      <w:kern w:val="0"/>
      <w:szCs w:val="21"/>
    </w:rPr>
  </w:style>
  <w:style w:type="paragraph" w:customStyle="1" w:styleId="85">
    <w:name w:val="图表文字"/>
    <w:basedOn w:val="1"/>
    <w:qFormat/>
    <w:uiPriority w:val="0"/>
    <w:pPr>
      <w:jc w:val="center"/>
    </w:pPr>
  </w:style>
  <w:style w:type="paragraph" w:customStyle="1" w:styleId="86">
    <w:name w:val="Char Char Char Char Char Char Char Char Char"/>
    <w:basedOn w:val="1"/>
    <w:qFormat/>
    <w:uiPriority w:val="0"/>
  </w:style>
  <w:style w:type="paragraph" w:customStyle="1" w:styleId="87">
    <w:name w:val="表格内"/>
    <w:basedOn w:val="1"/>
    <w:qFormat/>
    <w:uiPriority w:val="0"/>
    <w:pPr>
      <w:widowControl/>
      <w:spacing w:line="360" w:lineRule="exact"/>
      <w:jc w:val="center"/>
    </w:pPr>
    <w:rPr>
      <w:snapToGrid w:val="0"/>
      <w:kern w:val="0"/>
      <w:sz w:val="24"/>
      <w:szCs w:val="21"/>
    </w:rPr>
  </w:style>
  <w:style w:type="character" w:customStyle="1" w:styleId="88">
    <w:name w:val="正文LLLLLLL Char"/>
    <w:link w:val="89"/>
    <w:qFormat/>
    <w:uiPriority w:val="0"/>
    <w:rPr>
      <w:sz w:val="28"/>
    </w:rPr>
  </w:style>
  <w:style w:type="paragraph" w:customStyle="1" w:styleId="89">
    <w:name w:val="正文LLLLLLL"/>
    <w:basedOn w:val="1"/>
    <w:link w:val="88"/>
    <w:qFormat/>
    <w:uiPriority w:val="0"/>
    <w:pPr>
      <w:spacing w:line="520" w:lineRule="exact"/>
      <w:ind w:firstLine="578" w:firstLineChars="200"/>
    </w:pPr>
    <w:rPr>
      <w:rFonts w:asciiTheme="minorHAnsi" w:hAnsiTheme="minorHAnsi" w:eastAsiaTheme="minorEastAsia" w:cstheme="minorBidi"/>
      <w:sz w:val="28"/>
      <w:szCs w:val="21"/>
    </w:rPr>
  </w:style>
  <w:style w:type="character" w:customStyle="1" w:styleId="90">
    <w:name w:val="正文文本 + MS Mincho5"/>
    <w:qFormat/>
    <w:uiPriority w:val="0"/>
    <w:rPr>
      <w:rFonts w:ascii="MS Mincho" w:hAnsi="宋体" w:eastAsia="MS Mincho" w:cs="MS Mincho"/>
      <w:spacing w:val="0"/>
      <w:sz w:val="23"/>
      <w:szCs w:val="23"/>
      <w:lang w:val="en-US" w:eastAsia="en-US"/>
    </w:rPr>
  </w:style>
  <w:style w:type="paragraph" w:customStyle="1" w:styleId="91">
    <w:name w:val="正文文本 New New New"/>
    <w:basedOn w:val="1"/>
    <w:qFormat/>
    <w:uiPriority w:val="0"/>
    <w:pPr>
      <w:shd w:val="clear" w:color="auto" w:fill="FFFFFF"/>
      <w:spacing w:line="240" w:lineRule="atLeast"/>
      <w:jc w:val="left"/>
    </w:pPr>
    <w:rPr>
      <w:rFonts w:ascii="MingLiU" w:hAnsi="MingLiU" w:cs="MingLiU"/>
      <w:spacing w:val="10"/>
      <w:sz w:val="24"/>
      <w:szCs w:val="22"/>
    </w:rPr>
  </w:style>
  <w:style w:type="character" w:customStyle="1" w:styleId="92">
    <w:name w:val="正文文本 + MS Mincho"/>
    <w:qFormat/>
    <w:uiPriority w:val="0"/>
    <w:rPr>
      <w:rFonts w:ascii="MS Mincho" w:hAnsi="宋体" w:eastAsia="MS Mincho" w:cs="MS Mincho"/>
      <w:spacing w:val="0"/>
      <w:sz w:val="23"/>
      <w:szCs w:val="23"/>
      <w:shd w:val="clear" w:color="auto" w:fill="FFFFFF"/>
      <w:lang w:val="en-US" w:eastAsia="en-US"/>
    </w:rPr>
  </w:style>
  <w:style w:type="character" w:customStyle="1" w:styleId="93">
    <w:name w:val="正文文本_"/>
    <w:link w:val="94"/>
    <w:qFormat/>
    <w:uiPriority w:val="0"/>
    <w:rPr>
      <w:rFonts w:ascii="宋体" w:hAnsi="宋体" w:eastAsia="宋体" w:cs="MingLiU"/>
      <w:spacing w:val="10"/>
      <w:szCs w:val="22"/>
      <w:shd w:val="clear" w:color="auto" w:fill="FFFFFF"/>
    </w:rPr>
  </w:style>
  <w:style w:type="paragraph" w:customStyle="1" w:styleId="94">
    <w:name w:val="正文文本 New New New New New New New New"/>
    <w:basedOn w:val="1"/>
    <w:link w:val="93"/>
    <w:qFormat/>
    <w:uiPriority w:val="0"/>
    <w:pPr>
      <w:shd w:val="clear" w:color="auto" w:fill="FFFFFF"/>
      <w:spacing w:line="240" w:lineRule="atLeast"/>
      <w:jc w:val="left"/>
    </w:pPr>
    <w:rPr>
      <w:rFonts w:ascii="宋体" w:hAnsi="宋体" w:cs="MingLiU"/>
      <w:spacing w:val="10"/>
      <w:szCs w:val="22"/>
    </w:rPr>
  </w:style>
  <w:style w:type="character" w:customStyle="1" w:styleId="95">
    <w:name w:val="表格标题 (2)_"/>
    <w:link w:val="96"/>
    <w:qFormat/>
    <w:uiPriority w:val="0"/>
    <w:rPr>
      <w:rFonts w:ascii="MingLiU" w:hAnsi="Times New Roman" w:eastAsia="MingLiU" w:cs="MingLiU"/>
      <w:b/>
      <w:bCs/>
      <w:spacing w:val="10"/>
      <w:shd w:val="clear" w:color="auto" w:fill="FFFFFF"/>
    </w:rPr>
  </w:style>
  <w:style w:type="paragraph" w:customStyle="1" w:styleId="96">
    <w:name w:val="表格标题 (2)"/>
    <w:basedOn w:val="1"/>
    <w:link w:val="95"/>
    <w:qFormat/>
    <w:uiPriority w:val="0"/>
    <w:pPr>
      <w:shd w:val="clear" w:color="auto" w:fill="FFFFFF"/>
      <w:spacing w:line="240" w:lineRule="atLeast"/>
    </w:pPr>
    <w:rPr>
      <w:rFonts w:ascii="MingLiU" w:eastAsia="MingLiU" w:cs="MingLiU"/>
      <w:b/>
      <w:bCs/>
      <w:spacing w:val="10"/>
      <w:szCs w:val="21"/>
    </w:rPr>
  </w:style>
  <w:style w:type="character" w:customStyle="1" w:styleId="97">
    <w:name w:val="表格标题 (2) + Batang1"/>
    <w:qFormat/>
    <w:uiPriority w:val="0"/>
    <w:rPr>
      <w:rFonts w:ascii="Batang" w:hAnsi="Times New Roman" w:eastAsia="Batang" w:cs="Batang"/>
      <w:b/>
      <w:bCs/>
      <w:spacing w:val="0"/>
      <w:sz w:val="18"/>
      <w:szCs w:val="18"/>
      <w:shd w:val="clear" w:color="auto" w:fill="FFFFFF"/>
      <w:lang w:val="en-US" w:eastAsia="zh-CN"/>
    </w:rPr>
  </w:style>
  <w:style w:type="character" w:customStyle="1" w:styleId="98">
    <w:name w:val="表格标题 (2) + Batang"/>
    <w:qFormat/>
    <w:uiPriority w:val="0"/>
    <w:rPr>
      <w:rFonts w:ascii="Batang" w:hAnsi="Times New Roman" w:eastAsia="Batang" w:cs="Batang"/>
      <w:b/>
      <w:bCs/>
      <w:spacing w:val="0"/>
      <w:shd w:val="clear" w:color="auto" w:fill="FFFFFF"/>
      <w:lang w:val="en-US" w:eastAsia="zh-CN"/>
    </w:rPr>
  </w:style>
  <w:style w:type="character" w:customStyle="1" w:styleId="99">
    <w:name w:val="正文文本首行缩进 2 字符"/>
    <w:basedOn w:val="51"/>
    <w:link w:val="2"/>
    <w:semiHidden/>
    <w:qFormat/>
    <w:uiPriority w:val="99"/>
    <w:rPr>
      <w:rFonts w:ascii="Times New Roman" w:hAnsi="Times New Roman" w:eastAsia="宋体" w:cs="Times New Roman"/>
      <w:szCs w:val="24"/>
    </w:rPr>
  </w:style>
  <w:style w:type="character" w:customStyle="1" w:styleId="100">
    <w:name w:val="font11"/>
    <w:qFormat/>
    <w:uiPriority w:val="0"/>
    <w:rPr>
      <w:rFonts w:hint="eastAsia" w:ascii="宋体" w:hAnsi="宋体" w:eastAsia="宋体" w:cs="宋体"/>
      <w:color w:val="000000"/>
      <w:sz w:val="21"/>
      <w:szCs w:val="21"/>
      <w:u w:val="none"/>
    </w:rPr>
  </w:style>
  <w:style w:type="paragraph" w:customStyle="1" w:styleId="101">
    <w:name w:val="普通(网站)1"/>
    <w:basedOn w:val="1"/>
    <w:qFormat/>
    <w:uiPriority w:val="0"/>
    <w:pPr>
      <w:widowControl/>
      <w:spacing w:before="100" w:beforeAutospacing="1" w:after="100" w:afterAutospacing="1"/>
      <w:jc w:val="left"/>
    </w:pPr>
    <w:rPr>
      <w:rFonts w:hint="eastAsia" w:ascii="宋体" w:hAnsi="宋体"/>
      <w:sz w:val="24"/>
    </w:rPr>
  </w:style>
  <w:style w:type="character" w:customStyle="1" w:styleId="102">
    <w:name w:val="表格内文字 Char"/>
    <w:link w:val="103"/>
    <w:qFormat/>
    <w:uiPriority w:val="0"/>
  </w:style>
  <w:style w:type="paragraph" w:customStyle="1" w:styleId="103">
    <w:name w:val="表格内文字"/>
    <w:basedOn w:val="1"/>
    <w:link w:val="102"/>
    <w:qFormat/>
    <w:uiPriority w:val="0"/>
    <w:pPr>
      <w:widowControl/>
      <w:jc w:val="center"/>
    </w:pPr>
    <w:rPr>
      <w:rFonts w:asciiTheme="minorHAnsi" w:hAnsiTheme="minorHAnsi" w:eastAsiaTheme="minorEastAsia" w:cstheme="minorBidi"/>
      <w:szCs w:val="21"/>
    </w:rPr>
  </w:style>
  <w:style w:type="paragraph" w:customStyle="1" w:styleId="104">
    <w:name w:val="表头"/>
    <w:link w:val="105"/>
    <w:qFormat/>
    <w:uiPriority w:val="0"/>
    <w:pPr>
      <w:ind w:firstLine="200" w:firstLineChars="200"/>
    </w:pPr>
    <w:rPr>
      <w:rFonts w:ascii="Times New Roman" w:hAnsi="Times New Roman" w:eastAsia="黑体" w:cs="Times New Roman"/>
      <w:color w:val="000000"/>
      <w:kern w:val="2"/>
      <w:sz w:val="24"/>
      <w:szCs w:val="21"/>
      <w:lang w:val="en-US" w:eastAsia="zh-CN" w:bidi="ar-SA"/>
    </w:rPr>
  </w:style>
  <w:style w:type="character" w:customStyle="1" w:styleId="105">
    <w:name w:val="表头 Char"/>
    <w:link w:val="104"/>
    <w:qFormat/>
    <w:uiPriority w:val="0"/>
    <w:rPr>
      <w:rFonts w:ascii="Times New Roman" w:hAnsi="Times New Roman" w:eastAsia="黑体" w:cs="Times New Roman"/>
      <w:color w:val="000000"/>
      <w:sz w:val="24"/>
    </w:rPr>
  </w:style>
  <w:style w:type="paragraph" w:customStyle="1" w:styleId="106">
    <w:name w:val="表格"/>
    <w:basedOn w:val="1"/>
    <w:qFormat/>
    <w:uiPriority w:val="0"/>
    <w:pPr>
      <w:jc w:val="center"/>
    </w:pPr>
    <w:rPr>
      <w:rFonts w:ascii="Calibri" w:hAnsi="Calibri"/>
      <w:szCs w:val="22"/>
    </w:rPr>
  </w:style>
  <w:style w:type="paragraph" w:customStyle="1" w:styleId="107">
    <w:name w:val="Hqf报告表正文"/>
    <w:basedOn w:val="1"/>
    <w:qFormat/>
    <w:uiPriority w:val="0"/>
    <w:pPr>
      <w:spacing w:line="520" w:lineRule="exact"/>
      <w:ind w:firstLine="460" w:firstLineChars="200"/>
    </w:pPr>
    <w:rPr>
      <w:sz w:val="28"/>
    </w:rPr>
  </w:style>
  <w:style w:type="character" w:customStyle="1" w:styleId="108">
    <w:name w:val="font61"/>
    <w:basedOn w:val="26"/>
    <w:qFormat/>
    <w:uiPriority w:val="0"/>
    <w:rPr>
      <w:rFonts w:hint="default" w:ascii="Times New Roman" w:hAnsi="Times New Roman" w:cs="Times New Roman"/>
      <w:color w:val="000000"/>
      <w:sz w:val="21"/>
      <w:szCs w:val="21"/>
      <w:u w:val="none"/>
    </w:rPr>
  </w:style>
  <w:style w:type="character" w:customStyle="1" w:styleId="109">
    <w:name w:val="font21"/>
    <w:basedOn w:val="26"/>
    <w:qFormat/>
    <w:uiPriority w:val="0"/>
    <w:rPr>
      <w:rFonts w:hint="default" w:ascii="Times New Roman" w:hAnsi="Times New Roman" w:cs="Times New Roman"/>
      <w:color w:val="000000"/>
      <w:sz w:val="21"/>
      <w:szCs w:val="21"/>
      <w:u w:val="none"/>
      <w:vertAlign w:val="superscript"/>
    </w:rPr>
  </w:style>
  <w:style w:type="character" w:customStyle="1" w:styleId="110">
    <w:name w:val="font01"/>
    <w:basedOn w:val="26"/>
    <w:qFormat/>
    <w:uiPriority w:val="0"/>
    <w:rPr>
      <w:rFonts w:hint="eastAsia" w:ascii="宋体" w:hAnsi="宋体" w:eastAsia="宋体" w:cs="宋体"/>
      <w:color w:val="000000"/>
      <w:sz w:val="21"/>
      <w:szCs w:val="21"/>
      <w:u w:val="none"/>
    </w:rPr>
  </w:style>
  <w:style w:type="character" w:customStyle="1" w:styleId="111">
    <w:name w:val="font51"/>
    <w:basedOn w:val="26"/>
    <w:qFormat/>
    <w:uiPriority w:val="0"/>
    <w:rPr>
      <w:rFonts w:hint="default" w:ascii="Times New Roman" w:hAnsi="Times New Roman" w:cs="Times New Roman"/>
      <w:color w:val="000000"/>
      <w:sz w:val="21"/>
      <w:szCs w:val="21"/>
      <w:u w:val="none"/>
    </w:rPr>
  </w:style>
  <w:style w:type="paragraph" w:customStyle="1" w:styleId="112">
    <w:name w:val="表头hqf"/>
    <w:basedOn w:val="1"/>
    <w:qFormat/>
    <w:uiPriority w:val="0"/>
    <w:pPr>
      <w:widowControl/>
      <w:ind w:firstLine="578" w:firstLineChars="200"/>
    </w:pPr>
    <w:rPr>
      <w:rFonts w:eastAsia="黑体"/>
      <w:kern w:val="0"/>
      <w:sz w:val="24"/>
    </w:rPr>
  </w:style>
  <w:style w:type="paragraph" w:customStyle="1" w:styleId="113">
    <w:name w:val="表格内容"/>
    <w:basedOn w:val="107"/>
    <w:qFormat/>
    <w:uiPriority w:val="0"/>
    <w:pPr>
      <w:spacing w:line="240" w:lineRule="auto"/>
      <w:ind w:firstLine="0" w:firstLineChars="0"/>
      <w:jc w:val="center"/>
    </w:pPr>
    <w:rPr>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10.wmf"/><Relationship Id="rId26" Type="http://schemas.openxmlformats.org/officeDocument/2006/relationships/oleObject" Target="embeddings/oleObject8.bin"/><Relationship Id="rId25" Type="http://schemas.openxmlformats.org/officeDocument/2006/relationships/image" Target="media/image9.wmf"/><Relationship Id="rId24" Type="http://schemas.openxmlformats.org/officeDocument/2006/relationships/oleObject" Target="embeddings/oleObject7.bin"/><Relationship Id="rId23" Type="http://schemas.openxmlformats.org/officeDocument/2006/relationships/image" Target="media/image8.wmf"/><Relationship Id="rId22" Type="http://schemas.openxmlformats.org/officeDocument/2006/relationships/oleObject" Target="embeddings/oleObject6.bin"/><Relationship Id="rId21" Type="http://schemas.openxmlformats.org/officeDocument/2006/relationships/image" Target="media/image7.wmf"/><Relationship Id="rId20" Type="http://schemas.openxmlformats.org/officeDocument/2006/relationships/oleObject" Target="embeddings/oleObject5.bin"/><Relationship Id="rId2" Type="http://schemas.openxmlformats.org/officeDocument/2006/relationships/settings" Target="settings.xml"/><Relationship Id="rId19" Type="http://schemas.openxmlformats.org/officeDocument/2006/relationships/image" Target="media/image6.emf"/><Relationship Id="rId18" Type="http://schemas.openxmlformats.org/officeDocument/2006/relationships/oleObject" Target="embeddings/oleObject4.bin"/><Relationship Id="rId17" Type="http://schemas.openxmlformats.org/officeDocument/2006/relationships/image" Target="media/image5.emf"/><Relationship Id="rId16" Type="http://schemas.openxmlformats.org/officeDocument/2006/relationships/oleObject" Target="embeddings/oleObject3.bin"/><Relationship Id="rId15" Type="http://schemas.openxmlformats.org/officeDocument/2006/relationships/image" Target="media/image4.emf"/><Relationship Id="rId14" Type="http://schemas.openxmlformats.org/officeDocument/2006/relationships/oleObject" Target="embeddings/oleObject2.bin"/><Relationship Id="rId13" Type="http://schemas.openxmlformats.org/officeDocument/2006/relationships/image" Target="media/image3.emf"/><Relationship Id="rId12" Type="http://schemas.openxmlformats.org/officeDocument/2006/relationships/oleObject" Target="embeddings/oleObject1.bin"/><Relationship Id="rId11" Type="http://schemas.openxmlformats.org/officeDocument/2006/relationships/image" Target="media/image2.png"/><Relationship Id="rId10" Type="http://schemas.openxmlformats.org/officeDocument/2006/relationships/theme" Target="theme/theme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4344</Words>
  <Characters>24766</Characters>
  <Lines>206</Lines>
  <Paragraphs>58</Paragraphs>
  <TotalTime>29</TotalTime>
  <ScaleCrop>false</ScaleCrop>
  <LinksUpToDate>false</LinksUpToDate>
  <CharactersWithSpaces>29052</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2020-05-04T15:34:00Z</dcterms:created>
  <dc:creator>Windows 用户</dc:creator>
  <cp:lastModifiedBy>§星∮凝￡</cp:lastModifiedBy>
  <dcterms:modified xsi:type="dcterms:W3CDTF">2021-03-11T07:52:59Z</dcterms:modified>
  <cp:revision>690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