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C2E04">
      <w:pPr>
        <w:spacing w:line="360" w:lineRule="auto"/>
        <w:jc w:val="center"/>
        <w:rPr>
          <w:rFonts w:eastAsia="黑体"/>
          <w:sz w:val="52"/>
          <w:szCs w:val="52"/>
        </w:rPr>
      </w:pPr>
      <w:r>
        <w:rPr>
          <w:rFonts w:eastAsia="黑体"/>
          <w:sz w:val="52"/>
          <w:szCs w:val="52"/>
        </w:rPr>
        <w:t>产品质量监督抽查实施细则</w:t>
      </w:r>
    </w:p>
    <w:p w14:paraId="4F3245D9">
      <w:pPr>
        <w:spacing w:line="440" w:lineRule="exact"/>
        <w:jc w:val="center"/>
        <w:rPr>
          <w:rFonts w:eastAsia="黑体"/>
          <w:sz w:val="44"/>
          <w:szCs w:val="44"/>
        </w:rPr>
      </w:pPr>
      <w:r>
        <w:rPr>
          <w:rFonts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100965</wp:posOffset>
                </wp:positionV>
                <wp:extent cx="5200650" cy="1905"/>
                <wp:effectExtent l="0" t="6350" r="6350" b="10795"/>
                <wp:wrapNone/>
                <wp:docPr id="5" name="直线 18"/>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2700">
                          <a:solidFill>
                            <a:srgbClr val="000000"/>
                          </a:solidFill>
                          <a:round/>
                        </a:ln>
                        <a:effectLst/>
                      </wps:spPr>
                      <wps:bodyPr/>
                    </wps:wsp>
                  </a:graphicData>
                </a:graphic>
              </wp:anchor>
            </w:drawing>
          </mc:Choice>
          <mc:Fallback>
            <w:pict>
              <v:line id="直线 18" o:spid="_x0000_s1026" o:spt="20" style="position:absolute;left:0pt;flip:y;margin-left:5.4pt;margin-top:7.95pt;height:0.15pt;width:409.5pt;z-index:251663360;mso-width-relative:page;mso-height-relative:page;" filled="f" stroked="t" coordsize="21600,21600" o:gfxdata="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RQIDe1gAAAAgB&#10;AAAPAAAAAAAAAAEAIAAAACIAAABkcnMvZG93bnJldi54bWxQSwECFAAUAAAACACHTuJArYARruQB&#10;AAC+AwAADgAAAAAAAAABACAAAAAlAQAAZHJzL2Uyb0RvYy54bWxQSwUGAAAAAAYABgBZAQAAewUA&#10;AAAA&#10;">
                <v:fill on="f" focussize="0,0"/>
                <v:stroke weight="1pt" color="#000000" joinstyle="round"/>
                <v:imagedata o:title=""/>
                <o:lock v:ext="edit" aspectratio="f"/>
              </v:line>
            </w:pict>
          </mc:Fallback>
        </mc:AlternateContent>
      </w:r>
    </w:p>
    <w:p w14:paraId="74991795">
      <w:pPr>
        <w:adjustRightInd w:val="0"/>
        <w:snapToGrid w:val="0"/>
        <w:spacing w:before="240" w:line="360" w:lineRule="exact"/>
        <w:jc w:val="center"/>
        <w:rPr>
          <w:rFonts w:eastAsia="黑体"/>
          <w:color w:val="000000"/>
          <w:spacing w:val="20"/>
          <w:w w:val="105"/>
          <w:sz w:val="44"/>
          <w:szCs w:val="44"/>
        </w:rPr>
      </w:pPr>
    </w:p>
    <w:p w14:paraId="4FBAFDF1">
      <w:pPr>
        <w:adjustRightInd w:val="0"/>
        <w:snapToGrid w:val="0"/>
        <w:spacing w:before="240" w:line="360" w:lineRule="exact"/>
        <w:jc w:val="center"/>
        <w:rPr>
          <w:rFonts w:eastAsia="黑体"/>
          <w:color w:val="000000"/>
          <w:spacing w:val="20"/>
          <w:w w:val="105"/>
          <w:sz w:val="44"/>
          <w:szCs w:val="44"/>
        </w:rPr>
      </w:pPr>
    </w:p>
    <w:p w14:paraId="108E88E2">
      <w:pPr>
        <w:adjustRightInd w:val="0"/>
        <w:snapToGrid w:val="0"/>
        <w:spacing w:before="240" w:line="360" w:lineRule="exact"/>
        <w:jc w:val="center"/>
        <w:rPr>
          <w:rFonts w:eastAsia="黑体"/>
          <w:color w:val="000000"/>
          <w:spacing w:val="20"/>
          <w:w w:val="105"/>
          <w:sz w:val="44"/>
          <w:szCs w:val="44"/>
        </w:rPr>
      </w:pPr>
      <w:r>
        <w:rPr>
          <w:b/>
          <w:sz w:val="44"/>
          <w:szCs w:val="4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541020</wp:posOffset>
                </wp:positionV>
                <wp:extent cx="5772150" cy="0"/>
                <wp:effectExtent l="0" t="6350" r="6350" b="635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12700">
                          <a:solidFill>
                            <a:srgbClr val="FFFFFF"/>
                          </a:solidFill>
                          <a:round/>
                        </a:ln>
                        <a:effectLst/>
                      </wps:spPr>
                      <wps:bodyPr/>
                    </wps:wsp>
                  </a:graphicData>
                </a:graphic>
              </wp:anchor>
            </w:drawing>
          </mc:Choice>
          <mc:Fallback>
            <w:pict>
              <v:line id="Line 2" o:spid="_x0000_s1026" o:spt="20" style="position:absolute;left:0pt;margin-left:9pt;margin-top:42.6pt;height:0pt;width:454.5pt;z-index:251659264;mso-width-relative:page;mso-height-relative:page;" filled="f" stroked="t" coordsize="21600,21600" o:gfxdata="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gwxXdUAAAAIAQAADwAAAAAAAAABACAAAAAiAAAAZHJz&#10;L2Rvd25yZXYueG1sUEsBAhQAFAAAAAgAh07iQDlB/rnOAQAArgMAAA4AAAAAAAAAAQAgAAAAJAEA&#10;AGRycy9lMm9Eb2MueG1sUEsFBgAAAAAGAAYAWQEAAGQFAAAAAA==&#10;">
                <v:fill on="f" focussize="0,0"/>
                <v:stroke weight="1pt" color="#FFFFFF" joinstyle="round"/>
                <v:imagedata o:title=""/>
                <o:lock v:ext="edit" aspectratio="f"/>
              </v:line>
            </w:pict>
          </mc:Fallback>
        </mc:AlternateContent>
      </w:r>
    </w:p>
    <w:p w14:paraId="23A8E35E">
      <w:pPr>
        <w:adjustRightInd w:val="0"/>
        <w:snapToGrid w:val="0"/>
        <w:spacing w:line="360" w:lineRule="auto"/>
        <w:jc w:val="center"/>
        <w:rPr>
          <w:b/>
          <w:sz w:val="44"/>
          <w:szCs w:val="44"/>
        </w:rPr>
      </w:pPr>
    </w:p>
    <w:p w14:paraId="0775FBE4">
      <w:pPr>
        <w:jc w:val="center"/>
        <w:rPr>
          <w:rFonts w:eastAsia="黑体"/>
          <w:color w:val="000000"/>
          <w:spacing w:val="20"/>
          <w:w w:val="105"/>
          <w:sz w:val="36"/>
          <w:szCs w:val="36"/>
        </w:rPr>
      </w:pPr>
    </w:p>
    <w:p w14:paraId="00CF6154">
      <w:pPr>
        <w:adjustRightInd w:val="0"/>
        <w:snapToGrid w:val="0"/>
        <w:spacing w:line="360" w:lineRule="auto"/>
        <w:jc w:val="center"/>
        <w:rPr>
          <w:rFonts w:ascii="黑体" w:hAnsi="黑体" w:eastAsia="黑体"/>
          <w:b/>
          <w:bCs/>
          <w:sz w:val="44"/>
          <w:szCs w:val="44"/>
        </w:rPr>
      </w:pPr>
      <w:r>
        <w:rPr>
          <w:rFonts w:hint="eastAsia" w:ascii="黑体" w:hAnsi="黑体" w:eastAsia="黑体"/>
          <w:b/>
          <w:bCs/>
          <w:sz w:val="44"/>
          <w:szCs w:val="44"/>
          <w:lang w:eastAsia="zh-CN"/>
        </w:rPr>
        <w:t>2026年巩留县</w:t>
      </w:r>
      <w:r>
        <w:rPr>
          <w:rFonts w:hint="eastAsia" w:ascii="黑体" w:hAnsi="黑体" w:eastAsia="黑体"/>
          <w:b/>
          <w:bCs/>
          <w:sz w:val="44"/>
          <w:szCs w:val="44"/>
        </w:rPr>
        <w:t>燃气软管</w:t>
      </w:r>
      <w:r>
        <w:rPr>
          <w:rFonts w:ascii="黑体" w:hAnsi="黑体" w:eastAsia="黑体"/>
          <w:b/>
          <w:bCs/>
          <w:sz w:val="44"/>
          <w:szCs w:val="44"/>
        </w:rPr>
        <w:t>产品质量监督抽查</w:t>
      </w:r>
    </w:p>
    <w:p w14:paraId="26BFBE62">
      <w:pPr>
        <w:adjustRightInd w:val="0"/>
        <w:snapToGrid w:val="0"/>
        <w:spacing w:line="360" w:lineRule="auto"/>
        <w:jc w:val="center"/>
        <w:rPr>
          <w:rFonts w:ascii="黑体" w:hAnsi="黑体" w:eastAsia="黑体"/>
          <w:b/>
          <w:bCs/>
          <w:sz w:val="44"/>
          <w:szCs w:val="44"/>
        </w:rPr>
      </w:pPr>
      <w:r>
        <w:rPr>
          <w:rFonts w:ascii="黑体" w:hAnsi="黑体" w:eastAsia="黑体"/>
          <w:b/>
          <w:bCs/>
          <w:sz w:val="44"/>
          <w:szCs w:val="44"/>
        </w:rPr>
        <w:t>实施细则</w:t>
      </w:r>
    </w:p>
    <w:p w14:paraId="643173B7">
      <w:pPr>
        <w:adjustRightInd w:val="0"/>
        <w:snapToGrid w:val="0"/>
        <w:spacing w:line="360" w:lineRule="auto"/>
        <w:jc w:val="center"/>
        <w:rPr>
          <w:sz w:val="44"/>
          <w:szCs w:val="44"/>
        </w:rPr>
      </w:pPr>
    </w:p>
    <w:p w14:paraId="419E58C2">
      <w:pPr>
        <w:spacing w:line="360" w:lineRule="auto"/>
        <w:jc w:val="center"/>
      </w:pPr>
    </w:p>
    <w:p w14:paraId="0928905D">
      <w:pPr>
        <w:spacing w:line="360" w:lineRule="auto"/>
        <w:jc w:val="center"/>
      </w:pPr>
    </w:p>
    <w:p w14:paraId="46465E00">
      <w:pPr>
        <w:spacing w:line="360" w:lineRule="auto"/>
        <w:jc w:val="center"/>
      </w:pPr>
    </w:p>
    <w:p w14:paraId="6F61626C">
      <w:pPr>
        <w:spacing w:line="360" w:lineRule="auto"/>
        <w:jc w:val="center"/>
      </w:pPr>
    </w:p>
    <w:p w14:paraId="0E7EFCA1">
      <w:pPr>
        <w:spacing w:line="360" w:lineRule="auto"/>
        <w:jc w:val="center"/>
      </w:pPr>
    </w:p>
    <w:p w14:paraId="536EE4C4">
      <w:pPr>
        <w:spacing w:line="360" w:lineRule="auto"/>
        <w:jc w:val="center"/>
      </w:pPr>
    </w:p>
    <w:p w14:paraId="0064F964">
      <w:pPr>
        <w:spacing w:line="360" w:lineRule="auto"/>
        <w:jc w:val="center"/>
      </w:pPr>
    </w:p>
    <w:p w14:paraId="6246C974">
      <w:pPr>
        <w:tabs>
          <w:tab w:val="left" w:pos="3765"/>
        </w:tabs>
        <w:spacing w:line="360" w:lineRule="auto"/>
      </w:pPr>
      <w:r>
        <w:tab/>
      </w:r>
    </w:p>
    <w:p w14:paraId="635139AA">
      <w:pPr>
        <w:spacing w:line="360" w:lineRule="auto"/>
        <w:jc w:val="center"/>
      </w:pPr>
    </w:p>
    <w:p w14:paraId="5C825639">
      <w:pPr>
        <w:spacing w:line="360" w:lineRule="auto"/>
      </w:pPr>
    </w:p>
    <w:p w14:paraId="1EE01C86">
      <w:pPr>
        <w:spacing w:line="360" w:lineRule="auto"/>
      </w:pPr>
    </w:p>
    <w:p w14:paraId="76258150">
      <w:pPr>
        <w:adjustRightInd w:val="0"/>
        <w:spacing w:line="480" w:lineRule="exact"/>
        <w:jc w:val="left"/>
        <w:rPr>
          <w:rFonts w:eastAsia="黑体"/>
          <w:bCs/>
          <w:sz w:val="24"/>
        </w:rPr>
      </w:pPr>
      <w:r>
        <w:rPr>
          <w:rFonts w:eastAsia="黑体"/>
          <w:spacing w:val="20"/>
          <w:w w:val="105"/>
          <w:sz w:val="36"/>
          <w:szCs w:val="36"/>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38100</wp:posOffset>
                </wp:positionV>
                <wp:extent cx="5715000" cy="0"/>
                <wp:effectExtent l="0" t="6350" r="0" b="635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2700">
                          <a:solidFill>
                            <a:srgbClr val="FFFFFF"/>
                          </a:solidFill>
                          <a:round/>
                        </a:ln>
                        <a:effectLst/>
                      </wps:spPr>
                      <wps:bodyPr/>
                    </wps:wsp>
                  </a:graphicData>
                </a:graphic>
              </wp:anchor>
            </w:drawing>
          </mc:Choice>
          <mc:Fallback>
            <w:pict>
              <v:line id="Line 3" o:spid="_x0000_s1026" o:spt="20" style="position:absolute;left:0pt;margin-left:-9pt;margin-top:3pt;height:0pt;width:450pt;z-index:251660288;mso-width-relative:page;mso-height-relative:page;" filled="f" stroked="t" coordsize="21600,21600" o:gfxdata="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YrKMvVAAAABwEAAA8AAAAAAAAAAQAgAAAAIgAAAGRycy9k&#10;b3ducmV2LnhtbFBLAQIUABQAAAAIAIdO4kBOLAWuzAEAAK4DAAAOAAAAAAAAAAEAIAAAACQBAABk&#10;cnMvZTJvRG9jLnhtbFBLBQYAAAAABgAGAFkBAABiBQAAAAA=&#10;">
                <v:fill on="f" focussize="0,0"/>
                <v:stroke weight="1pt" color="#FFFFFF" joinstyle="round"/>
                <v:imagedata o:title=""/>
                <o:lock v:ext="edit" aspectratio="f"/>
              </v:line>
            </w:pict>
          </mc:Fallback>
        </mc:AlternateContent>
      </w:r>
      <w:r>
        <w:rPr>
          <w:rFonts w:eastAsia="黑体"/>
          <w:bCs/>
          <w:sz w:val="24"/>
        </w:rPr>
        <w:t>202</w:t>
      </w:r>
      <w:r>
        <w:rPr>
          <w:rFonts w:hint="eastAsia" w:eastAsia="黑体"/>
          <w:bCs/>
          <w:sz w:val="24"/>
          <w:lang w:val="en-US" w:eastAsia="zh-CN"/>
        </w:rPr>
        <w:t>6</w:t>
      </w:r>
      <w:r>
        <w:rPr>
          <w:rFonts w:eastAsia="黑体"/>
          <w:bCs/>
          <w:sz w:val="24"/>
        </w:rPr>
        <w:t>-</w:t>
      </w:r>
      <w:r>
        <w:rPr>
          <w:rFonts w:hint="eastAsia" w:eastAsia="黑体"/>
          <w:bCs/>
          <w:sz w:val="24"/>
        </w:rPr>
        <w:t>0</w:t>
      </w:r>
      <w:r>
        <w:rPr>
          <w:rFonts w:hint="eastAsia" w:eastAsia="黑体"/>
          <w:bCs/>
          <w:sz w:val="24"/>
          <w:lang w:val="en-US" w:eastAsia="zh-CN"/>
        </w:rPr>
        <w:t>5</w:t>
      </w:r>
      <w:r>
        <w:rPr>
          <w:rFonts w:eastAsia="黑体"/>
          <w:bCs/>
          <w:sz w:val="24"/>
        </w:rPr>
        <w:t xml:space="preserve">-发布                                       </w:t>
      </w:r>
      <w:r>
        <w:rPr>
          <w:rFonts w:hint="eastAsia" w:eastAsia="黑体"/>
          <w:bCs/>
          <w:sz w:val="24"/>
        </w:rPr>
        <w:t xml:space="preserve">      </w:t>
      </w:r>
      <w:r>
        <w:rPr>
          <w:rFonts w:eastAsia="黑体"/>
          <w:bCs/>
          <w:sz w:val="24"/>
        </w:rPr>
        <w:t>202</w:t>
      </w:r>
      <w:r>
        <w:rPr>
          <w:rFonts w:hint="eastAsia" w:eastAsia="黑体"/>
          <w:bCs/>
          <w:sz w:val="24"/>
          <w:lang w:val="en-US" w:eastAsia="zh-CN"/>
        </w:rPr>
        <w:t>6</w:t>
      </w:r>
      <w:r>
        <w:rPr>
          <w:rFonts w:eastAsia="黑体"/>
          <w:bCs/>
          <w:sz w:val="24"/>
        </w:rPr>
        <w:t>-</w:t>
      </w:r>
      <w:r>
        <w:rPr>
          <w:rFonts w:hint="eastAsia" w:eastAsia="黑体"/>
          <w:bCs/>
          <w:sz w:val="24"/>
        </w:rPr>
        <w:t>0</w:t>
      </w:r>
      <w:r>
        <w:rPr>
          <w:rFonts w:hint="eastAsia" w:eastAsia="黑体"/>
          <w:bCs/>
          <w:sz w:val="24"/>
          <w:lang w:val="en-US" w:eastAsia="zh-CN"/>
        </w:rPr>
        <w:t>5</w:t>
      </w:r>
      <w:r>
        <w:rPr>
          <w:rFonts w:hint="eastAsia" w:eastAsia="黑体"/>
          <w:bCs/>
          <w:sz w:val="24"/>
        </w:rPr>
        <w:t xml:space="preserve">-  </w:t>
      </w:r>
      <w:r>
        <w:rPr>
          <w:rFonts w:eastAsia="黑体"/>
          <w:bCs/>
          <w:sz w:val="24"/>
        </w:rPr>
        <w:t>实施</w:t>
      </w:r>
    </w:p>
    <w:p w14:paraId="40D4615D">
      <w:pPr>
        <w:jc w:val="center"/>
        <w:rPr>
          <w:rFonts w:ascii="黑体" w:hAnsi="黑体" w:eastAsia="黑体"/>
          <w:bCs/>
          <w:sz w:val="32"/>
          <w:szCs w:val="32"/>
        </w:rPr>
      </w:pPr>
      <w:r>
        <w:rPr>
          <w:rFonts w:ascii="黑体" w:hAnsi="黑体" w:eastAsia="黑体"/>
          <w:bCs/>
          <w:sz w:val="32"/>
          <w:szCs w:val="32"/>
        </w:rPr>
        <mc:AlternateContent>
          <mc:Choice Requires="wps">
            <w:drawing>
              <wp:anchor distT="0" distB="0" distL="114300" distR="114300" simplePos="0" relativeHeight="251662336" behindDoc="0" locked="0" layoutInCell="1" allowOverlap="1">
                <wp:simplePos x="0" y="0"/>
                <wp:positionH relativeFrom="column">
                  <wp:posOffset>-31115</wp:posOffset>
                </wp:positionH>
                <wp:positionV relativeFrom="paragraph">
                  <wp:posOffset>0</wp:posOffset>
                </wp:positionV>
                <wp:extent cx="5459095" cy="0"/>
                <wp:effectExtent l="0" t="6350" r="1905" b="635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459095" cy="0"/>
                        </a:xfrm>
                        <a:prstGeom prst="line">
                          <a:avLst/>
                        </a:prstGeom>
                        <a:noFill/>
                        <a:ln w="12700">
                          <a:solidFill>
                            <a:srgbClr val="800008"/>
                          </a:solidFill>
                          <a:round/>
                        </a:ln>
                        <a:effectLst/>
                      </wps:spPr>
                      <wps:bodyPr/>
                    </wps:wsp>
                  </a:graphicData>
                </a:graphic>
              </wp:anchor>
            </w:drawing>
          </mc:Choice>
          <mc:Fallback>
            <w:pict>
              <v:line id="_x0000_s1026" o:spid="_x0000_s1026" o:spt="20" style="position:absolute;left:0pt;margin-left:-2.45pt;margin-top:0pt;height:0pt;width:429.85pt;z-index:251662336;mso-width-relative:page;mso-height-relative:page;" filled="f" stroked="t" coordsize="21600,21600" o:gfxdata="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kKIatIA&#10;AAAEAQAADwAAAAAAAAABACAAAAAiAAAAZHJzL2Rvd25yZXYueG1sUEsBAhQAFAAAAAgAh07iQJxZ&#10;rvrsAQAAuQMAAA4AAAAAAAAAAQAgAAAAIQEAAGRycy9lMm9Eb2MueG1sUEsFBgAAAAAGAAYAWQEA&#10;AH8FAAAAAA==&#10;">
                <v:fill on="f" focussize="0,0"/>
                <v:stroke weight="1pt" color="#800008" joinstyle="round"/>
                <v:imagedata o:title=""/>
                <o:lock v:ext="edit" aspectratio="f"/>
              </v:line>
            </w:pict>
          </mc:Fallback>
        </mc:AlternateContent>
      </w:r>
      <w:r>
        <w:rPr>
          <w:rFonts w:hint="eastAsia" w:ascii="黑体" w:hAnsi="黑体" w:eastAsia="黑体"/>
          <w:bCs/>
          <w:sz w:val="32"/>
          <w:szCs w:val="32"/>
          <w:lang w:eastAsia="zh-CN"/>
        </w:rPr>
        <w:t>巩留县</w:t>
      </w:r>
      <w:r>
        <w:rPr>
          <w:rFonts w:ascii="黑体" w:hAnsi="黑体" w:eastAsia="黑体"/>
          <w:bCs/>
          <w:sz w:val="32"/>
          <w:szCs w:val="32"/>
        </w:rPr>
        <w:t>市场监督管理局</w:t>
      </w:r>
    </w:p>
    <w:p w14:paraId="26B4EBF9">
      <w:pPr>
        <w:spacing w:line="440" w:lineRule="exact"/>
        <w:jc w:val="center"/>
        <w:rPr>
          <w:rFonts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lang w:eastAsia="zh-CN"/>
        </w:rPr>
        <w:t>2026年巩留县</w:t>
      </w:r>
      <w:r>
        <w:rPr>
          <w:rFonts w:hint="eastAsia" w:ascii="方正小标宋简体" w:hAnsi="仿宋" w:eastAsia="方正小标宋简体" w:cs="方正仿宋简体"/>
          <w:b/>
          <w:color w:val="000000"/>
          <w:sz w:val="32"/>
          <w:szCs w:val="32"/>
        </w:rPr>
        <w:t>燃气软管产品质量监督抽查实施细则</w:t>
      </w:r>
    </w:p>
    <w:p w14:paraId="5739CA2F">
      <w:pPr>
        <w:snapToGrid w:val="0"/>
        <w:spacing w:line="440" w:lineRule="exact"/>
        <w:rPr>
          <w:rFonts w:ascii="黑体" w:hAnsi="宋体" w:eastAsia="黑体"/>
          <w:b/>
          <w:bCs/>
          <w:szCs w:val="21"/>
        </w:rPr>
      </w:pPr>
      <w:r>
        <w:rPr>
          <w:rFonts w:ascii="黑体" w:hAnsi="宋体" w:eastAsia="黑体"/>
          <w:b/>
          <w:bCs/>
          <w:szCs w:val="21"/>
        </w:rPr>
        <w:t>1 抽样方法</w:t>
      </w:r>
    </w:p>
    <w:p w14:paraId="1E2DE059">
      <w:pPr>
        <w:snapToGrid w:val="0"/>
        <w:spacing w:line="440" w:lineRule="exact"/>
        <w:ind w:firstLine="420" w:firstLineChars="200"/>
        <w:rPr>
          <w:rFonts w:ascii="宋体" w:hAnsi="宋体"/>
          <w:szCs w:val="21"/>
        </w:rPr>
      </w:pPr>
      <w:r>
        <w:rPr>
          <w:rFonts w:hint="eastAsia" w:ascii="宋体" w:hAnsi="宋体"/>
          <w:szCs w:val="21"/>
        </w:rPr>
        <w:t>在</w:t>
      </w:r>
      <w:r>
        <w:rPr>
          <w:rFonts w:hint="eastAsia" w:ascii="宋体" w:hAnsi="宋体"/>
          <w:szCs w:val="21"/>
          <w:lang w:val="en-US" w:eastAsia="zh-CN"/>
        </w:rPr>
        <w:t>流通领域</w:t>
      </w:r>
      <w:r>
        <w:rPr>
          <w:rFonts w:hint="eastAsia" w:ascii="宋体" w:hAnsi="宋体"/>
          <w:szCs w:val="21"/>
        </w:rPr>
        <w:t>销售企业待销的产品中随机抽取有产品质量检验合格证明或以其他形式标明合格的产品。</w:t>
      </w:r>
    </w:p>
    <w:p w14:paraId="564ADD75">
      <w:pPr>
        <w:snapToGrid w:val="0"/>
        <w:spacing w:line="440" w:lineRule="exact"/>
        <w:ind w:firstLine="420" w:firstLineChars="200"/>
        <w:rPr>
          <w:rFonts w:ascii="宋体" w:hAnsi="宋体"/>
          <w:szCs w:val="21"/>
        </w:rPr>
      </w:pPr>
      <w:r>
        <w:rPr>
          <w:rFonts w:hint="eastAsia" w:ascii="宋体" w:hAnsi="宋体"/>
          <w:szCs w:val="21"/>
        </w:rPr>
        <w:t>抽样基数满足抽样数量即可。</w:t>
      </w:r>
    </w:p>
    <w:p w14:paraId="7D106F1B">
      <w:pPr>
        <w:snapToGrid w:val="0"/>
        <w:spacing w:line="440" w:lineRule="exact"/>
        <w:ind w:firstLine="420" w:firstLineChars="200"/>
        <w:rPr>
          <w:rFonts w:ascii="宋体" w:hAnsi="宋体"/>
          <w:szCs w:val="21"/>
        </w:rPr>
      </w:pPr>
      <w:r>
        <w:rPr>
          <w:rFonts w:ascii="宋体" w:hAnsi="宋体"/>
          <w:szCs w:val="21"/>
        </w:rPr>
        <w:t>随机数</w:t>
      </w:r>
      <w:r>
        <w:rPr>
          <w:rFonts w:hint="eastAsia" w:ascii="宋体" w:hAnsi="宋体"/>
          <w:szCs w:val="21"/>
        </w:rPr>
        <w:t>一般可使用</w:t>
      </w:r>
      <w:r>
        <w:rPr>
          <w:rFonts w:ascii="宋体" w:hAnsi="宋体"/>
          <w:szCs w:val="21"/>
        </w:rPr>
        <w:t>随机数表等方法产生</w:t>
      </w:r>
      <w:r>
        <w:rPr>
          <w:rFonts w:hint="eastAsia" w:ascii="宋体" w:hAnsi="宋体"/>
          <w:szCs w:val="21"/>
        </w:rPr>
        <w:t>。</w:t>
      </w:r>
    </w:p>
    <w:p w14:paraId="31DF87A2">
      <w:pPr>
        <w:snapToGrid w:val="0"/>
        <w:spacing w:line="440" w:lineRule="exact"/>
        <w:ind w:firstLine="360" w:firstLineChars="200"/>
        <w:jc w:val="center"/>
        <w:rPr>
          <w:rFonts w:ascii="宋体" w:hAnsi="宋体"/>
          <w:color w:val="000000"/>
          <w:sz w:val="18"/>
          <w:szCs w:val="18"/>
        </w:rPr>
      </w:pPr>
      <w:r>
        <w:rPr>
          <w:rFonts w:ascii="宋体" w:hAnsi="宋体"/>
          <w:color w:val="000000"/>
          <w:sz w:val="18"/>
          <w:szCs w:val="18"/>
        </w:rPr>
        <w:t xml:space="preserve">表1  </w:t>
      </w:r>
      <w:r>
        <w:rPr>
          <w:rFonts w:hint="eastAsia" w:ascii="宋体" w:hAnsi="宋体"/>
          <w:color w:val="000000"/>
          <w:sz w:val="18"/>
          <w:szCs w:val="18"/>
        </w:rPr>
        <w:t>抽样数量</w:t>
      </w:r>
    </w:p>
    <w:tbl>
      <w:tblPr>
        <w:tblStyle w:val="10"/>
        <w:tblW w:w="80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907"/>
        <w:gridCol w:w="1913"/>
        <w:gridCol w:w="3637"/>
      </w:tblGrid>
      <w:tr w14:paraId="4AFB0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14:paraId="7AABD138">
            <w:pPr>
              <w:snapToGrid w:val="0"/>
              <w:jc w:val="center"/>
              <w:rPr>
                <w:rFonts w:ascii="宋体" w:hAnsi="宋体" w:cs="宋体"/>
                <w:color w:val="000000"/>
                <w:kern w:val="0"/>
                <w:sz w:val="20"/>
              </w:rPr>
            </w:pPr>
            <w:r>
              <w:rPr>
                <w:rFonts w:hint="eastAsia" w:ascii="宋体" w:hAnsi="宋体" w:cs="宋体"/>
                <w:color w:val="000000"/>
                <w:kern w:val="0"/>
                <w:sz w:val="20"/>
              </w:rPr>
              <w:t>序号</w:t>
            </w:r>
          </w:p>
        </w:tc>
        <w:tc>
          <w:tcPr>
            <w:tcW w:w="1907" w:type="dxa"/>
            <w:tcBorders>
              <w:top w:val="single" w:color="000000" w:sz="4" w:space="0"/>
              <w:left w:val="single" w:color="000000" w:sz="4" w:space="0"/>
              <w:bottom w:val="single" w:color="000000" w:sz="4" w:space="0"/>
              <w:right w:val="single" w:color="000000" w:sz="4" w:space="0"/>
            </w:tcBorders>
            <w:noWrap w:val="0"/>
            <w:vAlign w:val="center"/>
          </w:tcPr>
          <w:p w14:paraId="180B9397">
            <w:pPr>
              <w:snapToGrid w:val="0"/>
              <w:jc w:val="center"/>
              <w:rPr>
                <w:rFonts w:ascii="宋体" w:hAnsi="宋体" w:cs="宋体"/>
                <w:color w:val="000000"/>
                <w:kern w:val="0"/>
                <w:sz w:val="20"/>
              </w:rPr>
            </w:pPr>
            <w:r>
              <w:rPr>
                <w:rFonts w:hint="eastAsia" w:ascii="宋体" w:hAnsi="宋体" w:cs="宋体"/>
                <w:color w:val="000000"/>
                <w:kern w:val="0"/>
                <w:sz w:val="20"/>
              </w:rPr>
              <w:t>产品标准代号</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14:paraId="4702E9E2">
            <w:pPr>
              <w:snapToGrid w:val="0"/>
              <w:jc w:val="center"/>
              <w:rPr>
                <w:rFonts w:ascii="宋体" w:hAnsi="宋体" w:cs="宋体"/>
                <w:color w:val="000000"/>
                <w:kern w:val="0"/>
                <w:sz w:val="20"/>
              </w:rPr>
            </w:pPr>
            <w:r>
              <w:rPr>
                <w:rFonts w:hint="eastAsia" w:ascii="宋体" w:hAnsi="宋体" w:cs="宋体"/>
                <w:color w:val="000000"/>
                <w:kern w:val="0"/>
                <w:sz w:val="20"/>
              </w:rPr>
              <w:t>产品名称</w:t>
            </w:r>
          </w:p>
        </w:tc>
        <w:tc>
          <w:tcPr>
            <w:tcW w:w="3637" w:type="dxa"/>
            <w:tcBorders>
              <w:top w:val="single" w:color="000000" w:sz="4" w:space="0"/>
              <w:left w:val="single" w:color="000000" w:sz="4" w:space="0"/>
              <w:bottom w:val="single" w:color="000000" w:sz="4" w:space="0"/>
              <w:right w:val="single" w:color="000000" w:sz="4" w:space="0"/>
            </w:tcBorders>
            <w:noWrap w:val="0"/>
            <w:vAlign w:val="center"/>
          </w:tcPr>
          <w:p w14:paraId="440A8ACF">
            <w:pPr>
              <w:snapToGrid w:val="0"/>
              <w:jc w:val="center"/>
              <w:rPr>
                <w:rFonts w:ascii="宋体" w:hAnsi="宋体" w:cs="宋体"/>
                <w:color w:val="000000"/>
                <w:kern w:val="0"/>
                <w:sz w:val="20"/>
              </w:rPr>
            </w:pPr>
            <w:r>
              <w:rPr>
                <w:rFonts w:hint="eastAsia" w:ascii="宋体" w:hAnsi="宋体" w:cs="宋体"/>
                <w:color w:val="000000"/>
                <w:kern w:val="0"/>
                <w:sz w:val="20"/>
              </w:rPr>
              <w:t>抽样数量</w:t>
            </w:r>
          </w:p>
        </w:tc>
      </w:tr>
      <w:tr w14:paraId="134CC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1" w:hRule="atLeast"/>
          <w:jc w:val="center"/>
        </w:trPr>
        <w:tc>
          <w:tcPr>
            <w:tcW w:w="567" w:type="dxa"/>
            <w:tcBorders>
              <w:top w:val="single" w:color="000000" w:sz="4" w:space="0"/>
              <w:left w:val="single" w:color="000000" w:sz="4" w:space="0"/>
              <w:right w:val="single" w:color="000000" w:sz="4" w:space="0"/>
            </w:tcBorders>
            <w:noWrap w:val="0"/>
            <w:vAlign w:val="center"/>
          </w:tcPr>
          <w:p w14:paraId="772D97EE">
            <w:pPr>
              <w:adjustRightInd w:val="0"/>
              <w:snapToGrid w:val="0"/>
              <w:jc w:val="center"/>
              <w:rPr>
                <w:rFonts w:ascii="宋体" w:hAnsi="宋体"/>
                <w:color w:val="000000"/>
                <w:sz w:val="18"/>
                <w:szCs w:val="18"/>
              </w:rPr>
            </w:pPr>
            <w:r>
              <w:rPr>
                <w:rFonts w:ascii="宋体" w:hAnsi="宋体"/>
                <w:color w:val="000000"/>
                <w:sz w:val="18"/>
                <w:szCs w:val="18"/>
              </w:rPr>
              <w:t>1</w:t>
            </w:r>
          </w:p>
        </w:tc>
        <w:tc>
          <w:tcPr>
            <w:tcW w:w="1907" w:type="dxa"/>
            <w:tcBorders>
              <w:top w:val="single" w:color="000000" w:sz="4" w:space="0"/>
              <w:left w:val="single" w:color="000000" w:sz="4" w:space="0"/>
              <w:right w:val="single" w:color="000000" w:sz="4" w:space="0"/>
            </w:tcBorders>
            <w:noWrap w:val="0"/>
            <w:vAlign w:val="center"/>
          </w:tcPr>
          <w:p w14:paraId="146989EF">
            <w:pPr>
              <w:adjustRightInd w:val="0"/>
              <w:snapToGrid w:val="0"/>
              <w:jc w:val="center"/>
              <w:rPr>
                <w:rFonts w:hint="default" w:ascii="宋体" w:hAnsi="宋体" w:eastAsia="宋体"/>
                <w:color w:val="000000"/>
                <w:sz w:val="18"/>
                <w:szCs w:val="18"/>
                <w:lang w:val="en-US" w:eastAsia="zh-CN"/>
              </w:rPr>
            </w:pPr>
            <w:r>
              <w:rPr>
                <w:rFonts w:hint="eastAsia" w:ascii="宋体" w:hAnsi="宋体"/>
                <w:color w:val="000000"/>
                <w:sz w:val="18"/>
                <w:szCs w:val="18"/>
              </w:rPr>
              <w:t xml:space="preserve">GB </w:t>
            </w:r>
            <w:r>
              <w:rPr>
                <w:rFonts w:hint="eastAsia" w:ascii="宋体" w:hAnsi="宋体"/>
                <w:color w:val="000000"/>
                <w:sz w:val="18"/>
                <w:szCs w:val="18"/>
                <w:lang w:val="en-US" w:eastAsia="zh-CN"/>
              </w:rPr>
              <w:t>41317</w:t>
            </w:r>
            <w:r>
              <w:rPr>
                <w:rFonts w:hint="eastAsia" w:ascii="宋体" w:hAnsi="宋体"/>
                <w:color w:val="000000"/>
                <w:sz w:val="18"/>
                <w:szCs w:val="18"/>
              </w:rPr>
              <w:t>-20</w:t>
            </w:r>
            <w:r>
              <w:rPr>
                <w:rFonts w:hint="eastAsia" w:ascii="宋体" w:hAnsi="宋体"/>
                <w:color w:val="000000"/>
                <w:sz w:val="18"/>
                <w:szCs w:val="18"/>
                <w:lang w:val="en-US" w:eastAsia="zh-CN"/>
              </w:rPr>
              <w:t>24</w:t>
            </w:r>
          </w:p>
        </w:tc>
        <w:tc>
          <w:tcPr>
            <w:tcW w:w="1913" w:type="dxa"/>
            <w:tcBorders>
              <w:top w:val="single" w:color="000000" w:sz="4" w:space="0"/>
              <w:left w:val="single" w:color="000000" w:sz="4" w:space="0"/>
              <w:right w:val="single" w:color="000000" w:sz="4" w:space="0"/>
            </w:tcBorders>
            <w:noWrap w:val="0"/>
            <w:vAlign w:val="center"/>
          </w:tcPr>
          <w:p w14:paraId="4349E0EB">
            <w:pPr>
              <w:adjustRightInd w:val="0"/>
              <w:snapToGrid w:val="0"/>
              <w:jc w:val="center"/>
              <w:rPr>
                <w:rFonts w:ascii="宋体" w:hAnsi="宋体"/>
                <w:color w:val="000000"/>
                <w:sz w:val="18"/>
                <w:szCs w:val="18"/>
              </w:rPr>
            </w:pPr>
            <w:r>
              <w:rPr>
                <w:rFonts w:hint="default" w:ascii="Times New Roman" w:hAnsi="Times New Roman" w:eastAsia="宋体" w:cs="Times New Roman"/>
                <w:color w:val="000000"/>
                <w:sz w:val="18"/>
                <w:szCs w:val="18"/>
              </w:rPr>
              <w:t>燃气用具连接用不锈钢波纹软管</w:t>
            </w:r>
          </w:p>
        </w:tc>
        <w:tc>
          <w:tcPr>
            <w:tcW w:w="3637" w:type="dxa"/>
            <w:tcBorders>
              <w:top w:val="single" w:color="000000" w:sz="4" w:space="0"/>
              <w:left w:val="single" w:color="000000" w:sz="4" w:space="0"/>
              <w:right w:val="single" w:color="000000" w:sz="4" w:space="0"/>
            </w:tcBorders>
            <w:noWrap w:val="0"/>
            <w:vAlign w:val="center"/>
          </w:tcPr>
          <w:p w14:paraId="30739F13">
            <w:pPr>
              <w:adjustRightInd w:val="0"/>
              <w:snapToGrid w:val="0"/>
              <w:jc w:val="center"/>
              <w:rPr>
                <w:rFonts w:ascii="宋体" w:hAnsi="宋体"/>
                <w:color w:val="000000"/>
                <w:sz w:val="18"/>
                <w:szCs w:val="18"/>
              </w:rPr>
            </w:pPr>
            <w:r>
              <w:rPr>
                <w:rFonts w:ascii="宋体" w:hAnsi="宋体"/>
                <w:color w:val="000000"/>
                <w:sz w:val="18"/>
                <w:szCs w:val="18"/>
              </w:rPr>
              <w:t>抽取样品</w:t>
            </w:r>
            <w:r>
              <w:rPr>
                <w:rFonts w:hint="eastAsia" w:ascii="宋体" w:hAnsi="宋体"/>
                <w:color w:val="000000"/>
                <w:sz w:val="18"/>
                <w:szCs w:val="18"/>
                <w:lang w:val="en-US" w:eastAsia="zh-CN"/>
              </w:rPr>
              <w:t>8</w:t>
            </w:r>
            <w:r>
              <w:rPr>
                <w:rFonts w:hint="eastAsia" w:ascii="宋体" w:hAnsi="宋体"/>
                <w:color w:val="000000"/>
                <w:sz w:val="18"/>
                <w:szCs w:val="18"/>
              </w:rPr>
              <w:t>根</w:t>
            </w:r>
            <w:r>
              <w:rPr>
                <w:rFonts w:ascii="宋体" w:hAnsi="宋体"/>
                <w:color w:val="000000"/>
                <w:sz w:val="18"/>
                <w:szCs w:val="18"/>
              </w:rPr>
              <w:t>，其中</w:t>
            </w:r>
            <w:r>
              <w:rPr>
                <w:rFonts w:hint="eastAsia" w:ascii="宋体" w:hAnsi="宋体"/>
                <w:color w:val="000000"/>
                <w:sz w:val="18"/>
                <w:szCs w:val="18"/>
                <w:lang w:val="en-US" w:eastAsia="zh-CN"/>
              </w:rPr>
              <w:t>7</w:t>
            </w:r>
            <w:r>
              <w:rPr>
                <w:rFonts w:hint="eastAsia" w:ascii="宋体" w:hAnsi="宋体"/>
                <w:color w:val="000000"/>
                <w:sz w:val="18"/>
                <w:szCs w:val="18"/>
              </w:rPr>
              <w:t>根</w:t>
            </w:r>
            <w:r>
              <w:rPr>
                <w:rFonts w:ascii="宋体" w:hAnsi="宋体"/>
                <w:color w:val="000000"/>
                <w:sz w:val="18"/>
                <w:szCs w:val="18"/>
              </w:rPr>
              <w:t>作为检验样品，另</w:t>
            </w:r>
            <w:r>
              <w:rPr>
                <w:rFonts w:hint="eastAsia" w:ascii="宋体" w:hAnsi="宋体"/>
                <w:color w:val="000000"/>
                <w:sz w:val="18"/>
                <w:szCs w:val="18"/>
                <w:lang w:val="en-US" w:eastAsia="zh-CN"/>
              </w:rPr>
              <w:t>1</w:t>
            </w:r>
            <w:r>
              <w:rPr>
                <w:rFonts w:hint="eastAsia" w:ascii="宋体" w:hAnsi="宋体"/>
                <w:color w:val="000000"/>
                <w:sz w:val="18"/>
                <w:szCs w:val="18"/>
              </w:rPr>
              <w:t>根</w:t>
            </w:r>
            <w:r>
              <w:rPr>
                <w:rFonts w:ascii="宋体" w:hAnsi="宋体"/>
                <w:color w:val="000000"/>
                <w:sz w:val="18"/>
                <w:szCs w:val="18"/>
              </w:rPr>
              <w:t>作为备用样品。</w:t>
            </w:r>
          </w:p>
        </w:tc>
      </w:tr>
    </w:tbl>
    <w:p w14:paraId="61D94235">
      <w:pPr>
        <w:snapToGrid w:val="0"/>
        <w:spacing w:line="440" w:lineRule="exact"/>
        <w:rPr>
          <w:rFonts w:ascii="黑体" w:hAnsi="宋体" w:eastAsia="黑体"/>
          <w:b/>
          <w:bCs/>
          <w:szCs w:val="21"/>
        </w:rPr>
      </w:pPr>
      <w:r>
        <w:rPr>
          <w:rFonts w:ascii="黑体" w:hAnsi="宋体" w:eastAsia="黑体"/>
          <w:b/>
          <w:bCs/>
          <w:szCs w:val="21"/>
        </w:rPr>
        <w:t>2 检验依据</w:t>
      </w:r>
    </w:p>
    <w:p w14:paraId="6DF78CE7">
      <w:pPr>
        <w:snapToGrid w:val="0"/>
        <w:spacing w:line="440" w:lineRule="exact"/>
        <w:ind w:firstLine="420" w:firstLineChars="200"/>
        <w:rPr>
          <w:rFonts w:ascii="宋体" w:hAnsi="宋体"/>
          <w:szCs w:val="21"/>
        </w:rPr>
      </w:pPr>
      <w:r>
        <w:rPr>
          <w:rFonts w:hint="default" w:ascii="Times New Roman" w:hAnsi="Times New Roman" w:cs="Times New Roman"/>
          <w:color w:val="000000"/>
          <w:kern w:val="0"/>
          <w:szCs w:val="21"/>
        </w:rPr>
        <w:t>检验项目、</w:t>
      </w:r>
      <w:r>
        <w:rPr>
          <w:rFonts w:hint="default" w:ascii="Times New Roman" w:hAnsi="Times New Roman" w:cs="Times New Roman"/>
          <w:szCs w:val="21"/>
        </w:rPr>
        <w:t>检</w:t>
      </w:r>
      <w:r>
        <w:rPr>
          <w:rFonts w:hint="eastAsia" w:ascii="宋体" w:hAnsi="宋体" w:eastAsia="宋体" w:cs="宋体"/>
          <w:szCs w:val="21"/>
        </w:rPr>
        <w:t>验方法</w:t>
      </w:r>
      <w:r>
        <w:rPr>
          <w:rFonts w:ascii="宋体" w:hAnsi="宋体"/>
          <w:szCs w:val="21"/>
        </w:rPr>
        <w:t>见表</w:t>
      </w:r>
      <w:r>
        <w:rPr>
          <w:rFonts w:hint="eastAsia" w:ascii="宋体" w:hAnsi="宋体"/>
          <w:szCs w:val="21"/>
        </w:rPr>
        <w:t>2。</w:t>
      </w:r>
    </w:p>
    <w:p w14:paraId="6880FCE0">
      <w:pPr>
        <w:adjustRightInd w:val="0"/>
        <w:snapToGrid w:val="0"/>
        <w:spacing w:line="300" w:lineRule="exact"/>
        <w:jc w:val="center"/>
        <w:rPr>
          <w:rFonts w:ascii="宋体" w:hAnsi="宋体"/>
          <w:color w:val="000000"/>
          <w:kern w:val="0"/>
          <w:sz w:val="18"/>
          <w:szCs w:val="18"/>
        </w:rPr>
      </w:pPr>
      <w:r>
        <w:rPr>
          <w:rFonts w:ascii="宋体" w:hAnsi="宋体"/>
          <w:color w:val="000000"/>
          <w:kern w:val="0"/>
          <w:sz w:val="18"/>
          <w:szCs w:val="18"/>
        </w:rPr>
        <w:t>表</w:t>
      </w:r>
      <w:r>
        <w:rPr>
          <w:rFonts w:hint="eastAsia" w:ascii="宋体" w:hAnsi="宋体"/>
          <w:color w:val="000000"/>
          <w:kern w:val="0"/>
          <w:sz w:val="18"/>
          <w:szCs w:val="18"/>
        </w:rPr>
        <w:t>2</w:t>
      </w:r>
      <w:r>
        <w:rPr>
          <w:rFonts w:hint="eastAsia" w:ascii="宋体" w:hAnsi="宋体"/>
          <w:color w:val="000000"/>
          <w:kern w:val="0"/>
          <w:sz w:val="18"/>
          <w:szCs w:val="18"/>
          <w:lang w:val="en-US" w:eastAsia="zh-CN"/>
        </w:rPr>
        <w:t xml:space="preserve"> </w:t>
      </w:r>
      <w:r>
        <w:rPr>
          <w:rFonts w:hint="eastAsia" w:ascii="宋体" w:hAnsi="宋体"/>
          <w:color w:val="000000"/>
          <w:kern w:val="0"/>
          <w:sz w:val="18"/>
          <w:szCs w:val="18"/>
        </w:rPr>
        <w:t>燃气用具连接用不锈钢波纹软管</w:t>
      </w:r>
      <w:r>
        <w:rPr>
          <w:rFonts w:ascii="宋体" w:hAnsi="宋体"/>
          <w:color w:val="000000"/>
          <w:kern w:val="0"/>
          <w:sz w:val="18"/>
          <w:szCs w:val="18"/>
        </w:rPr>
        <w:t>检验项目</w:t>
      </w:r>
      <w:r>
        <w:rPr>
          <w:rFonts w:hint="eastAsia" w:ascii="宋体" w:hAnsi="宋体"/>
          <w:color w:val="000000"/>
          <w:kern w:val="0"/>
          <w:sz w:val="18"/>
          <w:szCs w:val="18"/>
        </w:rPr>
        <w:t>、检验</w:t>
      </w:r>
      <w:r>
        <w:rPr>
          <w:rFonts w:ascii="宋体" w:hAnsi="宋体"/>
          <w:color w:val="000000"/>
          <w:kern w:val="0"/>
          <w:sz w:val="18"/>
          <w:szCs w:val="18"/>
        </w:rPr>
        <w:t>方法</w:t>
      </w:r>
    </w:p>
    <w:tbl>
      <w:tblPr>
        <w:tblStyle w:val="10"/>
        <w:tblW w:w="7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905"/>
        <w:gridCol w:w="3368"/>
      </w:tblGrid>
      <w:tr w14:paraId="4D3B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8" w:type="dxa"/>
            <w:vMerge w:val="restart"/>
            <w:vAlign w:val="center"/>
          </w:tcPr>
          <w:p w14:paraId="6DF6EB39">
            <w:pPr>
              <w:snapToGrid w:val="0"/>
              <w:jc w:val="center"/>
              <w:rPr>
                <w:rFonts w:ascii="宋体" w:hAnsi="宋体" w:cs="宋体"/>
                <w:color w:val="000000"/>
                <w:kern w:val="0"/>
                <w:sz w:val="20"/>
              </w:rPr>
            </w:pPr>
            <w:r>
              <w:rPr>
                <w:rFonts w:hint="eastAsia" w:ascii="宋体" w:hAnsi="宋体" w:cs="宋体"/>
                <w:color w:val="000000"/>
                <w:kern w:val="0"/>
                <w:sz w:val="20"/>
              </w:rPr>
              <w:t>序号</w:t>
            </w:r>
          </w:p>
        </w:tc>
        <w:tc>
          <w:tcPr>
            <w:tcW w:w="2905" w:type="dxa"/>
            <w:vMerge w:val="restart"/>
            <w:vAlign w:val="center"/>
          </w:tcPr>
          <w:p w14:paraId="31BAF55C">
            <w:pPr>
              <w:snapToGrid w:val="0"/>
              <w:jc w:val="center"/>
              <w:rPr>
                <w:rFonts w:ascii="宋体" w:hAnsi="宋体" w:cs="宋体"/>
                <w:color w:val="000000"/>
                <w:kern w:val="0"/>
                <w:sz w:val="20"/>
              </w:rPr>
            </w:pPr>
            <w:r>
              <w:rPr>
                <w:rFonts w:hint="eastAsia" w:ascii="宋体" w:hAnsi="宋体" w:cs="宋体"/>
                <w:color w:val="000000"/>
                <w:kern w:val="0"/>
                <w:sz w:val="20"/>
              </w:rPr>
              <w:t>检验项目</w:t>
            </w:r>
          </w:p>
        </w:tc>
        <w:tc>
          <w:tcPr>
            <w:tcW w:w="3368" w:type="dxa"/>
            <w:vMerge w:val="restart"/>
            <w:vAlign w:val="center"/>
          </w:tcPr>
          <w:p w14:paraId="1CF1887B">
            <w:pPr>
              <w:snapToGrid w:val="0"/>
              <w:jc w:val="center"/>
              <w:rPr>
                <w:rFonts w:ascii="宋体" w:hAnsi="宋体" w:cs="宋体"/>
                <w:color w:val="000000"/>
                <w:kern w:val="0"/>
                <w:sz w:val="20"/>
              </w:rPr>
            </w:pPr>
            <w:r>
              <w:rPr>
                <w:rFonts w:hint="eastAsia" w:ascii="宋体" w:hAnsi="宋体" w:cs="宋体"/>
                <w:color w:val="000000"/>
                <w:kern w:val="0"/>
                <w:sz w:val="20"/>
              </w:rPr>
              <w:t>检验方法</w:t>
            </w:r>
          </w:p>
        </w:tc>
      </w:tr>
      <w:tr w14:paraId="0032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8" w:type="dxa"/>
            <w:vMerge w:val="continue"/>
            <w:vAlign w:val="center"/>
          </w:tcPr>
          <w:p w14:paraId="01179C60">
            <w:pPr>
              <w:adjustRightInd w:val="0"/>
              <w:snapToGrid w:val="0"/>
              <w:jc w:val="center"/>
              <w:rPr>
                <w:rFonts w:ascii="宋体" w:hAnsi="宋体"/>
                <w:color w:val="000000"/>
                <w:sz w:val="18"/>
                <w:szCs w:val="18"/>
              </w:rPr>
            </w:pPr>
          </w:p>
        </w:tc>
        <w:tc>
          <w:tcPr>
            <w:tcW w:w="2905" w:type="dxa"/>
            <w:vMerge w:val="continue"/>
            <w:vAlign w:val="center"/>
          </w:tcPr>
          <w:p w14:paraId="62A4C31D">
            <w:pPr>
              <w:adjustRightInd w:val="0"/>
              <w:snapToGrid w:val="0"/>
              <w:jc w:val="center"/>
              <w:rPr>
                <w:rFonts w:ascii="宋体" w:hAnsi="宋体"/>
                <w:color w:val="000000"/>
                <w:sz w:val="18"/>
                <w:szCs w:val="18"/>
              </w:rPr>
            </w:pPr>
          </w:p>
        </w:tc>
        <w:tc>
          <w:tcPr>
            <w:tcW w:w="3368" w:type="dxa"/>
            <w:vMerge w:val="continue"/>
            <w:vAlign w:val="center"/>
          </w:tcPr>
          <w:p w14:paraId="3F302BBC">
            <w:pPr>
              <w:adjustRightInd w:val="0"/>
              <w:snapToGrid w:val="0"/>
              <w:jc w:val="center"/>
              <w:rPr>
                <w:rFonts w:ascii="宋体" w:hAnsi="宋体"/>
                <w:color w:val="000000"/>
                <w:sz w:val="18"/>
                <w:szCs w:val="18"/>
              </w:rPr>
            </w:pPr>
          </w:p>
        </w:tc>
      </w:tr>
      <w:tr w14:paraId="3EF3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2C3D75CF">
            <w:pPr>
              <w:snapToGrid w:val="0"/>
              <w:jc w:val="center"/>
              <w:rPr>
                <w:rFonts w:ascii="宋体" w:hAnsi="宋体" w:cs="宋体"/>
                <w:color w:val="000000"/>
                <w:kern w:val="0"/>
                <w:sz w:val="20"/>
              </w:rPr>
            </w:pPr>
            <w:r>
              <w:rPr>
                <w:rFonts w:hint="eastAsia" w:ascii="宋体" w:hAnsi="宋体" w:cs="宋体"/>
                <w:color w:val="000000"/>
                <w:kern w:val="0"/>
                <w:sz w:val="20"/>
              </w:rPr>
              <w:t>1</w:t>
            </w:r>
          </w:p>
        </w:tc>
        <w:tc>
          <w:tcPr>
            <w:tcW w:w="2905" w:type="dxa"/>
            <w:shd w:val="clear" w:color="auto" w:fill="auto"/>
            <w:vAlign w:val="center"/>
          </w:tcPr>
          <w:p w14:paraId="31F9FB14">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气密性</w:t>
            </w:r>
          </w:p>
        </w:tc>
        <w:tc>
          <w:tcPr>
            <w:tcW w:w="3368" w:type="dxa"/>
            <w:shd w:val="clear" w:color="auto" w:fill="auto"/>
            <w:vAlign w:val="center"/>
          </w:tcPr>
          <w:p w14:paraId="24A64401">
            <w:pPr>
              <w:snapToGrid w:val="0"/>
              <w:jc w:val="center"/>
              <w:rPr>
                <w:rFonts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5D35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0DE390D1">
            <w:pPr>
              <w:snapToGrid w:val="0"/>
              <w:jc w:val="center"/>
              <w:rPr>
                <w:rFonts w:ascii="宋体" w:hAnsi="宋体" w:cs="宋体"/>
                <w:color w:val="000000"/>
                <w:kern w:val="0"/>
                <w:sz w:val="20"/>
              </w:rPr>
            </w:pPr>
            <w:r>
              <w:rPr>
                <w:rFonts w:hint="eastAsia" w:ascii="宋体" w:hAnsi="宋体" w:cs="宋体"/>
                <w:color w:val="000000"/>
                <w:kern w:val="0"/>
                <w:sz w:val="20"/>
              </w:rPr>
              <w:t>2</w:t>
            </w:r>
          </w:p>
        </w:tc>
        <w:tc>
          <w:tcPr>
            <w:tcW w:w="2905" w:type="dxa"/>
            <w:shd w:val="clear" w:color="auto" w:fill="auto"/>
            <w:vAlign w:val="center"/>
          </w:tcPr>
          <w:p w14:paraId="7AE3D1E9">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耐压性</w:t>
            </w:r>
          </w:p>
        </w:tc>
        <w:tc>
          <w:tcPr>
            <w:tcW w:w="3368" w:type="dxa"/>
            <w:shd w:val="clear" w:color="auto" w:fill="auto"/>
            <w:vAlign w:val="center"/>
          </w:tcPr>
          <w:p w14:paraId="0399F7D7">
            <w:pPr>
              <w:snapToGrid w:val="0"/>
              <w:jc w:val="center"/>
              <w:rPr>
                <w:rFonts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4C19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43E6E902">
            <w:pPr>
              <w:snapToGrid w:val="0"/>
              <w:jc w:val="center"/>
              <w:rPr>
                <w:rFonts w:ascii="宋体" w:hAnsi="宋体" w:cs="宋体"/>
                <w:color w:val="000000"/>
                <w:kern w:val="0"/>
                <w:sz w:val="20"/>
              </w:rPr>
            </w:pPr>
            <w:r>
              <w:rPr>
                <w:rFonts w:hint="eastAsia" w:ascii="宋体" w:hAnsi="宋体" w:cs="宋体"/>
                <w:color w:val="000000"/>
                <w:kern w:val="0"/>
                <w:sz w:val="20"/>
              </w:rPr>
              <w:t>3</w:t>
            </w:r>
          </w:p>
        </w:tc>
        <w:tc>
          <w:tcPr>
            <w:tcW w:w="2905" w:type="dxa"/>
            <w:shd w:val="clear" w:color="auto" w:fill="auto"/>
            <w:vAlign w:val="center"/>
          </w:tcPr>
          <w:p w14:paraId="165FEB27">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抗拉性</w:t>
            </w:r>
          </w:p>
        </w:tc>
        <w:tc>
          <w:tcPr>
            <w:tcW w:w="3368" w:type="dxa"/>
            <w:shd w:val="clear" w:color="auto" w:fill="auto"/>
            <w:vAlign w:val="center"/>
          </w:tcPr>
          <w:p w14:paraId="7861A60D">
            <w:pPr>
              <w:snapToGrid w:val="0"/>
              <w:jc w:val="center"/>
              <w:rPr>
                <w:rFonts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638F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198BA4D5">
            <w:pPr>
              <w:snapToGrid w:val="0"/>
              <w:jc w:val="center"/>
              <w:rPr>
                <w:rFonts w:ascii="宋体" w:hAnsi="宋体" w:cs="宋体"/>
                <w:color w:val="000000"/>
                <w:kern w:val="0"/>
                <w:sz w:val="20"/>
              </w:rPr>
            </w:pPr>
            <w:r>
              <w:rPr>
                <w:rFonts w:hint="eastAsia" w:ascii="宋体" w:hAnsi="宋体" w:cs="宋体"/>
                <w:color w:val="000000"/>
                <w:kern w:val="0"/>
                <w:sz w:val="20"/>
              </w:rPr>
              <w:t>4</w:t>
            </w:r>
          </w:p>
        </w:tc>
        <w:tc>
          <w:tcPr>
            <w:tcW w:w="2905" w:type="dxa"/>
            <w:shd w:val="clear" w:color="auto" w:fill="auto"/>
            <w:vAlign w:val="center"/>
          </w:tcPr>
          <w:p w14:paraId="7EEDFD89">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弯曲性</w:t>
            </w:r>
          </w:p>
        </w:tc>
        <w:tc>
          <w:tcPr>
            <w:tcW w:w="3368" w:type="dxa"/>
            <w:shd w:val="clear" w:color="auto" w:fill="auto"/>
            <w:vAlign w:val="center"/>
          </w:tcPr>
          <w:p w14:paraId="2B1D658B">
            <w:pPr>
              <w:snapToGrid w:val="0"/>
              <w:jc w:val="center"/>
              <w:rPr>
                <w:rFonts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3C82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6010AF81">
            <w:pPr>
              <w:snapToGrid w:val="0"/>
              <w:jc w:val="center"/>
              <w:rPr>
                <w:rFonts w:ascii="宋体" w:hAnsi="宋体" w:cs="宋体"/>
                <w:color w:val="000000"/>
                <w:kern w:val="0"/>
                <w:sz w:val="20"/>
              </w:rPr>
            </w:pPr>
            <w:r>
              <w:rPr>
                <w:rFonts w:hint="eastAsia" w:ascii="宋体" w:hAnsi="宋体" w:cs="宋体"/>
                <w:color w:val="000000"/>
                <w:kern w:val="0"/>
                <w:sz w:val="20"/>
              </w:rPr>
              <w:t>5</w:t>
            </w:r>
          </w:p>
        </w:tc>
        <w:tc>
          <w:tcPr>
            <w:tcW w:w="2905" w:type="dxa"/>
            <w:shd w:val="clear" w:color="auto" w:fill="auto"/>
            <w:vAlign w:val="center"/>
          </w:tcPr>
          <w:p w14:paraId="0E9823AF">
            <w:pPr>
              <w:jc w:val="center"/>
              <w:rPr>
                <w:rFonts w:hint="eastAsia" w:ascii="宋体" w:hAnsi="宋体" w:eastAsia="宋体" w:cs="宋体"/>
                <w:kern w:val="2"/>
                <w:sz w:val="20"/>
                <w:lang w:val="en-US" w:eastAsia="zh-CN" w:bidi="ar-SA"/>
              </w:rPr>
            </w:pPr>
            <w:r>
              <w:rPr>
                <w:rFonts w:hint="eastAsia"/>
                <w:sz w:val="20"/>
              </w:rPr>
              <w:t>耐热性</w:t>
            </w:r>
          </w:p>
        </w:tc>
        <w:tc>
          <w:tcPr>
            <w:tcW w:w="3368" w:type="dxa"/>
            <w:shd w:val="clear" w:color="auto" w:fill="auto"/>
            <w:vAlign w:val="center"/>
          </w:tcPr>
          <w:p w14:paraId="2B20D0A9">
            <w:pPr>
              <w:snapToGrid w:val="0"/>
              <w:jc w:val="center"/>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71B3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vAlign w:val="center"/>
          </w:tcPr>
          <w:p w14:paraId="786C8C0E">
            <w:pPr>
              <w:snapToGrid w:val="0"/>
              <w:jc w:val="center"/>
              <w:rPr>
                <w:rFonts w:ascii="宋体" w:hAnsi="宋体" w:cs="宋体"/>
                <w:color w:val="000000"/>
                <w:kern w:val="0"/>
                <w:sz w:val="20"/>
              </w:rPr>
            </w:pPr>
            <w:r>
              <w:rPr>
                <w:rFonts w:hint="eastAsia" w:ascii="宋体" w:hAnsi="宋体" w:cs="宋体"/>
                <w:color w:val="000000"/>
                <w:kern w:val="0"/>
                <w:sz w:val="20"/>
              </w:rPr>
              <w:t>6</w:t>
            </w:r>
          </w:p>
        </w:tc>
        <w:tc>
          <w:tcPr>
            <w:tcW w:w="2905" w:type="dxa"/>
            <w:shd w:val="clear" w:color="auto" w:fill="auto"/>
            <w:vAlign w:val="center"/>
          </w:tcPr>
          <w:p w14:paraId="0CACDDE6">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耐冲击性</w:t>
            </w:r>
          </w:p>
        </w:tc>
        <w:tc>
          <w:tcPr>
            <w:tcW w:w="3368" w:type="dxa"/>
            <w:shd w:val="clear" w:color="auto" w:fill="auto"/>
            <w:vAlign w:val="center"/>
          </w:tcPr>
          <w:p w14:paraId="691633B8">
            <w:pPr>
              <w:snapToGrid w:val="0"/>
              <w:jc w:val="center"/>
              <w:rPr>
                <w:rFonts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1A29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shd w:val="clear" w:color="auto" w:fill="auto"/>
            <w:vAlign w:val="center"/>
          </w:tcPr>
          <w:p w14:paraId="12CAE3C9">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7</w:t>
            </w:r>
          </w:p>
        </w:tc>
        <w:tc>
          <w:tcPr>
            <w:tcW w:w="2905" w:type="dxa"/>
            <w:shd w:val="clear" w:color="auto" w:fill="auto"/>
            <w:vAlign w:val="center"/>
          </w:tcPr>
          <w:p w14:paraId="29C2E9B2">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耐安装性</w:t>
            </w:r>
          </w:p>
        </w:tc>
        <w:tc>
          <w:tcPr>
            <w:tcW w:w="3368" w:type="dxa"/>
            <w:shd w:val="clear" w:color="auto" w:fill="auto"/>
            <w:vAlign w:val="center"/>
          </w:tcPr>
          <w:p w14:paraId="74F2ABE1">
            <w:pPr>
              <w:snapToGrid w:val="0"/>
              <w:jc w:val="center"/>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2F1E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shd w:val="clear" w:color="auto" w:fill="auto"/>
            <w:vAlign w:val="center"/>
          </w:tcPr>
          <w:p w14:paraId="5998610C">
            <w:pPr>
              <w:snapToGrid w:val="0"/>
              <w:jc w:val="center"/>
              <w:rPr>
                <w:rFonts w:ascii="宋体" w:hAnsi="宋体" w:eastAsia="宋体" w:cs="宋体"/>
                <w:color w:val="000000"/>
                <w:kern w:val="0"/>
                <w:sz w:val="20"/>
                <w:lang w:val="en-US" w:eastAsia="zh-CN" w:bidi="ar-SA"/>
              </w:rPr>
            </w:pPr>
            <w:r>
              <w:rPr>
                <w:rFonts w:hint="eastAsia" w:ascii="宋体" w:hAnsi="宋体" w:cs="宋体"/>
                <w:color w:val="000000"/>
                <w:kern w:val="0"/>
                <w:sz w:val="20"/>
              </w:rPr>
              <w:t>8</w:t>
            </w:r>
          </w:p>
        </w:tc>
        <w:tc>
          <w:tcPr>
            <w:tcW w:w="2905" w:type="dxa"/>
            <w:shd w:val="clear" w:color="auto" w:fill="auto"/>
            <w:vAlign w:val="center"/>
          </w:tcPr>
          <w:p w14:paraId="17877553">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lang w:val="en-US" w:eastAsia="zh-CN"/>
              </w:rPr>
              <w:t>耐应力腐蚀性</w:t>
            </w:r>
          </w:p>
        </w:tc>
        <w:tc>
          <w:tcPr>
            <w:tcW w:w="3368" w:type="dxa"/>
            <w:shd w:val="clear" w:color="auto" w:fill="auto"/>
            <w:vAlign w:val="center"/>
          </w:tcPr>
          <w:p w14:paraId="4195202C">
            <w:pPr>
              <w:snapToGrid w:val="0"/>
              <w:jc w:val="center"/>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3E0F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shd w:val="clear" w:color="auto" w:fill="auto"/>
            <w:vAlign w:val="center"/>
          </w:tcPr>
          <w:p w14:paraId="2C47247B">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9</w:t>
            </w:r>
          </w:p>
        </w:tc>
        <w:tc>
          <w:tcPr>
            <w:tcW w:w="2905" w:type="dxa"/>
            <w:shd w:val="clear" w:color="auto" w:fill="auto"/>
            <w:vAlign w:val="center"/>
          </w:tcPr>
          <w:p w14:paraId="40336A3E">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阻燃性</w:t>
            </w:r>
          </w:p>
        </w:tc>
        <w:tc>
          <w:tcPr>
            <w:tcW w:w="3368" w:type="dxa"/>
            <w:shd w:val="clear" w:color="auto" w:fill="auto"/>
            <w:vAlign w:val="center"/>
          </w:tcPr>
          <w:p w14:paraId="4D9B8696">
            <w:pPr>
              <w:snapToGrid w:val="0"/>
              <w:jc w:val="center"/>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r w14:paraId="7081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8" w:type="dxa"/>
            <w:shd w:val="clear" w:color="auto" w:fill="auto"/>
            <w:vAlign w:val="center"/>
          </w:tcPr>
          <w:p w14:paraId="4A931B3C">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10</w:t>
            </w:r>
          </w:p>
        </w:tc>
        <w:tc>
          <w:tcPr>
            <w:tcW w:w="2905" w:type="dxa"/>
            <w:shd w:val="clear" w:color="auto" w:fill="auto"/>
            <w:vAlign w:val="center"/>
          </w:tcPr>
          <w:p w14:paraId="1EB493D1">
            <w:pPr>
              <w:snapToGrid w:val="0"/>
              <w:jc w:val="center"/>
              <w:rPr>
                <w:rFonts w:hint="eastAsia" w:ascii="宋体" w:hAnsi="宋体" w:eastAsia="宋体" w:cs="宋体"/>
                <w:color w:val="000000"/>
                <w:kern w:val="0"/>
                <w:sz w:val="20"/>
                <w:lang w:val="en-US" w:eastAsia="zh-CN" w:bidi="ar-SA"/>
              </w:rPr>
            </w:pPr>
            <w:r>
              <w:rPr>
                <w:rFonts w:hint="eastAsia" w:ascii="宋体" w:hAnsi="宋体" w:cs="宋体"/>
                <w:color w:val="000000"/>
                <w:kern w:val="0"/>
                <w:sz w:val="20"/>
              </w:rPr>
              <w:t>耐冷热变化性</w:t>
            </w:r>
          </w:p>
        </w:tc>
        <w:tc>
          <w:tcPr>
            <w:tcW w:w="3368" w:type="dxa"/>
            <w:shd w:val="clear" w:color="auto" w:fill="auto"/>
            <w:vAlign w:val="center"/>
          </w:tcPr>
          <w:p w14:paraId="1B93CF92">
            <w:pPr>
              <w:snapToGrid w:val="0"/>
              <w:jc w:val="center"/>
              <w:rPr>
                <w:rFonts w:hint="eastAsia" w:ascii="宋体" w:hAnsi="宋体" w:eastAsia="宋体" w:cs="宋体"/>
                <w:color w:val="000000"/>
                <w:kern w:val="0"/>
                <w:sz w:val="20"/>
                <w:lang w:val="en-US" w:eastAsia="zh-CN" w:bidi="ar-SA"/>
              </w:rPr>
            </w:pPr>
            <w:r>
              <w:rPr>
                <w:rFonts w:hint="eastAsia" w:ascii="宋体" w:hAnsi="宋体" w:eastAsia="宋体" w:cs="宋体"/>
                <w:color w:val="000000"/>
                <w:kern w:val="0"/>
                <w:sz w:val="20"/>
              </w:rPr>
              <w:t xml:space="preserve">GB </w:t>
            </w:r>
            <w:r>
              <w:rPr>
                <w:rFonts w:hint="eastAsia" w:ascii="宋体" w:hAnsi="宋体" w:eastAsia="宋体" w:cs="宋体"/>
                <w:color w:val="000000"/>
                <w:kern w:val="0"/>
                <w:sz w:val="20"/>
                <w:lang w:val="en-US" w:eastAsia="zh-CN"/>
              </w:rPr>
              <w:t>41317</w:t>
            </w:r>
            <w:r>
              <w:rPr>
                <w:rFonts w:hint="eastAsia" w:ascii="宋体" w:hAnsi="宋体" w:eastAsia="宋体" w:cs="宋体"/>
                <w:color w:val="000000"/>
                <w:kern w:val="0"/>
                <w:sz w:val="20"/>
              </w:rPr>
              <w:t>-20</w:t>
            </w:r>
            <w:r>
              <w:rPr>
                <w:rFonts w:hint="eastAsia" w:ascii="宋体" w:hAnsi="宋体" w:eastAsia="宋体" w:cs="宋体"/>
                <w:color w:val="000000"/>
                <w:kern w:val="0"/>
                <w:sz w:val="20"/>
                <w:lang w:val="en-US" w:eastAsia="zh-CN"/>
              </w:rPr>
              <w:t>24</w:t>
            </w:r>
          </w:p>
        </w:tc>
      </w:tr>
    </w:tbl>
    <w:p w14:paraId="3B2D3C06">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244D9757">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AC6C43B">
      <w:pPr>
        <w:snapToGrid w:val="0"/>
        <w:spacing w:line="440" w:lineRule="exact"/>
        <w:rPr>
          <w:rFonts w:ascii="黑体" w:hAnsi="宋体" w:eastAsia="黑体"/>
          <w:b/>
          <w:bCs/>
          <w:szCs w:val="21"/>
        </w:rPr>
      </w:pPr>
      <w:r>
        <w:rPr>
          <w:rFonts w:ascii="黑体" w:hAnsi="宋体" w:eastAsia="黑体"/>
          <w:b/>
          <w:bCs/>
          <w:szCs w:val="21"/>
        </w:rPr>
        <w:t>3 判定规则</w:t>
      </w:r>
    </w:p>
    <w:p w14:paraId="16DB9D06">
      <w:pPr>
        <w:snapToGrid w:val="0"/>
        <w:spacing w:line="440" w:lineRule="exact"/>
        <w:rPr>
          <w:rFonts w:ascii="宋体" w:hAnsi="宋体"/>
          <w:b/>
          <w:bCs/>
          <w:szCs w:val="21"/>
        </w:rPr>
      </w:pPr>
      <w:r>
        <w:rPr>
          <w:rFonts w:ascii="宋体" w:hAnsi="宋体"/>
          <w:b/>
          <w:bCs/>
          <w:szCs w:val="21"/>
        </w:rPr>
        <w:t>3.1依据标准</w:t>
      </w:r>
    </w:p>
    <w:p w14:paraId="735ABCE6">
      <w:pPr>
        <w:snapToGrid w:val="0"/>
        <w:spacing w:line="440" w:lineRule="exact"/>
        <w:ind w:firstLine="420" w:firstLineChars="200"/>
        <w:rPr>
          <w:rFonts w:ascii="宋体" w:hAnsi="宋体"/>
          <w:szCs w:val="21"/>
        </w:rPr>
      </w:pPr>
      <w:r>
        <w:rPr>
          <w:rFonts w:ascii="宋体" w:hAnsi="宋体"/>
          <w:szCs w:val="21"/>
        </w:rPr>
        <w:t>产品标准：</w:t>
      </w:r>
    </w:p>
    <w:p w14:paraId="76F30EB9">
      <w:pPr>
        <w:snapToGrid w:val="0"/>
        <w:ind w:firstLine="420" w:firstLineChars="200"/>
        <w:jc w:val="both"/>
        <w:rPr>
          <w:rFonts w:hint="eastAsia" w:ascii="宋体" w:hAnsi="宋体" w:eastAsia="宋体" w:cs="Times New Roman"/>
          <w:szCs w:val="21"/>
        </w:rPr>
      </w:pPr>
      <w:r>
        <w:rPr>
          <w:rFonts w:hint="eastAsia" w:ascii="宋体" w:hAnsi="宋体" w:eastAsia="宋体" w:cs="Times New Roman"/>
          <w:szCs w:val="21"/>
        </w:rPr>
        <w:t xml:space="preserve">GB </w:t>
      </w:r>
      <w:r>
        <w:rPr>
          <w:rFonts w:hint="eastAsia" w:ascii="宋体" w:hAnsi="宋体" w:eastAsia="宋体" w:cs="Times New Roman"/>
          <w:szCs w:val="21"/>
          <w:lang w:val="en-US" w:eastAsia="zh-CN"/>
        </w:rPr>
        <w:t>41317</w:t>
      </w:r>
      <w:r>
        <w:rPr>
          <w:rFonts w:hint="eastAsia" w:ascii="宋体" w:hAnsi="宋体" w:eastAsia="宋体" w:cs="Times New Roman"/>
          <w:szCs w:val="21"/>
        </w:rPr>
        <w:t>-20</w:t>
      </w:r>
      <w:r>
        <w:rPr>
          <w:rFonts w:hint="eastAsia" w:ascii="宋体" w:hAnsi="宋体" w:eastAsia="宋体" w:cs="Times New Roman"/>
          <w:szCs w:val="21"/>
          <w:lang w:val="en-US" w:eastAsia="zh-CN"/>
        </w:rPr>
        <w:t xml:space="preserve">24 </w:t>
      </w:r>
      <w:r>
        <w:rPr>
          <w:rFonts w:hint="eastAsia" w:ascii="宋体" w:hAnsi="宋体" w:eastAsia="宋体" w:cs="Times New Roman"/>
          <w:szCs w:val="21"/>
        </w:rPr>
        <w:t xml:space="preserve"> 燃气用具连接用不锈钢波纹软管</w:t>
      </w:r>
    </w:p>
    <w:p w14:paraId="40B91385">
      <w:pPr>
        <w:snapToGrid w:val="0"/>
        <w:spacing w:line="440" w:lineRule="exact"/>
        <w:ind w:firstLine="420" w:firstLineChars="200"/>
        <w:rPr>
          <w:rFonts w:ascii="宋体" w:hAnsi="宋体"/>
          <w:szCs w:val="21"/>
        </w:rPr>
      </w:pPr>
      <w:r>
        <w:rPr>
          <w:rFonts w:ascii="宋体" w:hAnsi="宋体"/>
          <w:szCs w:val="21"/>
        </w:rPr>
        <w:t>现行有效的企业标准、团体标准、地方标准及产品明示质量要求。</w:t>
      </w:r>
    </w:p>
    <w:p w14:paraId="658466F8">
      <w:pPr>
        <w:snapToGrid w:val="0"/>
        <w:spacing w:line="440" w:lineRule="exact"/>
        <w:ind w:firstLine="200"/>
        <w:rPr>
          <w:rFonts w:ascii="宋体" w:hAnsi="宋体"/>
          <w:b/>
          <w:bCs/>
          <w:szCs w:val="21"/>
        </w:rPr>
      </w:pPr>
      <w:r>
        <w:rPr>
          <w:rFonts w:ascii="宋体" w:hAnsi="宋体"/>
          <w:b/>
          <w:bCs/>
          <w:szCs w:val="21"/>
        </w:rPr>
        <w:t>3.2 判定原则</w:t>
      </w:r>
    </w:p>
    <w:p w14:paraId="01A7D951">
      <w:pPr>
        <w:snapToGrid w:val="0"/>
        <w:spacing w:line="440" w:lineRule="exact"/>
        <w:ind w:firstLine="420" w:firstLineChars="200"/>
        <w:rPr>
          <w:rFonts w:ascii="宋体" w:hAnsi="宋体"/>
          <w:szCs w:val="21"/>
        </w:rPr>
      </w:pPr>
      <w:r>
        <w:rPr>
          <w:rFonts w:ascii="宋体" w:hAnsi="宋体"/>
          <w:szCs w:val="21"/>
        </w:rPr>
        <w:t>经检验，检验项目全部合格，判定为被抽查产品</w:t>
      </w:r>
      <w:r>
        <w:rPr>
          <w:rFonts w:hint="eastAsia" w:ascii="宋体" w:hAnsi="宋体"/>
          <w:szCs w:val="21"/>
        </w:rPr>
        <w:t>未发现不</w:t>
      </w:r>
      <w:r>
        <w:rPr>
          <w:rFonts w:ascii="宋体" w:hAnsi="宋体"/>
          <w:szCs w:val="21"/>
        </w:rPr>
        <w:t>合格；检验项目中任一项或一项以上不合格，判定为被抽</w:t>
      </w:r>
      <w:r>
        <w:rPr>
          <w:rFonts w:hint="eastAsia" w:ascii="宋体" w:hAnsi="宋体"/>
          <w:szCs w:val="21"/>
          <w:lang w:eastAsia="zh-CN"/>
        </w:rPr>
        <w:t>查</w:t>
      </w:r>
      <w:r>
        <w:rPr>
          <w:rFonts w:ascii="宋体" w:hAnsi="宋体"/>
          <w:szCs w:val="21"/>
        </w:rPr>
        <w:t>产品不合格。</w:t>
      </w:r>
    </w:p>
    <w:p w14:paraId="240E3ED6">
      <w:pPr>
        <w:snapToGrid w:val="0"/>
        <w:spacing w:line="440" w:lineRule="exact"/>
        <w:ind w:firstLine="420" w:firstLineChars="200"/>
        <w:rPr>
          <w:rFonts w:ascii="宋体" w:hAnsi="宋体"/>
          <w:szCs w:val="21"/>
        </w:rPr>
      </w:pPr>
      <w:r>
        <w:rPr>
          <w:rFonts w:ascii="宋体" w:hAnsi="宋体"/>
          <w:szCs w:val="21"/>
        </w:rPr>
        <w:t>若被检产品明示的质量要求高于本细则中检验项目依据的标准要求时，应按被检产品明示的质量要求判定。</w:t>
      </w:r>
    </w:p>
    <w:p w14:paraId="5A56B826">
      <w:pPr>
        <w:snapToGrid w:val="0"/>
        <w:spacing w:line="440" w:lineRule="exact"/>
        <w:ind w:firstLine="420" w:firstLineChars="200"/>
        <w:rPr>
          <w:rFonts w:ascii="宋体" w:hAnsi="宋体"/>
          <w:szCs w:val="21"/>
        </w:rPr>
      </w:pPr>
      <w:r>
        <w:rPr>
          <w:rFonts w:ascii="宋体" w:hAnsi="宋体"/>
          <w:szCs w:val="21"/>
        </w:rPr>
        <w:t>若被检产品明示的质量要求低于本细则中检验项目依据的强制性标准要求时，应按照强制性标准要求判定。</w:t>
      </w:r>
    </w:p>
    <w:p w14:paraId="14195D88">
      <w:pPr>
        <w:snapToGrid w:val="0"/>
        <w:spacing w:line="440" w:lineRule="exact"/>
        <w:ind w:firstLine="420" w:firstLineChars="200"/>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14:paraId="58B3506F">
      <w:pPr>
        <w:snapToGrid w:val="0"/>
        <w:spacing w:line="440" w:lineRule="exact"/>
        <w:ind w:firstLine="420" w:firstLineChars="200"/>
        <w:rPr>
          <w:rFonts w:ascii="宋体" w:hAnsi="宋体"/>
          <w:szCs w:val="21"/>
        </w:rPr>
      </w:pPr>
      <w:r>
        <w:rPr>
          <w:rFonts w:ascii="宋体" w:hAnsi="宋体"/>
          <w:szCs w:val="21"/>
        </w:rPr>
        <w:t>若被检产品明示的质量要求缺少本细则中检验项目依据的强制性</w:t>
      </w:r>
      <w:bookmarkStart w:id="0" w:name="_GoBack"/>
      <w:r>
        <w:rPr>
          <w:rFonts w:hint="eastAsia" w:ascii="宋体" w:hAnsi="宋体"/>
          <w:szCs w:val="21"/>
          <w:lang w:eastAsia="zh-CN"/>
        </w:rPr>
        <w:t>标准</w:t>
      </w:r>
      <w:bookmarkEnd w:id="0"/>
      <w:r>
        <w:rPr>
          <w:rFonts w:ascii="宋体" w:hAnsi="宋体"/>
          <w:szCs w:val="21"/>
        </w:rPr>
        <w:t>要求时，应按照强制性标准要求判定</w:t>
      </w:r>
    </w:p>
    <w:p w14:paraId="2A159F47">
      <w:pPr>
        <w:snapToGrid w:val="0"/>
        <w:spacing w:line="440" w:lineRule="exact"/>
        <w:ind w:firstLine="420" w:firstLineChars="200"/>
        <w:rPr>
          <w:b/>
          <w:color w:val="000000"/>
          <w:szCs w:val="21"/>
        </w:rPr>
      </w:pPr>
      <w:r>
        <w:rPr>
          <w:rFonts w:ascii="宋体" w:hAnsi="宋体"/>
          <w:szCs w:val="21"/>
        </w:rPr>
        <w:t>若被检产品明示的质量要求缺少本细则中检验项目依据的推荐性标准要求时。该项目不参与判定，但应在检验报告备注中进行说明。</w:t>
      </w:r>
    </w:p>
    <w:p w14:paraId="60EB1EB7">
      <w:pPr>
        <w:adjustRightInd w:val="0"/>
        <w:snapToGrid w:val="0"/>
        <w:spacing w:line="360" w:lineRule="auto"/>
        <w:ind w:firstLine="420" w:firstLineChars="200"/>
      </w:pPr>
      <w:r>
        <w:rPr>
          <w:kern w:val="0"/>
          <w:szCs w:val="21"/>
        </w:rPr>
        <mc:AlternateContent>
          <mc:Choice Requires="wps">
            <w:drawing>
              <wp:anchor distT="0" distB="0" distL="114300" distR="114300" simplePos="0" relativeHeight="251661312" behindDoc="0" locked="0" layoutInCell="1" allowOverlap="1">
                <wp:simplePos x="0" y="0"/>
                <wp:positionH relativeFrom="margin">
                  <wp:posOffset>1449070</wp:posOffset>
                </wp:positionH>
                <wp:positionV relativeFrom="paragraph">
                  <wp:posOffset>191135</wp:posOffset>
                </wp:positionV>
                <wp:extent cx="2562225" cy="0"/>
                <wp:effectExtent l="0" t="4445" r="0" b="5080"/>
                <wp:wrapNone/>
                <wp:docPr id="1" name="直线 4"/>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a:effectLst/>
                      </wps:spPr>
                      <wps:bodyPr/>
                    </wps:wsp>
                  </a:graphicData>
                </a:graphic>
              </wp:anchor>
            </w:drawing>
          </mc:Choice>
          <mc:Fallback>
            <w:pict>
              <v:line id="直线 4" o:spid="_x0000_s1026" o:spt="20" style="position:absolute;left:0pt;margin-left:114.1pt;margin-top:15.05pt;height:0pt;width:201.75pt;mso-position-horizontal-relative:margin;z-index:251661312;mso-width-relative:page;mso-height-relative:page;" filled="f" stroked="t" coordsize="21600,21600" o:gfxdata="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tq2pNYAAAAJAQAADwAAAAAA&#10;AAABACAAAAAiAAAAZHJzL2Rvd25yZXYueG1sUEsBAhQAFAAAAAgAh07iQOZa0JPcAQAArwMAAA4A&#10;AAAAAAAAAQAgAAAAJQEAAGRycy9lMm9Eb2MueG1sUEsFBgAAAAAGAAYAWQEAAHMFAAAAAA==&#10;">
                <v:fill on="f" focussize="0,0"/>
                <v:stroke color="#000000" joinstyle="round"/>
                <v:imagedata o:title=""/>
                <o:lock v:ext="edit" aspectratio="f"/>
              </v:line>
            </w:pict>
          </mc:Fallback>
        </mc:AlternateContent>
      </w:r>
    </w:p>
    <w:p w14:paraId="713FC818">
      <w:pPr>
        <w:adjustRightInd w:val="0"/>
        <w:snapToGrid w:val="0"/>
        <w:spacing w:line="360" w:lineRule="auto"/>
        <w:ind w:firstLine="420" w:firstLineChars="200"/>
      </w:pPr>
    </w:p>
    <w:p w14:paraId="1A8AC340">
      <w:pPr>
        <w:adjustRightInd w:val="0"/>
        <w:snapToGrid w:val="0"/>
        <w:spacing w:line="400" w:lineRule="exact"/>
        <w:ind w:right="142"/>
        <w:rPr>
          <w:rFonts w:eastAsia="黑体"/>
          <w:szCs w:val="21"/>
        </w:rPr>
      </w:pPr>
    </w:p>
    <w:sectPr>
      <w:footerReference r:id="rId5" w:type="first"/>
      <w:headerReference r:id="rId3" w:type="default"/>
      <w:footerReference r:id="rId4" w:type="default"/>
      <w:pgSz w:w="11906" w:h="16838"/>
      <w:pgMar w:top="1814" w:right="1474" w:bottom="1644" w:left="147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75011"/>
    </w:sdtPr>
    <w:sdtContent>
      <w:p w14:paraId="7033A69A">
        <w:pPr>
          <w:pStyle w:val="6"/>
          <w:jc w:val="center"/>
        </w:pPr>
        <w:r>
          <w:fldChar w:fldCharType="begin"/>
        </w:r>
        <w:r>
          <w:instrText xml:space="preserve"> PAGE   \* MERGEFORMAT </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4A48">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092F4">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yNWNjYTM0ZWY4YTY1ZGZlN2VkY2IyOGExMjRhODgifQ=="/>
  </w:docVars>
  <w:rsids>
    <w:rsidRoot w:val="00F07E3A"/>
    <w:rsid w:val="00003A02"/>
    <w:rsid w:val="000122A3"/>
    <w:rsid w:val="00015CA8"/>
    <w:rsid w:val="00026D22"/>
    <w:rsid w:val="00042CF8"/>
    <w:rsid w:val="00044A38"/>
    <w:rsid w:val="0005318D"/>
    <w:rsid w:val="00054F4C"/>
    <w:rsid w:val="00060E4A"/>
    <w:rsid w:val="00073579"/>
    <w:rsid w:val="000A43A4"/>
    <w:rsid w:val="000A69D1"/>
    <w:rsid w:val="000C40F1"/>
    <w:rsid w:val="000D6189"/>
    <w:rsid w:val="000E53D8"/>
    <w:rsid w:val="000E5738"/>
    <w:rsid w:val="000F49F4"/>
    <w:rsid w:val="000F6D92"/>
    <w:rsid w:val="00111858"/>
    <w:rsid w:val="00112961"/>
    <w:rsid w:val="0011782C"/>
    <w:rsid w:val="00130D19"/>
    <w:rsid w:val="00131D6F"/>
    <w:rsid w:val="00136C80"/>
    <w:rsid w:val="001468BE"/>
    <w:rsid w:val="00156C35"/>
    <w:rsid w:val="00184724"/>
    <w:rsid w:val="001966A2"/>
    <w:rsid w:val="001B7D48"/>
    <w:rsid w:val="001C00C0"/>
    <w:rsid w:val="001C601E"/>
    <w:rsid w:val="001D2F5B"/>
    <w:rsid w:val="001E36E1"/>
    <w:rsid w:val="00205454"/>
    <w:rsid w:val="00212CAA"/>
    <w:rsid w:val="00212DF0"/>
    <w:rsid w:val="002203D6"/>
    <w:rsid w:val="00233E96"/>
    <w:rsid w:val="0023491D"/>
    <w:rsid w:val="00253D0F"/>
    <w:rsid w:val="00276573"/>
    <w:rsid w:val="002B42B8"/>
    <w:rsid w:val="002C0672"/>
    <w:rsid w:val="002D4649"/>
    <w:rsid w:val="002E2C1A"/>
    <w:rsid w:val="002F56DA"/>
    <w:rsid w:val="00303F56"/>
    <w:rsid w:val="00307674"/>
    <w:rsid w:val="00341B91"/>
    <w:rsid w:val="00367CFE"/>
    <w:rsid w:val="003761D3"/>
    <w:rsid w:val="00384D07"/>
    <w:rsid w:val="00386736"/>
    <w:rsid w:val="00393E13"/>
    <w:rsid w:val="003A702B"/>
    <w:rsid w:val="003A75E6"/>
    <w:rsid w:val="003C0C7C"/>
    <w:rsid w:val="003E3664"/>
    <w:rsid w:val="003E54B5"/>
    <w:rsid w:val="003E76DB"/>
    <w:rsid w:val="003F134B"/>
    <w:rsid w:val="003F2CC8"/>
    <w:rsid w:val="003F6C3C"/>
    <w:rsid w:val="003F7FE3"/>
    <w:rsid w:val="004162BD"/>
    <w:rsid w:val="004246BD"/>
    <w:rsid w:val="0042690B"/>
    <w:rsid w:val="00433EE1"/>
    <w:rsid w:val="00435C47"/>
    <w:rsid w:val="00436DCA"/>
    <w:rsid w:val="00462A12"/>
    <w:rsid w:val="0047035A"/>
    <w:rsid w:val="0048464A"/>
    <w:rsid w:val="0048553F"/>
    <w:rsid w:val="00490CA6"/>
    <w:rsid w:val="00491319"/>
    <w:rsid w:val="004977BE"/>
    <w:rsid w:val="004A6050"/>
    <w:rsid w:val="004B6BB3"/>
    <w:rsid w:val="004C320B"/>
    <w:rsid w:val="004C3BF8"/>
    <w:rsid w:val="004D0498"/>
    <w:rsid w:val="004D0EDA"/>
    <w:rsid w:val="004D47D9"/>
    <w:rsid w:val="004D4B80"/>
    <w:rsid w:val="005151C5"/>
    <w:rsid w:val="00520BC7"/>
    <w:rsid w:val="0052239C"/>
    <w:rsid w:val="0052539B"/>
    <w:rsid w:val="00534C58"/>
    <w:rsid w:val="005436EA"/>
    <w:rsid w:val="0055279C"/>
    <w:rsid w:val="005573F2"/>
    <w:rsid w:val="005717D9"/>
    <w:rsid w:val="00580C17"/>
    <w:rsid w:val="005840C6"/>
    <w:rsid w:val="00587C96"/>
    <w:rsid w:val="005A0524"/>
    <w:rsid w:val="005B3C0B"/>
    <w:rsid w:val="005B6AD0"/>
    <w:rsid w:val="005C1D4A"/>
    <w:rsid w:val="005E0BB4"/>
    <w:rsid w:val="005F5925"/>
    <w:rsid w:val="005F5FEC"/>
    <w:rsid w:val="005F606F"/>
    <w:rsid w:val="005F6AB5"/>
    <w:rsid w:val="005F6D9F"/>
    <w:rsid w:val="00600795"/>
    <w:rsid w:val="00602090"/>
    <w:rsid w:val="006034E3"/>
    <w:rsid w:val="00604401"/>
    <w:rsid w:val="006106A7"/>
    <w:rsid w:val="00615859"/>
    <w:rsid w:val="0063534D"/>
    <w:rsid w:val="00660C1F"/>
    <w:rsid w:val="006617BE"/>
    <w:rsid w:val="00661F3F"/>
    <w:rsid w:val="0066707E"/>
    <w:rsid w:val="006744F7"/>
    <w:rsid w:val="00680E03"/>
    <w:rsid w:val="00684B3C"/>
    <w:rsid w:val="00722CFD"/>
    <w:rsid w:val="007371DF"/>
    <w:rsid w:val="007538C4"/>
    <w:rsid w:val="00763508"/>
    <w:rsid w:val="0077200F"/>
    <w:rsid w:val="00785533"/>
    <w:rsid w:val="007A4DA7"/>
    <w:rsid w:val="007D750D"/>
    <w:rsid w:val="007E3BC9"/>
    <w:rsid w:val="007E4267"/>
    <w:rsid w:val="007E77FA"/>
    <w:rsid w:val="00824895"/>
    <w:rsid w:val="00825EFB"/>
    <w:rsid w:val="00844A34"/>
    <w:rsid w:val="00861296"/>
    <w:rsid w:val="008714F6"/>
    <w:rsid w:val="00876A15"/>
    <w:rsid w:val="00886681"/>
    <w:rsid w:val="00886AC4"/>
    <w:rsid w:val="00890AD1"/>
    <w:rsid w:val="008B3DA1"/>
    <w:rsid w:val="008B42BF"/>
    <w:rsid w:val="008B478B"/>
    <w:rsid w:val="008D1D85"/>
    <w:rsid w:val="008D7FA9"/>
    <w:rsid w:val="008E2D2D"/>
    <w:rsid w:val="008E5504"/>
    <w:rsid w:val="008F0841"/>
    <w:rsid w:val="008F428A"/>
    <w:rsid w:val="0090418B"/>
    <w:rsid w:val="00907CDC"/>
    <w:rsid w:val="00934499"/>
    <w:rsid w:val="0094162D"/>
    <w:rsid w:val="0094697B"/>
    <w:rsid w:val="00947DB9"/>
    <w:rsid w:val="0095354F"/>
    <w:rsid w:val="0096147F"/>
    <w:rsid w:val="009740A4"/>
    <w:rsid w:val="00980B91"/>
    <w:rsid w:val="009918B6"/>
    <w:rsid w:val="00994C02"/>
    <w:rsid w:val="009A21C1"/>
    <w:rsid w:val="009A2D5B"/>
    <w:rsid w:val="009B075A"/>
    <w:rsid w:val="009C0777"/>
    <w:rsid w:val="009D6A1B"/>
    <w:rsid w:val="009E0B36"/>
    <w:rsid w:val="009E140C"/>
    <w:rsid w:val="009E31B0"/>
    <w:rsid w:val="009E3768"/>
    <w:rsid w:val="00A0235B"/>
    <w:rsid w:val="00A04BF3"/>
    <w:rsid w:val="00A159C6"/>
    <w:rsid w:val="00A31513"/>
    <w:rsid w:val="00A3237D"/>
    <w:rsid w:val="00A34B11"/>
    <w:rsid w:val="00A43B4C"/>
    <w:rsid w:val="00A67037"/>
    <w:rsid w:val="00A70511"/>
    <w:rsid w:val="00A758A5"/>
    <w:rsid w:val="00A94A9C"/>
    <w:rsid w:val="00A9544E"/>
    <w:rsid w:val="00AA00C7"/>
    <w:rsid w:val="00AA40B7"/>
    <w:rsid w:val="00AB72A1"/>
    <w:rsid w:val="00AC46B8"/>
    <w:rsid w:val="00AD6450"/>
    <w:rsid w:val="00AD7E6D"/>
    <w:rsid w:val="00AF01F9"/>
    <w:rsid w:val="00B051C5"/>
    <w:rsid w:val="00B10796"/>
    <w:rsid w:val="00B125DB"/>
    <w:rsid w:val="00B176BC"/>
    <w:rsid w:val="00B238AB"/>
    <w:rsid w:val="00B34C3E"/>
    <w:rsid w:val="00B4678C"/>
    <w:rsid w:val="00B52D5A"/>
    <w:rsid w:val="00B6029C"/>
    <w:rsid w:val="00B6359E"/>
    <w:rsid w:val="00B73A08"/>
    <w:rsid w:val="00B80A09"/>
    <w:rsid w:val="00B83E56"/>
    <w:rsid w:val="00B84F1B"/>
    <w:rsid w:val="00B96645"/>
    <w:rsid w:val="00BA170F"/>
    <w:rsid w:val="00BA3665"/>
    <w:rsid w:val="00BC321B"/>
    <w:rsid w:val="00BC6550"/>
    <w:rsid w:val="00BD2847"/>
    <w:rsid w:val="00BD4224"/>
    <w:rsid w:val="00BD4E71"/>
    <w:rsid w:val="00BE0F36"/>
    <w:rsid w:val="00C11D14"/>
    <w:rsid w:val="00C162CE"/>
    <w:rsid w:val="00C17CD4"/>
    <w:rsid w:val="00C23A40"/>
    <w:rsid w:val="00C24AB7"/>
    <w:rsid w:val="00C414AA"/>
    <w:rsid w:val="00C51ABE"/>
    <w:rsid w:val="00C567E3"/>
    <w:rsid w:val="00C60F4F"/>
    <w:rsid w:val="00C65D53"/>
    <w:rsid w:val="00C72138"/>
    <w:rsid w:val="00C81136"/>
    <w:rsid w:val="00C86889"/>
    <w:rsid w:val="00C95030"/>
    <w:rsid w:val="00CA19CD"/>
    <w:rsid w:val="00CB27B4"/>
    <w:rsid w:val="00CE25CA"/>
    <w:rsid w:val="00CE3254"/>
    <w:rsid w:val="00CE3397"/>
    <w:rsid w:val="00CE478E"/>
    <w:rsid w:val="00CF611F"/>
    <w:rsid w:val="00D003AA"/>
    <w:rsid w:val="00D048FA"/>
    <w:rsid w:val="00D217BA"/>
    <w:rsid w:val="00D21DB1"/>
    <w:rsid w:val="00D23044"/>
    <w:rsid w:val="00D3721F"/>
    <w:rsid w:val="00D473C3"/>
    <w:rsid w:val="00D50FEA"/>
    <w:rsid w:val="00D65249"/>
    <w:rsid w:val="00D97047"/>
    <w:rsid w:val="00DA619A"/>
    <w:rsid w:val="00DB00F9"/>
    <w:rsid w:val="00DB1C63"/>
    <w:rsid w:val="00DB74AD"/>
    <w:rsid w:val="00DC0C99"/>
    <w:rsid w:val="00DD4B5B"/>
    <w:rsid w:val="00DE31F3"/>
    <w:rsid w:val="00DE607C"/>
    <w:rsid w:val="00E10BB0"/>
    <w:rsid w:val="00E128F1"/>
    <w:rsid w:val="00E13E9A"/>
    <w:rsid w:val="00E14E5B"/>
    <w:rsid w:val="00E15561"/>
    <w:rsid w:val="00E313ED"/>
    <w:rsid w:val="00E34AC3"/>
    <w:rsid w:val="00E41706"/>
    <w:rsid w:val="00E47DFC"/>
    <w:rsid w:val="00E60F3C"/>
    <w:rsid w:val="00E7351B"/>
    <w:rsid w:val="00EA114F"/>
    <w:rsid w:val="00EA218C"/>
    <w:rsid w:val="00EB367E"/>
    <w:rsid w:val="00EB4824"/>
    <w:rsid w:val="00EB6C75"/>
    <w:rsid w:val="00EC06EA"/>
    <w:rsid w:val="00ED01A6"/>
    <w:rsid w:val="00EE3C90"/>
    <w:rsid w:val="00EE774B"/>
    <w:rsid w:val="00EF1050"/>
    <w:rsid w:val="00F00B40"/>
    <w:rsid w:val="00F06003"/>
    <w:rsid w:val="00F07E3A"/>
    <w:rsid w:val="00F11CE4"/>
    <w:rsid w:val="00F25456"/>
    <w:rsid w:val="00F26B1E"/>
    <w:rsid w:val="00F300A5"/>
    <w:rsid w:val="00F40009"/>
    <w:rsid w:val="00F74788"/>
    <w:rsid w:val="00F77F21"/>
    <w:rsid w:val="00FA7C4A"/>
    <w:rsid w:val="00FB579A"/>
    <w:rsid w:val="00FC3E69"/>
    <w:rsid w:val="00FC6E34"/>
    <w:rsid w:val="00FD0F04"/>
    <w:rsid w:val="00FD296C"/>
    <w:rsid w:val="00FD493B"/>
    <w:rsid w:val="00FD5EE3"/>
    <w:rsid w:val="00FE4151"/>
    <w:rsid w:val="00FF06E1"/>
    <w:rsid w:val="00FF0716"/>
    <w:rsid w:val="02E07AF8"/>
    <w:rsid w:val="04B51947"/>
    <w:rsid w:val="04B840EC"/>
    <w:rsid w:val="06A00D9C"/>
    <w:rsid w:val="06D66EBD"/>
    <w:rsid w:val="07ED44BE"/>
    <w:rsid w:val="084F0827"/>
    <w:rsid w:val="08AA2A73"/>
    <w:rsid w:val="09184EC5"/>
    <w:rsid w:val="0AD73AE8"/>
    <w:rsid w:val="0B68124C"/>
    <w:rsid w:val="0B8D4C06"/>
    <w:rsid w:val="0DE661B5"/>
    <w:rsid w:val="0E787DDA"/>
    <w:rsid w:val="0FB27396"/>
    <w:rsid w:val="103A5514"/>
    <w:rsid w:val="14A705B4"/>
    <w:rsid w:val="152576AB"/>
    <w:rsid w:val="15936A07"/>
    <w:rsid w:val="165318AE"/>
    <w:rsid w:val="17195DAB"/>
    <w:rsid w:val="18967899"/>
    <w:rsid w:val="189B3AC2"/>
    <w:rsid w:val="18E865B3"/>
    <w:rsid w:val="19510EDB"/>
    <w:rsid w:val="197B5DAF"/>
    <w:rsid w:val="1D052E54"/>
    <w:rsid w:val="1DF13814"/>
    <w:rsid w:val="204E05AC"/>
    <w:rsid w:val="213F1DF3"/>
    <w:rsid w:val="216D64C0"/>
    <w:rsid w:val="21A6187B"/>
    <w:rsid w:val="23BF7131"/>
    <w:rsid w:val="23DA382E"/>
    <w:rsid w:val="26573E9B"/>
    <w:rsid w:val="2E9A27EC"/>
    <w:rsid w:val="2EB93453"/>
    <w:rsid w:val="30BF3A3A"/>
    <w:rsid w:val="32476A1F"/>
    <w:rsid w:val="327515D8"/>
    <w:rsid w:val="357C60F4"/>
    <w:rsid w:val="35EB19DC"/>
    <w:rsid w:val="372C165B"/>
    <w:rsid w:val="37492C0F"/>
    <w:rsid w:val="382E2449"/>
    <w:rsid w:val="395F496C"/>
    <w:rsid w:val="39D92709"/>
    <w:rsid w:val="3B822B94"/>
    <w:rsid w:val="3C731374"/>
    <w:rsid w:val="3D6E0C3B"/>
    <w:rsid w:val="3D78424E"/>
    <w:rsid w:val="3F0971A0"/>
    <w:rsid w:val="410127C5"/>
    <w:rsid w:val="427058D2"/>
    <w:rsid w:val="440A120B"/>
    <w:rsid w:val="44922793"/>
    <w:rsid w:val="475353E4"/>
    <w:rsid w:val="47A92F33"/>
    <w:rsid w:val="49FC19CF"/>
    <w:rsid w:val="4A520C0A"/>
    <w:rsid w:val="4ACA0DE0"/>
    <w:rsid w:val="4B0B42C2"/>
    <w:rsid w:val="4CB62131"/>
    <w:rsid w:val="4EE463C6"/>
    <w:rsid w:val="4F561790"/>
    <w:rsid w:val="51542485"/>
    <w:rsid w:val="52190FE2"/>
    <w:rsid w:val="53385517"/>
    <w:rsid w:val="540461B3"/>
    <w:rsid w:val="5699610C"/>
    <w:rsid w:val="57202A8D"/>
    <w:rsid w:val="589E5122"/>
    <w:rsid w:val="59285014"/>
    <w:rsid w:val="5A8B27FC"/>
    <w:rsid w:val="5D3E05CF"/>
    <w:rsid w:val="5E11747C"/>
    <w:rsid w:val="60E83E09"/>
    <w:rsid w:val="638C41CC"/>
    <w:rsid w:val="63D5361B"/>
    <w:rsid w:val="642E3702"/>
    <w:rsid w:val="645867D4"/>
    <w:rsid w:val="645A2218"/>
    <w:rsid w:val="6521144D"/>
    <w:rsid w:val="654E3963"/>
    <w:rsid w:val="68103152"/>
    <w:rsid w:val="69400914"/>
    <w:rsid w:val="6AA55470"/>
    <w:rsid w:val="6CB27492"/>
    <w:rsid w:val="6CF90658"/>
    <w:rsid w:val="728C5ACB"/>
    <w:rsid w:val="72C85C25"/>
    <w:rsid w:val="73857BC5"/>
    <w:rsid w:val="73C61D0C"/>
    <w:rsid w:val="73DE29EE"/>
    <w:rsid w:val="74FE5F98"/>
    <w:rsid w:val="754D2BA4"/>
    <w:rsid w:val="75C43761"/>
    <w:rsid w:val="75DB213B"/>
    <w:rsid w:val="776E1C43"/>
    <w:rsid w:val="782758C8"/>
    <w:rsid w:val="79F8688B"/>
    <w:rsid w:val="7CC574CB"/>
    <w:rsid w:val="7DEC51A7"/>
    <w:rsid w:val="7E46077C"/>
    <w:rsid w:val="7ED405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Date"/>
    <w:basedOn w:val="1"/>
    <w:next w:val="1"/>
    <w:link w:val="22"/>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Body Text Indent 3"/>
    <w:basedOn w:val="1"/>
    <w:link w:val="17"/>
    <w:autoRedefine/>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rPr>
  </w:style>
  <w:style w:type="paragraph" w:styleId="9">
    <w:name w:val="annotation subject"/>
    <w:basedOn w:val="3"/>
    <w:next w:val="3"/>
    <w:link w:val="19"/>
    <w:autoRedefine/>
    <w:semiHidden/>
    <w:unhideWhenUsed/>
    <w:qFormat/>
    <w:uiPriority w:val="99"/>
    <w:rPr>
      <w:b/>
      <w:bCs/>
    </w:rPr>
  </w:style>
  <w:style w:type="character" w:styleId="12">
    <w:name w:val="Strong"/>
    <w:basedOn w:val="11"/>
    <w:autoRedefine/>
    <w:qFormat/>
    <w:uiPriority w:val="22"/>
    <w:rPr>
      <w:b/>
      <w:bCs/>
    </w:rPr>
  </w:style>
  <w:style w:type="character" w:styleId="13">
    <w:name w:val="page number"/>
    <w:basedOn w:val="11"/>
    <w:autoRedefine/>
    <w:unhideWhenUsed/>
    <w:qFormat/>
    <w:uiPriority w:val="99"/>
    <w:rPr>
      <w:rFonts w:eastAsiaTheme="minorEastAsia" w:cstheme="minorBidi"/>
      <w:szCs w:val="22"/>
      <w:lang w:eastAsia="zh-CN"/>
    </w:rPr>
  </w:style>
  <w:style w:type="character" w:styleId="14">
    <w:name w:val="annotation reference"/>
    <w:basedOn w:val="11"/>
    <w:autoRedefine/>
    <w:semiHidden/>
    <w:unhideWhenUsed/>
    <w:qFormat/>
    <w:uiPriority w:val="99"/>
    <w:rPr>
      <w:sz w:val="21"/>
      <w:szCs w:val="21"/>
    </w:rPr>
  </w:style>
  <w:style w:type="character" w:customStyle="1" w:styleId="15">
    <w:name w:val="页眉 Char"/>
    <w:basedOn w:val="11"/>
    <w:link w:val="7"/>
    <w:autoRedefine/>
    <w:qFormat/>
    <w:uiPriority w:val="99"/>
    <w:rPr>
      <w:sz w:val="18"/>
      <w:szCs w:val="18"/>
    </w:rPr>
  </w:style>
  <w:style w:type="character" w:customStyle="1" w:styleId="16">
    <w:name w:val="页脚 Char"/>
    <w:basedOn w:val="11"/>
    <w:link w:val="6"/>
    <w:autoRedefine/>
    <w:qFormat/>
    <w:uiPriority w:val="99"/>
    <w:rPr>
      <w:sz w:val="18"/>
      <w:szCs w:val="18"/>
    </w:rPr>
  </w:style>
  <w:style w:type="character" w:customStyle="1" w:styleId="17">
    <w:name w:val="正文文本缩进 3 Char"/>
    <w:basedOn w:val="11"/>
    <w:link w:val="8"/>
    <w:autoRedefine/>
    <w:qFormat/>
    <w:uiPriority w:val="0"/>
    <w:rPr>
      <w:rFonts w:ascii="仿宋_GB2312" w:hAnsi="Times New Roman" w:eastAsia="仿宋_GB2312" w:cs="Times New Roman"/>
      <w:kern w:val="0"/>
      <w:sz w:val="32"/>
      <w:szCs w:val="20"/>
    </w:rPr>
  </w:style>
  <w:style w:type="character" w:customStyle="1" w:styleId="18">
    <w:name w:val="批注文字 Char"/>
    <w:basedOn w:val="11"/>
    <w:link w:val="3"/>
    <w:autoRedefine/>
    <w:semiHidden/>
    <w:qFormat/>
    <w:uiPriority w:val="99"/>
    <w:rPr>
      <w:rFonts w:ascii="Times New Roman" w:hAnsi="Times New Roman" w:eastAsia="宋体" w:cs="Times New Roman"/>
      <w:szCs w:val="20"/>
    </w:rPr>
  </w:style>
  <w:style w:type="character" w:customStyle="1" w:styleId="19">
    <w:name w:val="批注主题 Char"/>
    <w:basedOn w:val="18"/>
    <w:link w:val="9"/>
    <w:autoRedefine/>
    <w:semiHidden/>
    <w:qFormat/>
    <w:uiPriority w:val="99"/>
    <w:rPr>
      <w:rFonts w:ascii="Times New Roman" w:hAnsi="Times New Roman" w:eastAsia="宋体" w:cs="Times New Roman"/>
      <w:b/>
      <w:bCs/>
      <w:szCs w:val="20"/>
    </w:rPr>
  </w:style>
  <w:style w:type="character" w:customStyle="1" w:styleId="20">
    <w:name w:val="批注框文本 Char"/>
    <w:basedOn w:val="11"/>
    <w:link w:val="5"/>
    <w:autoRedefine/>
    <w:semiHidden/>
    <w:qFormat/>
    <w:uiPriority w:val="99"/>
    <w:rPr>
      <w:rFonts w:ascii="Times New Roman" w:hAnsi="Times New Roman" w:eastAsia="宋体" w:cs="Times New Roman"/>
      <w:sz w:val="18"/>
      <w:szCs w:val="18"/>
    </w:rPr>
  </w:style>
  <w:style w:type="paragraph" w:customStyle="1" w:styleId="21">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日期 Char"/>
    <w:basedOn w:val="11"/>
    <w:link w:val="4"/>
    <w:autoRedefine/>
    <w:semiHidden/>
    <w:qFormat/>
    <w:uiPriority w:val="99"/>
    <w:rPr>
      <w:kern w:val="2"/>
      <w:sz w:val="21"/>
    </w:rPr>
  </w:style>
  <w:style w:type="paragraph" w:customStyle="1" w:styleId="23">
    <w:name w:val="修订1"/>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ce811aaf-afe5-49b6-a89b-50731c803f8f</errorID>
      <errorWord>-</errorWord>
      <group>L1_Format</group>
      <groupName>格式问题</groupName>
      <ability>L2_HalfPunc_CN</ability>
      <abilityName/>
      <candidateList>
        <item>－</item>
      </candidateList>
      <explain>文本全半角错误。</explain>
      <paraID>76258150</paraID>
      <start>8</start>
      <end>9</end>
      <status>unmodified</status>
      <modifiedWord/>
      <trackRevisions>false</trackRevisions>
    </reviewItem>
    <reviewItem>
      <errorID>2d6bb3a9-f2d9-4ef4-aa5a-e2a5442afd1b</errorID>
      <errorWord>。</errorWord>
      <group>L1_Grammar</group>
      <groupName>语法问题</groupName>
      <ability>L2_Missing</ability>
      <abilityName>成分残缺</abilityName>
      <candidateList>
        <item>的样本。</item>
      </candidateList>
      <explain>句子中可能存在主谓宾、修饰语或者必要的词语残缺。</explain>
      <paraID>1E2DE059</paraID>
      <start>43</start>
      <end>44</end>
      <status>unmodified</status>
      <modifiedWord/>
      <trackRevisions>false</trackRevisions>
    </reviewItem>
    <reviewItem>
      <errorID>33ca48d4-d0bc-42cf-98f6-d111ccf0ae1d</errorID>
      <errorWord>査</errorWord>
      <group>L1_Word</group>
      <groupName>字词问题</groupName>
      <ability>L2_Fanti</ability>
      <abilityName>繁转简</abilityName>
      <candidateList>
        <item>查</item>
      </candidateList>
      <explain>（査）Zhā〈名〉姓。</explain>
      <paraID> 1A7D951</paraID>
      <start>50</start>
      <end>51</end>
      <status>modified</status>
      <modifiedWord>查</modifiedWord>
      <trackRevisions>false</trackRevisions>
    </reviewItem>
    <reviewItem>
      <errorID>dad68575-ffa7-4419-a8e4-e06311cb49cd</errorID>
      <errorWord>标淮</errorWord>
      <group>L1_Word</group>
      <groupName>字词问题</groupName>
      <ability>L2_Typo</ability>
      <abilityName>字词错误</abilityName>
      <candidateList>
        <item>标准</item>
      </candidateList>
      <explain>❶〈名〉衡量事物的准则：技术～｜实践是检验真理的唯一～。❷〈形〉本身合于准则，可供同类事物比较核对的：～音｜～时｜她的发音很～。</explain>
      <paraID>58B3506F</paraID>
      <start>28</start>
      <end>30</end>
      <status>modified</status>
      <modifiedWord>标准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e4b0d4-c121-43f2-8d86-c5517a24b59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806</Words>
  <Characters>951</Characters>
  <Lines>24</Lines>
  <Paragraphs>6</Paragraphs>
  <TotalTime>0</TotalTime>
  <ScaleCrop>false</ScaleCrop>
  <LinksUpToDate>false</LinksUpToDate>
  <CharactersWithSpaces>1020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2021-07-01T12:22:00Z</dcterms:created>
  <dc:creator>lzk</dc:creator>
  <cp:lastModifiedBy>森</cp:lastModifiedBy>
  <cp:lastPrinted>2021-07-06T05:04:00Z</cp:lastPrinted>
  <dcterms:modified xsi:type="dcterms:W3CDTF">2026-05-26T03:05:22Z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FBF918E6805345738CD28B53BFD60B1D_13</vt:lpwstr>
  </property>
  <property fmtid="{D5CDD505-2E9C-101B-9397-08002B2CF9AE}" pid="4" name="KSOTemplateDocerSaveRecord">
    <vt:lpwstr>eyJoZGlkIjoiZmE5NzUwODczZDE4M2Y3OTJjOTI3YmNmYzI1MGJkZWYiLCJ1c2VySWQiOiI2MTg2MTg1MDIifQ==</vt:lpwstr>
  </property>
</Properties>
</file>