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284515">
      <w:pPr>
        <w:keepNext w:val="0"/>
        <w:keepLines w:val="0"/>
        <w:pageBreakBefore w:val="0"/>
        <w:widowControl/>
        <w:kinsoku/>
        <w:wordWrap/>
        <w:overflowPunct w:val="0"/>
        <w:topLinePunct w:val="0"/>
        <w:autoSpaceDE/>
        <w:autoSpaceDN/>
        <w:bidi w:val="0"/>
        <w:adjustRightInd w:val="0"/>
        <w:snapToGrid w:val="0"/>
        <w:spacing w:after="0" w:line="520" w:lineRule="exact"/>
        <w:ind w:left="0" w:leftChars="0" w:firstLine="0" w:firstLineChars="0"/>
        <w:jc w:val="right"/>
        <w:textAlignment w:val="auto"/>
        <w:rPr>
          <w:rFonts w:hint="default" w:ascii="Times New Roman" w:hAnsi="Times New Roman" w:eastAsia="微软雅黑" w:cs="Times New Roman"/>
          <w:color w:val="auto"/>
          <w:sz w:val="32"/>
          <w:szCs w:val="32"/>
          <w:highlight w:val="none"/>
          <w:lang w:val="en-US" w:eastAsia="zh-CN"/>
        </w:rPr>
      </w:pPr>
      <w:r>
        <w:rPr>
          <w:rFonts w:hint="default" w:ascii="方正仿宋_GBK" w:hAnsi="方正仿宋_GBK" w:eastAsia="方正仿宋_GBK" w:cs="方正仿宋_GBK"/>
          <w:color w:val="auto"/>
          <w:sz w:val="32"/>
          <w:szCs w:val="32"/>
          <w:highlight w:val="none"/>
          <w:lang w:eastAsia="zh-CN"/>
        </w:rPr>
        <w:t>（公开发布版）</w:t>
      </w:r>
      <w:r>
        <w:rPr>
          <w:rFonts w:hint="eastAsia" w:ascii="方正仿宋_GBK" w:hAnsi="方正仿宋_GBK" w:eastAsia="方正仿宋_GBK" w:cs="方正仿宋_GBK"/>
          <w:color w:val="auto"/>
          <w:sz w:val="32"/>
          <w:szCs w:val="32"/>
          <w:highlight w:val="none"/>
          <w:lang w:val="en-US" w:eastAsia="zh-CN"/>
        </w:rPr>
        <w:t xml:space="preserve">        </w:t>
      </w:r>
      <w:r>
        <w:rPr>
          <w:rFonts w:hint="eastAsia" w:ascii="Times New Roman" w:hAnsi="Times New Roman" w:eastAsia="微软雅黑" w:cs="Times New Roman"/>
          <w:color w:val="auto"/>
          <w:sz w:val="32"/>
          <w:szCs w:val="32"/>
          <w:highlight w:val="none"/>
          <w:lang w:val="en-US" w:eastAsia="zh-CN"/>
        </w:rPr>
        <w:t xml:space="preserve">           </w:t>
      </w:r>
    </w:p>
    <w:p w14:paraId="298ACBCB">
      <w:pPr>
        <w:pStyle w:val="22"/>
        <w:widowControl/>
        <w:rPr>
          <w:rFonts w:hint="default" w:ascii="Times New Roman" w:hAnsi="Times New Roman" w:cs="Times New Roman"/>
          <w:color w:val="auto"/>
          <w:highlight w:val="none"/>
        </w:rPr>
      </w:pPr>
    </w:p>
    <w:p w14:paraId="0EE3850C">
      <w:pPr>
        <w:pStyle w:val="22"/>
        <w:widowControl/>
        <w:rPr>
          <w:rFonts w:hint="default" w:ascii="Times New Roman" w:hAnsi="Times New Roman" w:cs="Times New Roman"/>
          <w:color w:val="auto"/>
          <w:highlight w:val="none"/>
        </w:rPr>
      </w:pPr>
    </w:p>
    <w:p w14:paraId="180D857B">
      <w:pPr>
        <w:pStyle w:val="22"/>
        <w:widowControl/>
        <w:rPr>
          <w:rFonts w:hint="default" w:ascii="Times New Roman" w:hAnsi="Times New Roman" w:cs="Times New Roman"/>
          <w:color w:val="auto"/>
          <w:highlight w:val="none"/>
        </w:rPr>
      </w:pPr>
    </w:p>
    <w:p w14:paraId="43A23FFF">
      <w:pPr>
        <w:spacing w:line="240" w:lineRule="auto"/>
        <w:ind w:left="0" w:leftChars="0" w:firstLine="0" w:firstLineChars="0"/>
        <w:jc w:val="center"/>
        <w:rPr>
          <w:rFonts w:hint="default" w:ascii="Times New Roman" w:hAnsi="Times New Roman" w:eastAsia="方正小标宋_GBK" w:cs="Times New Roman"/>
          <w:b/>
          <w:bCs/>
          <w:color w:val="auto"/>
          <w:sz w:val="60"/>
          <w:szCs w:val="60"/>
          <w:highlight w:val="none"/>
          <w:lang w:val="en-US" w:eastAsia="zh-CN"/>
        </w:rPr>
      </w:pPr>
      <w:r>
        <w:rPr>
          <w:rFonts w:hint="default" w:ascii="Times New Roman" w:hAnsi="Times New Roman" w:eastAsia="方正小标宋_GBK" w:cs="Times New Roman"/>
          <w:b/>
          <w:bCs/>
          <w:color w:val="auto"/>
          <w:sz w:val="60"/>
          <w:szCs w:val="60"/>
          <w:highlight w:val="none"/>
          <w:lang w:val="en-US" w:eastAsia="zh-CN"/>
        </w:rPr>
        <w:t>巩留县国民经济和社会发展</w:t>
      </w:r>
    </w:p>
    <w:p w14:paraId="7AF69E9D">
      <w:pPr>
        <w:spacing w:line="240" w:lineRule="auto"/>
        <w:ind w:left="0" w:leftChars="0" w:firstLine="0" w:firstLineChars="0"/>
        <w:jc w:val="center"/>
        <w:rPr>
          <w:rFonts w:hint="default" w:ascii="Times New Roman" w:hAnsi="Times New Roman" w:eastAsia="方正小标宋_GBK" w:cs="Times New Roman"/>
          <w:b/>
          <w:bCs/>
          <w:color w:val="auto"/>
          <w:sz w:val="60"/>
          <w:szCs w:val="60"/>
          <w:highlight w:val="none"/>
          <w:lang w:val="en" w:eastAsia="zh-CN"/>
        </w:rPr>
      </w:pPr>
      <w:r>
        <w:rPr>
          <w:rFonts w:hint="default" w:ascii="Times New Roman" w:hAnsi="Times New Roman" w:eastAsia="方正小标宋_GBK" w:cs="Times New Roman"/>
          <w:b/>
          <w:bCs/>
          <w:color w:val="auto"/>
          <w:sz w:val="60"/>
          <w:szCs w:val="60"/>
          <w:highlight w:val="none"/>
          <w:lang w:val="en-US" w:eastAsia="zh-CN"/>
        </w:rPr>
        <w:t>第十五个五年规划</w:t>
      </w:r>
      <w:bookmarkStart w:id="0" w:name="_Toc604998727"/>
      <w:r>
        <w:rPr>
          <w:rFonts w:hint="default" w:ascii="Times New Roman" w:hAnsi="Times New Roman" w:eastAsia="方正小标宋_GBK" w:cs="Times New Roman"/>
          <w:b/>
          <w:bCs/>
          <w:color w:val="auto"/>
          <w:sz w:val="60"/>
          <w:szCs w:val="60"/>
          <w:highlight w:val="none"/>
          <w:lang w:val="en-US" w:eastAsia="zh-CN"/>
        </w:rPr>
        <w:t>纲要</w:t>
      </w:r>
      <w:bookmarkEnd w:id="0"/>
    </w:p>
    <w:p w14:paraId="25BE96D5">
      <w:pPr>
        <w:pageBreakBefore w:val="0"/>
        <w:widowControl w:val="0"/>
        <w:kinsoku/>
        <w:wordWrap/>
        <w:overflowPunct/>
        <w:topLinePunct w:val="0"/>
        <w:autoSpaceDE/>
        <w:autoSpaceDN/>
        <w:bidi w:val="0"/>
        <w:adjustRightInd/>
        <w:snapToGrid/>
        <w:jc w:val="center"/>
        <w:textAlignment w:val="auto"/>
        <w:outlineLvl w:val="9"/>
        <w:rPr>
          <w:rFonts w:hint="default" w:ascii="Times New Roman" w:hAnsi="Times New Roman" w:eastAsia="方正小标宋_GBK" w:cs="Times New Roman"/>
          <w:color w:val="auto"/>
          <w:sz w:val="44"/>
          <w:szCs w:val="44"/>
          <w:highlight w:val="none"/>
          <w:lang w:val="en" w:eastAsia="zh-CN"/>
        </w:rPr>
      </w:pPr>
    </w:p>
    <w:p w14:paraId="529C4BD9">
      <w:pPr>
        <w:pageBreakBefore w:val="0"/>
        <w:widowControl w:val="0"/>
        <w:kinsoku/>
        <w:wordWrap/>
        <w:overflowPunct/>
        <w:topLinePunct w:val="0"/>
        <w:autoSpaceDE/>
        <w:autoSpaceDN/>
        <w:bidi w:val="0"/>
        <w:adjustRightInd/>
        <w:snapToGrid/>
        <w:spacing w:line="580" w:lineRule="exact"/>
        <w:ind w:left="420" w:hanging="420" w:hangingChars="200"/>
        <w:contextualSpacing/>
        <w:textAlignment w:val="auto"/>
        <w:outlineLvl w:val="9"/>
        <w:rPr>
          <w:rFonts w:hint="default" w:ascii="Times New Roman" w:hAnsi="Times New Roman" w:cs="Times New Roman"/>
          <w:color w:val="auto"/>
          <w:highlight w:val="none"/>
        </w:rPr>
      </w:pPr>
    </w:p>
    <w:p w14:paraId="27946EAE">
      <w:pPr>
        <w:pageBreakBefore w:val="0"/>
        <w:widowControl w:val="0"/>
        <w:kinsoku/>
        <w:wordWrap/>
        <w:overflowPunct/>
        <w:topLinePunct w:val="0"/>
        <w:autoSpaceDE/>
        <w:autoSpaceDN/>
        <w:bidi w:val="0"/>
        <w:adjustRightInd/>
        <w:snapToGrid/>
        <w:spacing w:line="580" w:lineRule="exact"/>
        <w:textAlignment w:val="auto"/>
        <w:outlineLvl w:val="9"/>
        <w:rPr>
          <w:rFonts w:hint="default" w:ascii="Times New Roman" w:hAnsi="Times New Roman" w:eastAsia="微软雅黑" w:cs="Times New Roman"/>
          <w:bCs/>
          <w:color w:val="auto"/>
          <w:spacing w:val="-6"/>
          <w:sz w:val="44"/>
          <w:szCs w:val="44"/>
          <w:highlight w:val="none"/>
        </w:rPr>
      </w:pPr>
    </w:p>
    <w:p w14:paraId="5EEA18F2">
      <w:pPr>
        <w:rPr>
          <w:rFonts w:hint="default" w:ascii="Times New Roman" w:hAnsi="Times New Roman" w:cs="Times New Roman"/>
          <w:color w:val="auto"/>
          <w:highlight w:val="none"/>
        </w:rPr>
      </w:pPr>
    </w:p>
    <w:p w14:paraId="2D514A33">
      <w:pPr>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p>
    <w:p w14:paraId="01AB3013">
      <w:pPr>
        <w:pageBreakBefore w:val="0"/>
        <w:widowControl w:val="0"/>
        <w:kinsoku/>
        <w:wordWrap/>
        <w:overflowPunct/>
        <w:topLinePunct w:val="0"/>
        <w:autoSpaceDE/>
        <w:autoSpaceDN/>
        <w:bidi w:val="0"/>
        <w:adjustRightInd/>
        <w:snapToGrid/>
        <w:textAlignment w:val="auto"/>
        <w:outlineLvl w:val="9"/>
        <w:rPr>
          <w:rFonts w:hint="default" w:ascii="Times New Roman" w:hAnsi="Times New Roman" w:cs="Times New Roman"/>
          <w:color w:val="auto"/>
          <w:highlight w:val="none"/>
        </w:rPr>
      </w:pPr>
    </w:p>
    <w:p w14:paraId="664F3D69">
      <w:pPr>
        <w:pStyle w:val="38"/>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eastAsia="方正楷体_GBK" w:cs="Times New Roman"/>
          <w:bCs/>
          <w:color w:val="auto"/>
          <w:spacing w:val="-6"/>
          <w:sz w:val="44"/>
          <w:szCs w:val="44"/>
          <w:highlight w:val="none"/>
        </w:rPr>
      </w:pPr>
    </w:p>
    <w:p w14:paraId="50653608">
      <w:pPr>
        <w:pStyle w:val="38"/>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eastAsia="方正楷体_GBK" w:cs="Times New Roman"/>
          <w:bCs/>
          <w:color w:val="auto"/>
          <w:spacing w:val="-6"/>
          <w:sz w:val="44"/>
          <w:szCs w:val="44"/>
          <w:highlight w:val="none"/>
        </w:rPr>
      </w:pPr>
    </w:p>
    <w:p w14:paraId="49E5CF3D">
      <w:pPr>
        <w:pStyle w:val="38"/>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eastAsia="方正楷体_GBK" w:cs="Times New Roman"/>
          <w:bCs/>
          <w:color w:val="auto"/>
          <w:spacing w:val="-6"/>
          <w:sz w:val="44"/>
          <w:szCs w:val="44"/>
          <w:highlight w:val="none"/>
        </w:rPr>
      </w:pPr>
    </w:p>
    <w:p w14:paraId="772C3478">
      <w:pPr>
        <w:pStyle w:val="38"/>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eastAsia="方正楷体_GBK" w:cs="Times New Roman"/>
          <w:bCs/>
          <w:color w:val="auto"/>
          <w:spacing w:val="-6"/>
          <w:sz w:val="44"/>
          <w:szCs w:val="44"/>
          <w:highlight w:val="none"/>
        </w:rPr>
      </w:pPr>
    </w:p>
    <w:p w14:paraId="1E111AE0">
      <w:pPr>
        <w:pStyle w:val="38"/>
        <w:pageBreakBefore w:val="0"/>
        <w:widowControl w:val="0"/>
        <w:kinsoku/>
        <w:wordWrap/>
        <w:overflowPunct/>
        <w:topLinePunct w:val="0"/>
        <w:autoSpaceDE/>
        <w:autoSpaceDN/>
        <w:bidi w:val="0"/>
        <w:adjustRightInd/>
        <w:snapToGrid/>
        <w:ind w:firstLine="0" w:firstLineChars="0"/>
        <w:jc w:val="center"/>
        <w:textAlignment w:val="auto"/>
        <w:outlineLvl w:val="9"/>
        <w:rPr>
          <w:rFonts w:hint="default" w:ascii="Times New Roman" w:hAnsi="Times New Roman" w:eastAsia="方正楷体_GBK" w:cs="Times New Roman"/>
          <w:bCs/>
          <w:color w:val="auto"/>
          <w:spacing w:val="-6"/>
          <w:sz w:val="44"/>
          <w:szCs w:val="44"/>
          <w:highlight w:val="none"/>
        </w:rPr>
      </w:pPr>
    </w:p>
    <w:p w14:paraId="3C8A1669">
      <w:pPr>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lang w:eastAsia="zh-CN"/>
        </w:rPr>
      </w:pPr>
      <w:r>
        <w:rPr>
          <w:rFonts w:hint="default" w:ascii="Times New Roman" w:hAnsi="Times New Roman" w:eastAsia="方正楷体_GBK" w:cs="Times New Roman"/>
          <w:bCs/>
          <w:color w:val="auto"/>
          <w:spacing w:val="-6"/>
          <w:sz w:val="32"/>
          <w:szCs w:val="32"/>
          <w:highlight w:val="none"/>
          <w:lang w:eastAsia="zh-CN"/>
        </w:rPr>
        <w:t>巩留县人民政府</w:t>
      </w:r>
    </w:p>
    <w:p w14:paraId="1D6E9D7B">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bookmarkStart w:id="1" w:name="_Toc1583695177"/>
      <w:r>
        <w:rPr>
          <w:rFonts w:hint="default" w:ascii="Times New Roman" w:hAnsi="Times New Roman" w:eastAsia="方正楷体_GBK" w:cs="Times New Roman"/>
          <w:bCs/>
          <w:color w:val="auto"/>
          <w:spacing w:val="-6"/>
          <w:sz w:val="32"/>
          <w:szCs w:val="32"/>
          <w:highlight w:val="none"/>
        </w:rPr>
        <w:t>202</w:t>
      </w:r>
      <w:r>
        <w:rPr>
          <w:rFonts w:hint="default" w:ascii="Times New Roman" w:hAnsi="Times New Roman" w:eastAsia="方正楷体_GBK" w:cs="Times New Roman"/>
          <w:bCs/>
          <w:color w:val="auto"/>
          <w:spacing w:val="-6"/>
          <w:sz w:val="32"/>
          <w:szCs w:val="32"/>
          <w:highlight w:val="none"/>
          <w:lang w:val="en-US" w:eastAsia="zh-CN"/>
        </w:rPr>
        <w:t>6</w:t>
      </w:r>
      <w:r>
        <w:rPr>
          <w:rFonts w:hint="default" w:ascii="Times New Roman" w:hAnsi="Times New Roman" w:eastAsia="方正楷体_GBK" w:cs="Times New Roman"/>
          <w:bCs/>
          <w:color w:val="auto"/>
          <w:spacing w:val="-6"/>
          <w:sz w:val="32"/>
          <w:szCs w:val="32"/>
          <w:highlight w:val="none"/>
        </w:rPr>
        <w:t>年</w:t>
      </w:r>
      <w:r>
        <w:rPr>
          <w:rFonts w:hint="default" w:ascii="Times New Roman" w:hAnsi="Times New Roman" w:eastAsia="方正楷体_GBK" w:cs="Times New Roman"/>
          <w:bCs/>
          <w:color w:val="auto"/>
          <w:spacing w:val="-6"/>
          <w:sz w:val="32"/>
          <w:szCs w:val="32"/>
          <w:highlight w:val="none"/>
          <w:lang w:eastAsia="zh-CN"/>
        </w:rPr>
        <w:t>10</w:t>
      </w:r>
      <w:r>
        <w:rPr>
          <w:rFonts w:hint="default" w:ascii="Times New Roman" w:hAnsi="Times New Roman" w:eastAsia="方正楷体_GBK" w:cs="Times New Roman"/>
          <w:bCs/>
          <w:color w:val="auto"/>
          <w:spacing w:val="-6"/>
          <w:sz w:val="32"/>
          <w:szCs w:val="32"/>
          <w:highlight w:val="none"/>
        </w:rPr>
        <w:t>月</w:t>
      </w:r>
      <w:bookmarkEnd w:id="1"/>
    </w:p>
    <w:p w14:paraId="6A785245">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3D62E18C">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5D1C60DF">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1300402E">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73214029">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3D070273">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2E858F88">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650346C9">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581F6C93">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1BC17DA1">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61F4E1DD">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7A728CE3">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28E766F8">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6E54F8BA">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3BA9C578">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68377B7F">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28C8D1B3">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45852C9D">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68E6EFD3">
      <w:pPr>
        <w:pStyle w:val="38"/>
        <w:pageBreakBefore w:val="0"/>
        <w:widowControl w:val="0"/>
        <w:kinsoku/>
        <w:wordWrap/>
        <w:overflowPunct/>
        <w:topLinePunct w:val="0"/>
        <w:autoSpaceDE/>
        <w:autoSpaceDN/>
        <w:bidi w:val="0"/>
        <w:adjustRightInd/>
        <w:snapToGrid/>
        <w:spacing w:line="580" w:lineRule="exact"/>
        <w:ind w:left="0" w:leftChars="0" w:firstLine="0" w:firstLineChars="0"/>
        <w:jc w:val="center"/>
        <w:textAlignment w:val="auto"/>
        <w:outlineLvl w:val="9"/>
        <w:rPr>
          <w:rFonts w:hint="default" w:ascii="Times New Roman" w:hAnsi="Times New Roman" w:eastAsia="方正楷体_GBK" w:cs="Times New Roman"/>
          <w:bCs/>
          <w:color w:val="auto"/>
          <w:spacing w:val="-6"/>
          <w:sz w:val="32"/>
          <w:szCs w:val="32"/>
          <w:highlight w:val="none"/>
        </w:rPr>
      </w:pPr>
    </w:p>
    <w:p w14:paraId="05A817A1">
      <w:pPr>
        <w:pStyle w:val="38"/>
        <w:pageBreakBefore w:val="0"/>
        <w:widowControl w:val="0"/>
        <w:kinsoku/>
        <w:wordWrap/>
        <w:overflowPunct/>
        <w:topLinePunct w:val="0"/>
        <w:autoSpaceDE/>
        <w:autoSpaceDN/>
        <w:bidi w:val="0"/>
        <w:adjustRightInd/>
        <w:snapToGrid/>
        <w:spacing w:line="580" w:lineRule="exact"/>
        <w:ind w:left="0" w:leftChars="0" w:firstLine="0" w:firstLineChars="0"/>
        <w:jc w:val="both"/>
        <w:textAlignment w:val="auto"/>
        <w:outlineLvl w:val="9"/>
        <w:rPr>
          <w:rFonts w:hint="default" w:ascii="Times New Roman" w:hAnsi="Times New Roman" w:eastAsia="方正楷体_GBK" w:cs="Times New Roman"/>
          <w:bCs/>
          <w:color w:val="auto"/>
          <w:spacing w:val="-6"/>
          <w:sz w:val="32"/>
          <w:szCs w:val="32"/>
          <w:highlight w:val="none"/>
        </w:rPr>
      </w:pPr>
    </w:p>
    <w:p w14:paraId="6DA0E701">
      <w:pPr>
        <w:pStyle w:val="22"/>
        <w:widowControl/>
        <w:rPr>
          <w:rFonts w:hint="default" w:ascii="Times New Roman" w:hAnsi="Times New Roman" w:cs="Times New Roman"/>
          <w:color w:val="auto"/>
          <w:highlight w:val="none"/>
        </w:rPr>
      </w:pPr>
    </w:p>
    <w:p w14:paraId="24CE5469">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609094AE">
      <w:pPr>
        <w:spacing w:before="0" w:beforeLines="0" w:after="0" w:afterLines="0" w:line="240" w:lineRule="auto"/>
        <w:ind w:left="0" w:leftChars="0" w:right="0" w:rightChars="0" w:firstLine="0" w:firstLineChars="0"/>
        <w:jc w:val="center"/>
        <w:rPr>
          <w:rFonts w:hint="default" w:ascii="Times New Roman" w:hAnsi="Times New Roman" w:eastAsia="黑体" w:cs="Times New Roman"/>
          <w:b/>
          <w:bCs/>
          <w:color w:val="auto"/>
          <w:sz w:val="32"/>
          <w:szCs w:val="32"/>
          <w:highlight w:val="none"/>
        </w:rPr>
      </w:pPr>
      <w:r>
        <w:rPr>
          <w:rFonts w:hint="default" w:ascii="Times New Roman" w:hAnsi="Times New Roman" w:eastAsia="黑体" w:cs="Times New Roman"/>
          <w:b/>
          <w:bCs/>
          <w:color w:val="auto"/>
          <w:sz w:val="32"/>
          <w:szCs w:val="32"/>
          <w:highlight w:val="none"/>
        </w:rPr>
        <w:t>目</w:t>
      </w:r>
      <w:r>
        <w:rPr>
          <w:rFonts w:hint="default" w:ascii="Times New Roman" w:hAnsi="Times New Roman" w:eastAsia="黑体" w:cs="Times New Roman"/>
          <w:b/>
          <w:bCs/>
          <w:color w:val="auto"/>
          <w:sz w:val="32"/>
          <w:szCs w:val="32"/>
          <w:highlight w:val="none"/>
          <w:lang w:val="en-US" w:eastAsia="zh-CN"/>
        </w:rPr>
        <w:t xml:space="preserve">  </w:t>
      </w:r>
      <w:r>
        <w:rPr>
          <w:rFonts w:hint="default" w:ascii="Times New Roman" w:hAnsi="Times New Roman" w:eastAsia="黑体" w:cs="Times New Roman"/>
          <w:b/>
          <w:bCs/>
          <w:color w:val="auto"/>
          <w:sz w:val="32"/>
          <w:szCs w:val="32"/>
          <w:highlight w:val="none"/>
        </w:rPr>
        <w:t>录</w:t>
      </w:r>
    </w:p>
    <w:sdt>
      <w:sdtPr>
        <w:rPr>
          <w:rFonts w:ascii="宋体" w:hAnsi="宋体" w:eastAsia="宋体" w:cstheme="minorBidi"/>
          <w:sz w:val="21"/>
          <w:szCs w:val="22"/>
        </w:rPr>
        <w:id w:val="147451096"/>
        <w15:color w:val="DBDBDB"/>
        <w:docPartObj>
          <w:docPartGallery w:val="Table of Contents"/>
          <w:docPartUnique/>
        </w:docPartObj>
      </w:sdtPr>
      <w:sdtEndPr>
        <w:rPr>
          <w:rFonts w:hint="default" w:ascii="Times New Roman" w:hAnsi="Times New Roman" w:cs="Times New Roman" w:eastAsiaTheme="minorEastAsia"/>
          <w:color w:val="auto"/>
          <w:sz w:val="21"/>
          <w:szCs w:val="24"/>
          <w:highlight w:val="none"/>
        </w:rPr>
      </w:sdtEndPr>
      <w:sdtContent>
        <w:p w14:paraId="288D0DD6">
          <w:pPr>
            <w:spacing w:before="0" w:beforeLines="0" w:after="0" w:afterLines="0" w:line="240" w:lineRule="auto"/>
            <w:ind w:left="0" w:leftChars="0" w:right="0" w:rightChars="0" w:firstLine="0" w:firstLineChars="0"/>
            <w:jc w:val="center"/>
          </w:pPr>
        </w:p>
        <w:p w14:paraId="789C2E86">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color w:val="auto"/>
              <w:sz w:val="24"/>
              <w:szCs w:val="24"/>
              <w:highlight w:val="none"/>
            </w:rPr>
            <w:instrText xml:space="preserve">TOC \o "1-3" \h \u </w:instrText>
          </w:r>
          <w:r>
            <w:rPr>
              <w:rFonts w:hint="default" w:ascii="Times New Roman" w:hAnsi="Times New Roman" w:cs="Times New Roman"/>
              <w:color w:val="auto"/>
              <w:sz w:val="24"/>
              <w:szCs w:val="24"/>
              <w:highlight w:val="none"/>
            </w:rPr>
            <w:fldChar w:fldCharType="separate"/>
          </w: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_Toc5091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第一章  全面开启中国式现代化巩留实践新征程</w:t>
          </w:r>
          <w:r>
            <w:rPr>
              <w:sz w:val="24"/>
              <w:szCs w:val="24"/>
            </w:rPr>
            <w:tab/>
          </w:r>
          <w:r>
            <w:rPr>
              <w:sz w:val="24"/>
              <w:szCs w:val="24"/>
            </w:rPr>
            <w:fldChar w:fldCharType="begin"/>
          </w:r>
          <w:r>
            <w:rPr>
              <w:sz w:val="24"/>
              <w:szCs w:val="24"/>
            </w:rPr>
            <w:instrText xml:space="preserve"> PAGEREF _Toc5091 \h </w:instrText>
          </w:r>
          <w:r>
            <w:rPr>
              <w:sz w:val="24"/>
              <w:szCs w:val="24"/>
            </w:rPr>
            <w:fldChar w:fldCharType="separate"/>
          </w:r>
          <w:r>
            <w:rPr>
              <w:sz w:val="24"/>
              <w:szCs w:val="24"/>
            </w:rPr>
            <w:t>- 1 -</w:t>
          </w:r>
          <w:r>
            <w:rPr>
              <w:sz w:val="24"/>
              <w:szCs w:val="24"/>
            </w:rPr>
            <w:fldChar w:fldCharType="end"/>
          </w:r>
          <w:r>
            <w:rPr>
              <w:rFonts w:hint="default" w:ascii="Times New Roman" w:hAnsi="Times New Roman" w:cs="Times New Roman"/>
              <w:color w:val="auto"/>
              <w:sz w:val="24"/>
              <w:szCs w:val="24"/>
              <w:highlight w:val="none"/>
            </w:rPr>
            <w:fldChar w:fldCharType="end"/>
          </w:r>
        </w:p>
        <w:p w14:paraId="6897CF1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_Toc13536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rPr>
            <w:t>第一节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cs="Times New Roman"/>
              <w:sz w:val="24"/>
              <w:szCs w:val="24"/>
              <w:highlight w:val="none"/>
              <w:lang w:val="en-US" w:eastAsia="zh-CN"/>
            </w:rPr>
            <w:t>“</w:t>
          </w:r>
          <w:r>
            <w:rPr>
              <w:rFonts w:hint="default" w:ascii="Times New Roman" w:hAnsi="Times New Roman" w:eastAsia="楷体_GB2312" w:cs="Times New Roman"/>
              <w:sz w:val="24"/>
              <w:szCs w:val="24"/>
              <w:highlight w:val="none"/>
              <w:lang w:val="en-US" w:eastAsia="zh-CN"/>
            </w:rPr>
            <w:t>十四五</w:t>
          </w:r>
          <w:r>
            <w:rPr>
              <w:rFonts w:hint="default" w:ascii="Times New Roman" w:hAnsi="Times New Roman" w:cs="Times New Roman"/>
              <w:sz w:val="24"/>
              <w:szCs w:val="24"/>
              <w:highlight w:val="none"/>
              <w:lang w:val="en-US" w:eastAsia="zh-CN"/>
            </w:rPr>
            <w:t>”</w:t>
          </w:r>
          <w:r>
            <w:rPr>
              <w:rFonts w:hint="default" w:ascii="Times New Roman" w:hAnsi="Times New Roman" w:eastAsia="楷体_GB2312" w:cs="Times New Roman"/>
              <w:sz w:val="24"/>
              <w:szCs w:val="24"/>
              <w:highlight w:val="none"/>
              <w:lang w:val="en-US" w:eastAsia="zh-CN"/>
            </w:rPr>
            <w:t>时期发展取得显著成就</w:t>
          </w:r>
          <w:r>
            <w:rPr>
              <w:sz w:val="24"/>
              <w:szCs w:val="24"/>
            </w:rPr>
            <w:tab/>
          </w:r>
          <w:r>
            <w:rPr>
              <w:sz w:val="24"/>
              <w:szCs w:val="24"/>
            </w:rPr>
            <w:fldChar w:fldCharType="begin"/>
          </w:r>
          <w:r>
            <w:rPr>
              <w:sz w:val="24"/>
              <w:szCs w:val="24"/>
            </w:rPr>
            <w:instrText xml:space="preserve"> PAGEREF _Toc13536 \h </w:instrText>
          </w:r>
          <w:r>
            <w:rPr>
              <w:sz w:val="24"/>
              <w:szCs w:val="24"/>
            </w:rPr>
            <w:fldChar w:fldCharType="separate"/>
          </w:r>
          <w:r>
            <w:rPr>
              <w:sz w:val="24"/>
              <w:szCs w:val="24"/>
            </w:rPr>
            <w:t>- 1 -</w:t>
          </w:r>
          <w:r>
            <w:rPr>
              <w:sz w:val="24"/>
              <w:szCs w:val="24"/>
            </w:rPr>
            <w:fldChar w:fldCharType="end"/>
          </w:r>
          <w:r>
            <w:rPr>
              <w:rFonts w:hint="default" w:ascii="Times New Roman" w:hAnsi="Times New Roman" w:cs="Times New Roman"/>
              <w:color w:val="auto"/>
              <w:sz w:val="24"/>
              <w:szCs w:val="24"/>
              <w:highlight w:val="none"/>
            </w:rPr>
            <w:fldChar w:fldCharType="end"/>
          </w:r>
        </w:p>
        <w:p w14:paraId="68D7DC4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_Toc14761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rPr>
            <w:t>第二节</w:t>
          </w:r>
          <w:r>
            <w:rPr>
              <w:rFonts w:hint="default" w:ascii="Times New Roman" w:hAnsi="Times New Roman" w:eastAsia="楷体_GB2312" w:cs="Times New Roman"/>
              <w:sz w:val="24"/>
              <w:szCs w:val="24"/>
              <w:highlight w:val="none"/>
              <w:lang w:eastAsia="zh-CN"/>
            </w:rPr>
            <w:t xml:space="preserve"> </w:t>
          </w:r>
          <w:r>
            <w:rPr>
              <w:rFonts w:hint="default" w:ascii="Times New Roman" w:hAnsi="Times New Roman" w:eastAsia="楷体_GB2312" w:cs="Times New Roman"/>
              <w:sz w:val="24"/>
              <w:szCs w:val="24"/>
              <w:highlight w:val="none"/>
              <w:lang w:val="en-US" w:eastAsia="zh-CN"/>
            </w:rPr>
            <w:t>“十五五”时期发展</w:t>
          </w:r>
          <w:r>
            <w:rPr>
              <w:rFonts w:hint="default" w:ascii="Times New Roman" w:hAnsi="Times New Roman" w:eastAsia="楷体_GB2312" w:cs="Times New Roman"/>
              <w:sz w:val="24"/>
              <w:szCs w:val="24"/>
              <w:highlight w:val="none"/>
              <w:lang w:eastAsia="zh-CN"/>
            </w:rPr>
            <w:t>环境</w:t>
          </w:r>
          <w:r>
            <w:rPr>
              <w:rFonts w:hint="default" w:ascii="Times New Roman" w:hAnsi="Times New Roman" w:eastAsia="楷体_GB2312" w:cs="Times New Roman"/>
              <w:sz w:val="24"/>
              <w:szCs w:val="24"/>
              <w:highlight w:val="none"/>
              <w:lang w:val="en-US" w:eastAsia="zh-CN"/>
            </w:rPr>
            <w:t>面临的形势变化</w:t>
          </w:r>
          <w:r>
            <w:rPr>
              <w:sz w:val="24"/>
              <w:szCs w:val="24"/>
            </w:rPr>
            <w:tab/>
          </w:r>
          <w:r>
            <w:rPr>
              <w:sz w:val="24"/>
              <w:szCs w:val="24"/>
            </w:rPr>
            <w:fldChar w:fldCharType="begin"/>
          </w:r>
          <w:r>
            <w:rPr>
              <w:sz w:val="24"/>
              <w:szCs w:val="24"/>
            </w:rPr>
            <w:instrText xml:space="preserve"> PAGEREF _Toc14761 \h </w:instrText>
          </w:r>
          <w:r>
            <w:rPr>
              <w:sz w:val="24"/>
              <w:szCs w:val="24"/>
            </w:rPr>
            <w:fldChar w:fldCharType="separate"/>
          </w:r>
          <w:r>
            <w:rPr>
              <w:sz w:val="24"/>
              <w:szCs w:val="24"/>
            </w:rPr>
            <w:t>- 8 -</w:t>
          </w:r>
          <w:r>
            <w:rPr>
              <w:sz w:val="24"/>
              <w:szCs w:val="24"/>
            </w:rPr>
            <w:fldChar w:fldCharType="end"/>
          </w:r>
          <w:r>
            <w:rPr>
              <w:rFonts w:hint="default" w:ascii="Times New Roman" w:hAnsi="Times New Roman" w:cs="Times New Roman"/>
              <w:color w:val="auto"/>
              <w:sz w:val="24"/>
              <w:szCs w:val="24"/>
              <w:highlight w:val="none"/>
            </w:rPr>
            <w:fldChar w:fldCharType="end"/>
          </w:r>
        </w:p>
        <w:p w14:paraId="51989A32">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_Toc12992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rPr>
            <w:t>第</w:t>
          </w:r>
          <w:r>
            <w:rPr>
              <w:rFonts w:hint="default" w:ascii="Times New Roman" w:hAnsi="Times New Roman" w:eastAsia="楷体_GB2312" w:cs="Times New Roman"/>
              <w:sz w:val="24"/>
              <w:szCs w:val="24"/>
              <w:highlight w:val="none"/>
              <w:lang w:val="en-US" w:eastAsia="zh-CN"/>
            </w:rPr>
            <w:t>三</w:t>
          </w:r>
          <w:r>
            <w:rPr>
              <w:rFonts w:hint="default" w:ascii="Times New Roman" w:hAnsi="Times New Roman" w:eastAsia="楷体_GB2312" w:cs="Times New Roman"/>
              <w:sz w:val="24"/>
              <w:szCs w:val="24"/>
              <w:highlight w:val="none"/>
            </w:rPr>
            <w:t>节</w:t>
          </w:r>
          <w:r>
            <w:rPr>
              <w:rFonts w:hint="default" w:ascii="Times New Roman" w:hAnsi="Times New Roman" w:eastAsia="楷体_GB2312" w:cs="Times New Roman"/>
              <w:sz w:val="24"/>
              <w:szCs w:val="24"/>
              <w:highlight w:val="none"/>
              <w:lang w:val="en-US" w:eastAsia="zh-CN"/>
            </w:rPr>
            <w:t xml:space="preserve"> “十五五”时期经济社会发展的指导思想</w:t>
          </w:r>
          <w:r>
            <w:rPr>
              <w:sz w:val="24"/>
              <w:szCs w:val="24"/>
            </w:rPr>
            <w:tab/>
          </w:r>
          <w:r>
            <w:rPr>
              <w:sz w:val="24"/>
              <w:szCs w:val="24"/>
            </w:rPr>
            <w:fldChar w:fldCharType="begin"/>
          </w:r>
          <w:r>
            <w:rPr>
              <w:sz w:val="24"/>
              <w:szCs w:val="24"/>
            </w:rPr>
            <w:instrText xml:space="preserve"> PAGEREF _Toc12992 \h </w:instrText>
          </w:r>
          <w:r>
            <w:rPr>
              <w:sz w:val="24"/>
              <w:szCs w:val="24"/>
            </w:rPr>
            <w:fldChar w:fldCharType="separate"/>
          </w:r>
          <w:r>
            <w:rPr>
              <w:sz w:val="24"/>
              <w:szCs w:val="24"/>
            </w:rPr>
            <w:t xml:space="preserve">- </w:t>
          </w:r>
          <w:r>
            <w:rPr>
              <w:rFonts w:hint="eastAsia"/>
              <w:sz w:val="24"/>
              <w:szCs w:val="24"/>
              <w:lang w:val="en-US" w:eastAsia="zh-CN"/>
            </w:rPr>
            <w:t>10</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66070DB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_Toc13593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rPr>
            <w:t>节</w:t>
          </w:r>
          <w:r>
            <w:rPr>
              <w:rFonts w:hint="default" w:ascii="Times New Roman" w:hAnsi="Times New Roman" w:eastAsia="楷体_GB2312" w:cs="Times New Roman"/>
              <w:sz w:val="24"/>
              <w:szCs w:val="24"/>
              <w:highlight w:val="none"/>
              <w:lang w:val="en-US" w:eastAsia="zh-CN"/>
            </w:rPr>
            <w:t xml:space="preserve"> “十五五”时期经济社会发展</w:t>
          </w:r>
          <w:r>
            <w:rPr>
              <w:rFonts w:hint="default" w:ascii="Times New Roman" w:hAnsi="Times New Roman" w:eastAsia="楷体_GB2312" w:cs="Times New Roman"/>
              <w:sz w:val="24"/>
              <w:szCs w:val="24"/>
              <w:highlight w:val="none"/>
              <w:lang w:eastAsia="zh-CN"/>
            </w:rPr>
            <w:t>必须</w:t>
          </w:r>
          <w:r>
            <w:rPr>
              <w:rFonts w:hint="default" w:ascii="Times New Roman" w:hAnsi="Times New Roman" w:eastAsia="楷体_GB2312" w:cs="Times New Roman"/>
              <w:sz w:val="24"/>
              <w:szCs w:val="24"/>
              <w:highlight w:val="none"/>
              <w:lang w:val="en-US" w:eastAsia="zh-CN"/>
            </w:rPr>
            <w:t>遵循的原则</w:t>
          </w:r>
          <w:r>
            <w:rPr>
              <w:sz w:val="24"/>
              <w:szCs w:val="24"/>
            </w:rPr>
            <w:tab/>
          </w:r>
          <w:r>
            <w:rPr>
              <w:sz w:val="24"/>
              <w:szCs w:val="24"/>
            </w:rPr>
            <w:fldChar w:fldCharType="begin"/>
          </w:r>
          <w:r>
            <w:rPr>
              <w:sz w:val="24"/>
              <w:szCs w:val="24"/>
            </w:rPr>
            <w:instrText xml:space="preserve"> PAGEREF _Toc13593 \h </w:instrText>
          </w:r>
          <w:r>
            <w:rPr>
              <w:sz w:val="24"/>
              <w:szCs w:val="24"/>
            </w:rPr>
            <w:fldChar w:fldCharType="separate"/>
          </w:r>
          <w:r>
            <w:rPr>
              <w:sz w:val="24"/>
              <w:szCs w:val="24"/>
            </w:rPr>
            <w:t>- 11 -</w:t>
          </w:r>
          <w:r>
            <w:rPr>
              <w:sz w:val="24"/>
              <w:szCs w:val="24"/>
            </w:rPr>
            <w:fldChar w:fldCharType="end"/>
          </w:r>
          <w:r>
            <w:rPr>
              <w:rFonts w:hint="default" w:ascii="Times New Roman" w:hAnsi="Times New Roman" w:cs="Times New Roman"/>
              <w:color w:val="auto"/>
              <w:sz w:val="24"/>
              <w:szCs w:val="24"/>
              <w:highlight w:val="none"/>
            </w:rPr>
            <w:fldChar w:fldCharType="end"/>
          </w:r>
        </w:p>
        <w:p w14:paraId="4978B65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_Toc6496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rPr>
            <w:t>第</w:t>
          </w:r>
          <w:r>
            <w:rPr>
              <w:rFonts w:hint="default" w:ascii="Times New Roman" w:hAnsi="Times New Roman" w:eastAsia="楷体_GB2312" w:cs="Times New Roman"/>
              <w:sz w:val="24"/>
              <w:szCs w:val="24"/>
              <w:highlight w:val="none"/>
              <w:lang w:val="en-US" w:eastAsia="zh-CN"/>
            </w:rPr>
            <w:t>五</w:t>
          </w:r>
          <w:r>
            <w:rPr>
              <w:rFonts w:hint="default" w:ascii="Times New Roman" w:hAnsi="Times New Roman" w:eastAsia="楷体_GB2312" w:cs="Times New Roman"/>
              <w:sz w:val="24"/>
              <w:szCs w:val="24"/>
              <w:highlight w:val="none"/>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“十</w:t>
          </w:r>
          <w:r>
            <w:rPr>
              <w:rFonts w:hint="default" w:ascii="Times New Roman" w:hAnsi="Times New Roman" w:eastAsia="楷体_GB2312" w:cs="Times New Roman"/>
              <w:sz w:val="24"/>
              <w:szCs w:val="24"/>
              <w:highlight w:val="none"/>
              <w:lang w:val="en-US" w:eastAsia="zh-CN"/>
            </w:rPr>
            <w:t>五</w:t>
          </w:r>
          <w:r>
            <w:rPr>
              <w:rFonts w:hint="default" w:ascii="Times New Roman" w:hAnsi="Times New Roman" w:eastAsia="楷体_GB2312" w:cs="Times New Roman"/>
              <w:sz w:val="24"/>
              <w:szCs w:val="24"/>
              <w:highlight w:val="none"/>
              <w:lang w:eastAsia="zh-CN"/>
            </w:rPr>
            <w:t>五”时期经济社会发展主要目标</w:t>
          </w:r>
          <w:r>
            <w:rPr>
              <w:sz w:val="24"/>
              <w:szCs w:val="24"/>
            </w:rPr>
            <w:tab/>
          </w:r>
          <w:r>
            <w:rPr>
              <w:sz w:val="24"/>
              <w:szCs w:val="24"/>
            </w:rPr>
            <w:fldChar w:fldCharType="begin"/>
          </w:r>
          <w:r>
            <w:rPr>
              <w:sz w:val="24"/>
              <w:szCs w:val="24"/>
            </w:rPr>
            <w:instrText xml:space="preserve"> PAGEREF _Toc6496 \h </w:instrText>
          </w:r>
          <w:r>
            <w:rPr>
              <w:sz w:val="24"/>
              <w:szCs w:val="24"/>
            </w:rPr>
            <w:fldChar w:fldCharType="separate"/>
          </w:r>
          <w:r>
            <w:rPr>
              <w:sz w:val="24"/>
              <w:szCs w:val="24"/>
            </w:rPr>
            <w:t>- 1</w:t>
          </w:r>
          <w:r>
            <w:rPr>
              <w:rFonts w:hint="eastAsia"/>
              <w:sz w:val="24"/>
              <w:szCs w:val="24"/>
              <w:lang w:val="en-US" w:eastAsia="zh-CN"/>
            </w:rPr>
            <w:t>3</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33C01DD1">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_Toc19973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第二章  围绕服务打造全国能源资源的战略保障基地，加快建设具有巩留县特色和优势的现代化产业体系</w:t>
          </w:r>
          <w:r>
            <w:rPr>
              <w:sz w:val="24"/>
              <w:szCs w:val="24"/>
            </w:rPr>
            <w:tab/>
          </w:r>
          <w:r>
            <w:rPr>
              <w:sz w:val="24"/>
              <w:szCs w:val="24"/>
            </w:rPr>
            <w:fldChar w:fldCharType="begin"/>
          </w:r>
          <w:r>
            <w:rPr>
              <w:sz w:val="24"/>
              <w:szCs w:val="24"/>
            </w:rPr>
            <w:instrText xml:space="preserve"> PAGEREF _Toc19973 \h </w:instrText>
          </w:r>
          <w:r>
            <w:rPr>
              <w:sz w:val="24"/>
              <w:szCs w:val="24"/>
            </w:rPr>
            <w:fldChar w:fldCharType="separate"/>
          </w:r>
          <w:r>
            <w:rPr>
              <w:sz w:val="24"/>
              <w:szCs w:val="24"/>
            </w:rPr>
            <w:t>- 17 -</w:t>
          </w:r>
          <w:r>
            <w:rPr>
              <w:sz w:val="24"/>
              <w:szCs w:val="24"/>
            </w:rPr>
            <w:fldChar w:fldCharType="end"/>
          </w:r>
          <w:r>
            <w:rPr>
              <w:rFonts w:hint="default" w:ascii="Times New Roman" w:hAnsi="Times New Roman" w:cs="Times New Roman"/>
              <w:color w:val="auto"/>
              <w:sz w:val="24"/>
              <w:szCs w:val="24"/>
              <w:highlight w:val="none"/>
            </w:rPr>
            <w:fldChar w:fldCharType="end"/>
          </w:r>
        </w:p>
        <w:p w14:paraId="2039047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_Toc24921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优化提升传统产业</w:t>
          </w:r>
          <w:r>
            <w:rPr>
              <w:sz w:val="24"/>
              <w:szCs w:val="24"/>
            </w:rPr>
            <w:tab/>
          </w:r>
          <w:r>
            <w:rPr>
              <w:sz w:val="24"/>
              <w:szCs w:val="24"/>
            </w:rPr>
            <w:fldChar w:fldCharType="begin"/>
          </w:r>
          <w:r>
            <w:rPr>
              <w:sz w:val="24"/>
              <w:szCs w:val="24"/>
            </w:rPr>
            <w:instrText xml:space="preserve"> PAGEREF _Toc24921 \h </w:instrText>
          </w:r>
          <w:r>
            <w:rPr>
              <w:sz w:val="24"/>
              <w:szCs w:val="24"/>
            </w:rPr>
            <w:fldChar w:fldCharType="separate"/>
          </w:r>
          <w:r>
            <w:rPr>
              <w:sz w:val="24"/>
              <w:szCs w:val="24"/>
            </w:rPr>
            <w:t>- 17 -</w:t>
          </w:r>
          <w:r>
            <w:rPr>
              <w:sz w:val="24"/>
              <w:szCs w:val="24"/>
            </w:rPr>
            <w:fldChar w:fldCharType="end"/>
          </w:r>
          <w:r>
            <w:rPr>
              <w:rFonts w:hint="default" w:ascii="Times New Roman" w:hAnsi="Times New Roman" w:cs="Times New Roman"/>
              <w:color w:val="auto"/>
              <w:sz w:val="24"/>
              <w:szCs w:val="24"/>
              <w:highlight w:val="none"/>
            </w:rPr>
            <w:fldChar w:fldCharType="end"/>
          </w:r>
        </w:p>
        <w:p w14:paraId="3FEDF99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_Toc21125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第二节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加快发展绿色矿业产业</w:t>
          </w:r>
          <w:r>
            <w:rPr>
              <w:sz w:val="24"/>
              <w:szCs w:val="24"/>
            </w:rPr>
            <w:tab/>
          </w:r>
          <w:r>
            <w:rPr>
              <w:sz w:val="24"/>
              <w:szCs w:val="24"/>
            </w:rPr>
            <w:fldChar w:fldCharType="begin"/>
          </w:r>
          <w:r>
            <w:rPr>
              <w:sz w:val="24"/>
              <w:szCs w:val="24"/>
            </w:rPr>
            <w:instrText xml:space="preserve"> PAGEREF _Toc21125 \h </w:instrText>
          </w:r>
          <w:r>
            <w:rPr>
              <w:sz w:val="24"/>
              <w:szCs w:val="24"/>
            </w:rPr>
            <w:fldChar w:fldCharType="separate"/>
          </w:r>
          <w:r>
            <w:rPr>
              <w:sz w:val="24"/>
              <w:szCs w:val="24"/>
            </w:rPr>
            <w:t>- 18 -</w:t>
          </w:r>
          <w:r>
            <w:rPr>
              <w:sz w:val="24"/>
              <w:szCs w:val="24"/>
            </w:rPr>
            <w:fldChar w:fldCharType="end"/>
          </w:r>
          <w:r>
            <w:rPr>
              <w:rFonts w:hint="default" w:ascii="Times New Roman" w:hAnsi="Times New Roman" w:cs="Times New Roman"/>
              <w:color w:val="auto"/>
              <w:sz w:val="24"/>
              <w:szCs w:val="24"/>
              <w:highlight w:val="none"/>
            </w:rPr>
            <w:fldChar w:fldCharType="end"/>
          </w:r>
        </w:p>
        <w:p w14:paraId="472B673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_Toc187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第三节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提质升级新能源产业</w:t>
          </w:r>
          <w:r>
            <w:rPr>
              <w:sz w:val="24"/>
              <w:szCs w:val="24"/>
            </w:rPr>
            <w:tab/>
          </w:r>
          <w:r>
            <w:rPr>
              <w:sz w:val="24"/>
              <w:szCs w:val="24"/>
            </w:rPr>
            <w:fldChar w:fldCharType="begin"/>
          </w:r>
          <w:r>
            <w:rPr>
              <w:sz w:val="24"/>
              <w:szCs w:val="24"/>
            </w:rPr>
            <w:instrText xml:space="preserve"> PAGEREF _Toc187 \h </w:instrText>
          </w:r>
          <w:r>
            <w:rPr>
              <w:sz w:val="24"/>
              <w:szCs w:val="24"/>
            </w:rPr>
            <w:fldChar w:fldCharType="separate"/>
          </w:r>
          <w:r>
            <w:rPr>
              <w:sz w:val="24"/>
              <w:szCs w:val="24"/>
            </w:rPr>
            <w:t>- 19 -</w:t>
          </w:r>
          <w:r>
            <w:rPr>
              <w:sz w:val="24"/>
              <w:szCs w:val="24"/>
            </w:rPr>
            <w:fldChar w:fldCharType="end"/>
          </w:r>
          <w:r>
            <w:rPr>
              <w:rFonts w:hint="default" w:ascii="Times New Roman" w:hAnsi="Times New Roman" w:cs="Times New Roman"/>
              <w:color w:val="auto"/>
              <w:sz w:val="24"/>
              <w:szCs w:val="24"/>
              <w:highlight w:val="none"/>
            </w:rPr>
            <w:fldChar w:fldCharType="end"/>
          </w:r>
        </w:p>
        <w:p w14:paraId="2B0209F0">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_Toc10071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第四节</w:t>
          </w:r>
          <w:r>
            <w:rPr>
              <w:rFonts w:hint="default" w:ascii="Times New Roman" w:hAnsi="Times New Roman" w:eastAsia="楷体_GB2312" w:cs="Times New Roman"/>
              <w:sz w:val="24"/>
              <w:szCs w:val="24"/>
              <w:highlight w:val="none"/>
              <w:lang w:val="en-US" w:eastAsia="zh-CN"/>
            </w:rPr>
            <w:t xml:space="preserve"> 加快推进</w:t>
          </w:r>
          <w:r>
            <w:rPr>
              <w:rFonts w:hint="default" w:ascii="Times New Roman" w:hAnsi="Times New Roman" w:eastAsia="楷体_GB2312" w:cs="Times New Roman"/>
              <w:sz w:val="24"/>
              <w:szCs w:val="24"/>
              <w:highlight w:val="none"/>
              <w:lang w:eastAsia="zh-CN"/>
            </w:rPr>
            <w:t>新材料产业</w:t>
          </w:r>
          <w:r>
            <w:rPr>
              <w:sz w:val="24"/>
              <w:szCs w:val="24"/>
            </w:rPr>
            <w:tab/>
          </w:r>
          <w:r>
            <w:rPr>
              <w:sz w:val="24"/>
              <w:szCs w:val="24"/>
            </w:rPr>
            <w:fldChar w:fldCharType="begin"/>
          </w:r>
          <w:r>
            <w:rPr>
              <w:sz w:val="24"/>
              <w:szCs w:val="24"/>
            </w:rPr>
            <w:instrText xml:space="preserve"> PAGEREF _Toc10071 \h </w:instrText>
          </w:r>
          <w:r>
            <w:rPr>
              <w:sz w:val="24"/>
              <w:szCs w:val="24"/>
            </w:rPr>
            <w:fldChar w:fldCharType="separate"/>
          </w:r>
          <w:r>
            <w:rPr>
              <w:sz w:val="24"/>
              <w:szCs w:val="24"/>
            </w:rPr>
            <w:t>- 20 -</w:t>
          </w:r>
          <w:r>
            <w:rPr>
              <w:sz w:val="24"/>
              <w:szCs w:val="24"/>
            </w:rPr>
            <w:fldChar w:fldCharType="end"/>
          </w:r>
          <w:r>
            <w:rPr>
              <w:rFonts w:hint="default" w:ascii="Times New Roman" w:hAnsi="Times New Roman" w:cs="Times New Roman"/>
              <w:color w:val="auto"/>
              <w:sz w:val="24"/>
              <w:szCs w:val="24"/>
              <w:highlight w:val="none"/>
            </w:rPr>
            <w:fldChar w:fldCharType="end"/>
          </w:r>
        </w:p>
        <w:p w14:paraId="6A3EFD6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_Toc15478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第五节</w:t>
          </w:r>
          <w:r>
            <w:rPr>
              <w:rFonts w:hint="default" w:ascii="Times New Roman" w:hAnsi="Times New Roman" w:eastAsia="楷体_GB2312" w:cs="Times New Roman"/>
              <w:sz w:val="24"/>
              <w:szCs w:val="24"/>
              <w:highlight w:val="none"/>
              <w:lang w:val="en-US" w:eastAsia="zh-CN"/>
            </w:rPr>
            <w:t xml:space="preserve"> 提速发展生物医药产业</w:t>
          </w:r>
          <w:r>
            <w:rPr>
              <w:sz w:val="24"/>
              <w:szCs w:val="24"/>
            </w:rPr>
            <w:tab/>
          </w:r>
          <w:r>
            <w:rPr>
              <w:sz w:val="24"/>
              <w:szCs w:val="24"/>
            </w:rPr>
            <w:fldChar w:fldCharType="begin"/>
          </w:r>
          <w:r>
            <w:rPr>
              <w:sz w:val="24"/>
              <w:szCs w:val="24"/>
            </w:rPr>
            <w:instrText xml:space="preserve"> PAGEREF _Toc15478 \h </w:instrText>
          </w:r>
          <w:r>
            <w:rPr>
              <w:sz w:val="24"/>
              <w:szCs w:val="24"/>
            </w:rPr>
            <w:fldChar w:fldCharType="separate"/>
          </w:r>
          <w:r>
            <w:rPr>
              <w:sz w:val="24"/>
              <w:szCs w:val="24"/>
            </w:rPr>
            <w:t>- 21 -</w:t>
          </w:r>
          <w:r>
            <w:rPr>
              <w:sz w:val="24"/>
              <w:szCs w:val="24"/>
            </w:rPr>
            <w:fldChar w:fldCharType="end"/>
          </w:r>
          <w:r>
            <w:rPr>
              <w:rFonts w:hint="default" w:ascii="Times New Roman" w:hAnsi="Times New Roman" w:cs="Times New Roman"/>
              <w:color w:val="auto"/>
              <w:sz w:val="24"/>
              <w:szCs w:val="24"/>
              <w:highlight w:val="none"/>
            </w:rPr>
            <w:fldChar w:fldCharType="end"/>
          </w:r>
        </w:p>
        <w:p w14:paraId="2D300E11">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_Toc19509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w:t>
          </w:r>
          <w:r>
            <w:rPr>
              <w:rFonts w:hint="default" w:ascii="Times New Roman" w:hAnsi="Times New Roman" w:eastAsia="楷体_GB2312" w:cs="Times New Roman"/>
              <w:sz w:val="24"/>
              <w:szCs w:val="24"/>
              <w:highlight w:val="none"/>
              <w:lang w:eastAsia="zh-CN"/>
            </w:rPr>
            <w:t>六</w:t>
          </w:r>
          <w:r>
            <w:rPr>
              <w:rFonts w:hint="default" w:ascii="Times New Roman" w:hAnsi="Times New Roman" w:eastAsia="楷体_GB2312" w:cs="Times New Roman"/>
              <w:sz w:val="24"/>
              <w:szCs w:val="24"/>
              <w:highlight w:val="none"/>
              <w:lang w:val="en-US" w:eastAsia="zh-CN"/>
            </w:rPr>
            <w:t>节 推进农副产品精深加工</w:t>
          </w:r>
          <w:r>
            <w:rPr>
              <w:sz w:val="24"/>
              <w:szCs w:val="24"/>
            </w:rPr>
            <w:tab/>
          </w:r>
          <w:r>
            <w:rPr>
              <w:sz w:val="24"/>
              <w:szCs w:val="24"/>
            </w:rPr>
            <w:fldChar w:fldCharType="begin"/>
          </w:r>
          <w:r>
            <w:rPr>
              <w:sz w:val="24"/>
              <w:szCs w:val="24"/>
            </w:rPr>
            <w:instrText xml:space="preserve"> PAGEREF _Toc19509 \h </w:instrText>
          </w:r>
          <w:r>
            <w:rPr>
              <w:sz w:val="24"/>
              <w:szCs w:val="24"/>
            </w:rPr>
            <w:fldChar w:fldCharType="separate"/>
          </w:r>
          <w:r>
            <w:rPr>
              <w:sz w:val="24"/>
              <w:szCs w:val="24"/>
            </w:rPr>
            <w:t>- 2</w:t>
          </w:r>
          <w:r>
            <w:rPr>
              <w:rFonts w:hint="eastAsia"/>
              <w:sz w:val="24"/>
              <w:szCs w:val="24"/>
              <w:lang w:val="en-US" w:eastAsia="zh-CN"/>
            </w:rPr>
            <w:t>2</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1E1E029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_Toc12759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第七节</w:t>
          </w:r>
          <w:r>
            <w:rPr>
              <w:rFonts w:hint="default" w:ascii="Times New Roman" w:hAnsi="Times New Roman" w:eastAsia="楷体_GB2312" w:cs="Times New Roman"/>
              <w:sz w:val="24"/>
              <w:szCs w:val="24"/>
              <w:highlight w:val="none"/>
              <w:lang w:val="en-US" w:eastAsia="zh-CN"/>
            </w:rPr>
            <w:t xml:space="preserve"> 培育壮大新兴产业新赛道</w:t>
          </w:r>
          <w:r>
            <w:rPr>
              <w:sz w:val="24"/>
              <w:szCs w:val="24"/>
            </w:rPr>
            <w:tab/>
          </w:r>
          <w:r>
            <w:rPr>
              <w:sz w:val="24"/>
              <w:szCs w:val="24"/>
            </w:rPr>
            <w:fldChar w:fldCharType="begin"/>
          </w:r>
          <w:r>
            <w:rPr>
              <w:sz w:val="24"/>
              <w:szCs w:val="24"/>
            </w:rPr>
            <w:instrText xml:space="preserve"> PAGEREF _Toc12759 \h </w:instrText>
          </w:r>
          <w:r>
            <w:rPr>
              <w:sz w:val="24"/>
              <w:szCs w:val="24"/>
            </w:rPr>
            <w:fldChar w:fldCharType="separate"/>
          </w:r>
          <w:r>
            <w:rPr>
              <w:sz w:val="24"/>
              <w:szCs w:val="24"/>
            </w:rPr>
            <w:t>- 2</w:t>
          </w:r>
          <w:r>
            <w:rPr>
              <w:rFonts w:hint="eastAsia"/>
              <w:sz w:val="24"/>
              <w:szCs w:val="24"/>
              <w:lang w:val="en-US" w:eastAsia="zh-CN"/>
            </w:rPr>
            <w:t>3</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75543B0B">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_Toc31681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lang w:val="en-US" w:eastAsia="zh-CN"/>
            </w:rPr>
            <w:t>第</w:t>
          </w:r>
          <w:r>
            <w:rPr>
              <w:rFonts w:hint="default" w:ascii="Times New Roman" w:hAnsi="Times New Roman" w:eastAsia="楷体_GB2312" w:cs="Times New Roman"/>
              <w:sz w:val="24"/>
              <w:szCs w:val="24"/>
              <w:lang w:eastAsia="zh-CN"/>
            </w:rPr>
            <w:t>八</w:t>
          </w:r>
          <w:r>
            <w:rPr>
              <w:rFonts w:hint="default" w:ascii="Times New Roman" w:hAnsi="Times New Roman" w:eastAsia="楷体_GB2312" w:cs="Times New Roman"/>
              <w:sz w:val="24"/>
              <w:szCs w:val="24"/>
              <w:lang w:val="en-US" w:eastAsia="zh-CN"/>
            </w:rPr>
            <w:t>节 促进服务业优质高效发展</w:t>
          </w:r>
          <w:r>
            <w:rPr>
              <w:sz w:val="24"/>
              <w:szCs w:val="24"/>
            </w:rPr>
            <w:tab/>
          </w:r>
          <w:r>
            <w:rPr>
              <w:sz w:val="24"/>
              <w:szCs w:val="24"/>
            </w:rPr>
            <w:fldChar w:fldCharType="begin"/>
          </w:r>
          <w:r>
            <w:rPr>
              <w:sz w:val="24"/>
              <w:szCs w:val="24"/>
            </w:rPr>
            <w:instrText xml:space="preserve"> PAGEREF _Toc31681 \h </w:instrText>
          </w:r>
          <w:r>
            <w:rPr>
              <w:sz w:val="24"/>
              <w:szCs w:val="24"/>
            </w:rPr>
            <w:fldChar w:fldCharType="separate"/>
          </w:r>
          <w:r>
            <w:rPr>
              <w:sz w:val="24"/>
              <w:szCs w:val="24"/>
            </w:rPr>
            <w:t>- 2</w:t>
          </w:r>
          <w:r>
            <w:rPr>
              <w:rFonts w:hint="eastAsia"/>
              <w:sz w:val="24"/>
              <w:szCs w:val="24"/>
              <w:lang w:val="en-US" w:eastAsia="zh-CN"/>
            </w:rPr>
            <w:t>4</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1AF3FE82">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_Toc16703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 xml:space="preserve">第三章  </w:t>
          </w:r>
          <w:r>
            <w:rPr>
              <w:rFonts w:hint="default" w:ascii="Times New Roman" w:hAnsi="Times New Roman" w:eastAsia="黑体" w:cs="Times New Roman"/>
              <w:bCs/>
              <w:spacing w:val="-17"/>
              <w:kern w:val="44"/>
              <w:sz w:val="24"/>
              <w:szCs w:val="24"/>
              <w:highlight w:val="none"/>
              <w:lang w:val="en-US" w:eastAsia="zh-CN" w:bidi="ar"/>
            </w:rPr>
            <w:t>大力提升文化旅游产业，擦亮“世界遗产·康养巩留”品牌</w:t>
          </w:r>
          <w:r>
            <w:rPr>
              <w:sz w:val="24"/>
              <w:szCs w:val="24"/>
            </w:rPr>
            <w:tab/>
          </w:r>
          <w:r>
            <w:rPr>
              <w:sz w:val="24"/>
              <w:szCs w:val="24"/>
            </w:rPr>
            <w:fldChar w:fldCharType="begin"/>
          </w:r>
          <w:r>
            <w:rPr>
              <w:sz w:val="24"/>
              <w:szCs w:val="24"/>
            </w:rPr>
            <w:instrText xml:space="preserve"> PAGEREF _Toc16703 \h </w:instrText>
          </w:r>
          <w:r>
            <w:rPr>
              <w:sz w:val="24"/>
              <w:szCs w:val="24"/>
            </w:rPr>
            <w:fldChar w:fldCharType="separate"/>
          </w:r>
          <w:r>
            <w:rPr>
              <w:sz w:val="24"/>
              <w:szCs w:val="24"/>
            </w:rPr>
            <w:t>- 26 -</w:t>
          </w:r>
          <w:r>
            <w:rPr>
              <w:sz w:val="24"/>
              <w:szCs w:val="24"/>
            </w:rPr>
            <w:fldChar w:fldCharType="end"/>
          </w:r>
          <w:r>
            <w:rPr>
              <w:rFonts w:hint="default" w:ascii="Times New Roman" w:hAnsi="Times New Roman" w:cs="Times New Roman"/>
              <w:color w:val="auto"/>
              <w:sz w:val="24"/>
              <w:szCs w:val="24"/>
              <w:highlight w:val="none"/>
            </w:rPr>
            <w:fldChar w:fldCharType="end"/>
          </w:r>
        </w:p>
        <w:p w14:paraId="1921E748">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_Toc3073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第四章  围绕服务打造新疆优质农牧产品的重要供给基地，高水平建设新时代农业强县</w:t>
          </w:r>
          <w:r>
            <w:rPr>
              <w:sz w:val="24"/>
              <w:szCs w:val="24"/>
            </w:rPr>
            <w:tab/>
          </w:r>
          <w:r>
            <w:rPr>
              <w:sz w:val="24"/>
              <w:szCs w:val="24"/>
            </w:rPr>
            <w:fldChar w:fldCharType="begin"/>
          </w:r>
          <w:r>
            <w:rPr>
              <w:sz w:val="24"/>
              <w:szCs w:val="24"/>
            </w:rPr>
            <w:instrText xml:space="preserve"> PAGEREF _Toc3073 \h </w:instrText>
          </w:r>
          <w:r>
            <w:rPr>
              <w:sz w:val="24"/>
              <w:szCs w:val="24"/>
            </w:rPr>
            <w:fldChar w:fldCharType="separate"/>
          </w:r>
          <w:r>
            <w:rPr>
              <w:sz w:val="24"/>
              <w:szCs w:val="24"/>
            </w:rPr>
            <w:t>- 29 -</w:t>
          </w:r>
          <w:r>
            <w:rPr>
              <w:sz w:val="24"/>
              <w:szCs w:val="24"/>
            </w:rPr>
            <w:fldChar w:fldCharType="end"/>
          </w:r>
          <w:r>
            <w:rPr>
              <w:rFonts w:hint="default" w:ascii="Times New Roman" w:hAnsi="Times New Roman" w:cs="Times New Roman"/>
              <w:color w:val="auto"/>
              <w:sz w:val="24"/>
              <w:szCs w:val="24"/>
              <w:highlight w:val="none"/>
            </w:rPr>
            <w:fldChar w:fldCharType="end"/>
          </w:r>
        </w:p>
        <w:p w14:paraId="58CE3D9F">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_Toc2876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 xml:space="preserve">第一节 </w:t>
          </w:r>
          <w:r>
            <w:rPr>
              <w:rFonts w:hint="default" w:ascii="Times New Roman" w:hAnsi="Times New Roman" w:eastAsia="楷体_GB2312" w:cs="Times New Roman"/>
              <w:sz w:val="24"/>
              <w:szCs w:val="24"/>
              <w:highlight w:val="none"/>
              <w:lang w:val="en-US" w:eastAsia="zh-CN"/>
            </w:rPr>
            <w:t>推动</w:t>
          </w:r>
          <w:r>
            <w:rPr>
              <w:rFonts w:hint="default" w:ascii="Times New Roman" w:hAnsi="Times New Roman" w:eastAsia="楷体_GB2312" w:cs="Times New Roman"/>
              <w:sz w:val="24"/>
              <w:szCs w:val="24"/>
              <w:highlight w:val="none"/>
              <w:lang w:eastAsia="zh-CN"/>
            </w:rPr>
            <w:t>特色优势种植业</w:t>
          </w:r>
          <w:r>
            <w:rPr>
              <w:rFonts w:hint="default" w:ascii="Times New Roman" w:hAnsi="Times New Roman" w:eastAsia="楷体_GB2312" w:cs="Times New Roman"/>
              <w:sz w:val="24"/>
              <w:szCs w:val="24"/>
              <w:highlight w:val="none"/>
              <w:lang w:val="en-US" w:eastAsia="zh-CN"/>
            </w:rPr>
            <w:t>做大做强</w:t>
          </w:r>
          <w:r>
            <w:rPr>
              <w:sz w:val="24"/>
              <w:szCs w:val="24"/>
            </w:rPr>
            <w:tab/>
          </w:r>
          <w:r>
            <w:rPr>
              <w:sz w:val="24"/>
              <w:szCs w:val="24"/>
            </w:rPr>
            <w:fldChar w:fldCharType="begin"/>
          </w:r>
          <w:r>
            <w:rPr>
              <w:sz w:val="24"/>
              <w:szCs w:val="24"/>
            </w:rPr>
            <w:instrText xml:space="preserve"> PAGEREF _Toc2876 \h </w:instrText>
          </w:r>
          <w:r>
            <w:rPr>
              <w:sz w:val="24"/>
              <w:szCs w:val="24"/>
            </w:rPr>
            <w:fldChar w:fldCharType="separate"/>
          </w:r>
          <w:r>
            <w:rPr>
              <w:sz w:val="24"/>
              <w:szCs w:val="24"/>
            </w:rPr>
            <w:t>- 29 -</w:t>
          </w:r>
          <w:r>
            <w:rPr>
              <w:sz w:val="24"/>
              <w:szCs w:val="24"/>
            </w:rPr>
            <w:fldChar w:fldCharType="end"/>
          </w:r>
          <w:r>
            <w:rPr>
              <w:rFonts w:hint="default" w:ascii="Times New Roman" w:hAnsi="Times New Roman" w:cs="Times New Roman"/>
              <w:color w:val="auto"/>
              <w:sz w:val="24"/>
              <w:szCs w:val="24"/>
              <w:highlight w:val="none"/>
            </w:rPr>
            <w:fldChar w:fldCharType="end"/>
          </w:r>
        </w:p>
        <w:p w14:paraId="2F38836C">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_Toc7034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二</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推进</w:t>
          </w:r>
          <w:r>
            <w:rPr>
              <w:rFonts w:hint="default" w:ascii="Times New Roman" w:hAnsi="Times New Roman" w:eastAsia="楷体_GB2312" w:cs="Times New Roman"/>
              <w:sz w:val="24"/>
              <w:szCs w:val="24"/>
              <w:highlight w:val="none"/>
              <w:lang w:val="en-US" w:eastAsia="zh-CN"/>
            </w:rPr>
            <w:t>畜</w:t>
          </w:r>
          <w:r>
            <w:rPr>
              <w:rFonts w:hint="default" w:ascii="Times New Roman" w:hAnsi="Times New Roman" w:eastAsia="楷体_GB2312" w:cs="Times New Roman"/>
              <w:sz w:val="24"/>
              <w:szCs w:val="24"/>
              <w:highlight w:val="none"/>
              <w:lang w:eastAsia="zh-CN"/>
            </w:rPr>
            <w:t>牧</w:t>
          </w:r>
          <w:r>
            <w:rPr>
              <w:rFonts w:hint="default" w:ascii="Times New Roman" w:hAnsi="Times New Roman" w:eastAsia="楷体_GB2312" w:cs="Times New Roman"/>
              <w:sz w:val="24"/>
              <w:szCs w:val="24"/>
              <w:highlight w:val="none"/>
              <w:lang w:val="en-US" w:eastAsia="zh-CN"/>
            </w:rPr>
            <w:t>渔业</w:t>
          </w:r>
          <w:r>
            <w:rPr>
              <w:rFonts w:hint="default" w:ascii="Times New Roman" w:hAnsi="Times New Roman" w:eastAsia="楷体_GB2312" w:cs="Times New Roman"/>
              <w:sz w:val="24"/>
              <w:szCs w:val="24"/>
              <w:highlight w:val="none"/>
              <w:lang w:eastAsia="zh-CN"/>
            </w:rPr>
            <w:t>提质增效</w:t>
          </w:r>
          <w:r>
            <w:rPr>
              <w:sz w:val="24"/>
              <w:szCs w:val="24"/>
            </w:rPr>
            <w:tab/>
          </w:r>
          <w:r>
            <w:rPr>
              <w:sz w:val="24"/>
              <w:szCs w:val="24"/>
            </w:rPr>
            <w:fldChar w:fldCharType="begin"/>
          </w:r>
          <w:r>
            <w:rPr>
              <w:sz w:val="24"/>
              <w:szCs w:val="24"/>
            </w:rPr>
            <w:instrText xml:space="preserve"> PAGEREF _Toc7034 \h </w:instrText>
          </w:r>
          <w:r>
            <w:rPr>
              <w:sz w:val="24"/>
              <w:szCs w:val="24"/>
            </w:rPr>
            <w:fldChar w:fldCharType="separate"/>
          </w:r>
          <w:r>
            <w:rPr>
              <w:sz w:val="24"/>
              <w:szCs w:val="24"/>
            </w:rPr>
            <w:t xml:space="preserve">- </w:t>
          </w:r>
          <w:r>
            <w:rPr>
              <w:rFonts w:hint="eastAsia"/>
              <w:sz w:val="24"/>
              <w:szCs w:val="24"/>
              <w:lang w:val="en-US" w:eastAsia="zh-CN"/>
            </w:rPr>
            <w:t>30</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256757F5">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_Toc31651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三</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推动特色</w:t>
          </w:r>
          <w:r>
            <w:rPr>
              <w:rFonts w:hint="default" w:ascii="Times New Roman" w:hAnsi="Times New Roman" w:eastAsia="楷体_GB2312" w:cs="Times New Roman"/>
              <w:sz w:val="24"/>
              <w:szCs w:val="24"/>
              <w:highlight w:val="none"/>
              <w:lang w:val="en-US" w:eastAsia="zh-CN"/>
            </w:rPr>
            <w:t>果蔬产业</w:t>
          </w:r>
          <w:r>
            <w:rPr>
              <w:rFonts w:hint="default" w:ascii="Times New Roman" w:hAnsi="Times New Roman" w:eastAsia="楷体_GB2312" w:cs="Times New Roman"/>
              <w:sz w:val="24"/>
              <w:szCs w:val="24"/>
              <w:highlight w:val="none"/>
              <w:lang w:eastAsia="zh-CN"/>
            </w:rPr>
            <w:t>规模化发展</w:t>
          </w:r>
          <w:r>
            <w:rPr>
              <w:sz w:val="24"/>
              <w:szCs w:val="24"/>
            </w:rPr>
            <w:tab/>
          </w:r>
          <w:r>
            <w:rPr>
              <w:sz w:val="24"/>
              <w:szCs w:val="24"/>
            </w:rPr>
            <w:fldChar w:fldCharType="begin"/>
          </w:r>
          <w:r>
            <w:rPr>
              <w:sz w:val="24"/>
              <w:szCs w:val="24"/>
            </w:rPr>
            <w:instrText xml:space="preserve"> PAGEREF _Toc31651 \h </w:instrText>
          </w:r>
          <w:r>
            <w:rPr>
              <w:sz w:val="24"/>
              <w:szCs w:val="24"/>
            </w:rPr>
            <w:fldChar w:fldCharType="separate"/>
          </w:r>
          <w:r>
            <w:rPr>
              <w:sz w:val="24"/>
              <w:szCs w:val="24"/>
            </w:rPr>
            <w:t>- 3</w:t>
          </w:r>
          <w:r>
            <w:rPr>
              <w:rFonts w:hint="eastAsia"/>
              <w:sz w:val="24"/>
              <w:szCs w:val="24"/>
              <w:lang w:val="en-US" w:eastAsia="zh-CN"/>
            </w:rPr>
            <w:t>1</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59EB5558">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_Toc14446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完善现代农业生产体系</w:t>
          </w:r>
          <w:r>
            <w:rPr>
              <w:sz w:val="24"/>
              <w:szCs w:val="24"/>
            </w:rPr>
            <w:tab/>
          </w:r>
          <w:r>
            <w:rPr>
              <w:sz w:val="24"/>
              <w:szCs w:val="24"/>
            </w:rPr>
            <w:fldChar w:fldCharType="begin"/>
          </w:r>
          <w:r>
            <w:rPr>
              <w:sz w:val="24"/>
              <w:szCs w:val="24"/>
            </w:rPr>
            <w:instrText xml:space="preserve"> PAGEREF _Toc14446 \h </w:instrText>
          </w:r>
          <w:r>
            <w:rPr>
              <w:sz w:val="24"/>
              <w:szCs w:val="24"/>
            </w:rPr>
            <w:fldChar w:fldCharType="separate"/>
          </w:r>
          <w:r>
            <w:rPr>
              <w:sz w:val="24"/>
              <w:szCs w:val="24"/>
            </w:rPr>
            <w:t>- 31 -</w:t>
          </w:r>
          <w:r>
            <w:rPr>
              <w:sz w:val="24"/>
              <w:szCs w:val="24"/>
            </w:rPr>
            <w:fldChar w:fldCharType="end"/>
          </w:r>
          <w:r>
            <w:rPr>
              <w:rFonts w:hint="default" w:ascii="Times New Roman" w:hAnsi="Times New Roman" w:cs="Times New Roman"/>
              <w:color w:val="auto"/>
              <w:sz w:val="24"/>
              <w:szCs w:val="24"/>
              <w:highlight w:val="none"/>
            </w:rPr>
            <w:fldChar w:fldCharType="end"/>
          </w:r>
        </w:p>
        <w:p w14:paraId="5740FA21">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_Toc31338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lang w:val="en-US" w:eastAsia="zh-CN"/>
            </w:rPr>
            <w:t>第五节</w:t>
          </w:r>
          <w:r>
            <w:rPr>
              <w:rFonts w:hint="default" w:ascii="Times New Roman" w:hAnsi="Times New Roman" w:cs="Times New Roman"/>
              <w:sz w:val="24"/>
              <w:szCs w:val="24"/>
              <w:lang w:val="en-US" w:eastAsia="zh-CN"/>
            </w:rPr>
            <w:t xml:space="preserve"> </w:t>
          </w:r>
          <w:r>
            <w:rPr>
              <w:rFonts w:hint="default" w:ascii="Times New Roman" w:hAnsi="Times New Roman" w:eastAsia="楷体_GB2312" w:cs="Times New Roman"/>
              <w:sz w:val="24"/>
              <w:szCs w:val="24"/>
              <w:highlight w:val="none"/>
              <w:lang w:val="en-US" w:eastAsia="zh-CN"/>
            </w:rPr>
            <w:t>健全现代农业经营体系</w:t>
          </w:r>
          <w:r>
            <w:rPr>
              <w:sz w:val="24"/>
              <w:szCs w:val="24"/>
            </w:rPr>
            <w:tab/>
          </w:r>
          <w:r>
            <w:rPr>
              <w:sz w:val="24"/>
              <w:szCs w:val="24"/>
            </w:rPr>
            <w:fldChar w:fldCharType="begin"/>
          </w:r>
          <w:r>
            <w:rPr>
              <w:sz w:val="24"/>
              <w:szCs w:val="24"/>
            </w:rPr>
            <w:instrText xml:space="preserve"> PAGEREF _Toc31338 \h </w:instrText>
          </w:r>
          <w:r>
            <w:rPr>
              <w:sz w:val="24"/>
              <w:szCs w:val="24"/>
            </w:rPr>
            <w:fldChar w:fldCharType="separate"/>
          </w:r>
          <w:r>
            <w:rPr>
              <w:sz w:val="24"/>
              <w:szCs w:val="24"/>
            </w:rPr>
            <w:t>- 32 -</w:t>
          </w:r>
          <w:r>
            <w:rPr>
              <w:sz w:val="24"/>
              <w:szCs w:val="24"/>
            </w:rPr>
            <w:fldChar w:fldCharType="end"/>
          </w:r>
          <w:r>
            <w:rPr>
              <w:rFonts w:hint="default" w:ascii="Times New Roman" w:hAnsi="Times New Roman" w:cs="Times New Roman"/>
              <w:color w:val="auto"/>
              <w:sz w:val="24"/>
              <w:szCs w:val="24"/>
              <w:highlight w:val="none"/>
            </w:rPr>
            <w:fldChar w:fldCharType="end"/>
          </w:r>
        </w:p>
        <w:p w14:paraId="66054B8A">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_Toc23245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六</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构建现代农业产业体系</w:t>
          </w:r>
          <w:r>
            <w:rPr>
              <w:sz w:val="24"/>
              <w:szCs w:val="24"/>
            </w:rPr>
            <w:tab/>
          </w:r>
          <w:r>
            <w:rPr>
              <w:sz w:val="24"/>
              <w:szCs w:val="24"/>
            </w:rPr>
            <w:fldChar w:fldCharType="begin"/>
          </w:r>
          <w:r>
            <w:rPr>
              <w:sz w:val="24"/>
              <w:szCs w:val="24"/>
            </w:rPr>
            <w:instrText xml:space="preserve"> PAGEREF _Toc23245 \h </w:instrText>
          </w:r>
          <w:r>
            <w:rPr>
              <w:sz w:val="24"/>
              <w:szCs w:val="24"/>
            </w:rPr>
            <w:fldChar w:fldCharType="separate"/>
          </w:r>
          <w:r>
            <w:rPr>
              <w:sz w:val="24"/>
              <w:szCs w:val="24"/>
            </w:rPr>
            <w:t>- 33 -</w:t>
          </w:r>
          <w:r>
            <w:rPr>
              <w:sz w:val="24"/>
              <w:szCs w:val="24"/>
            </w:rPr>
            <w:fldChar w:fldCharType="end"/>
          </w:r>
          <w:r>
            <w:rPr>
              <w:rFonts w:hint="default" w:ascii="Times New Roman" w:hAnsi="Times New Roman" w:cs="Times New Roman"/>
              <w:color w:val="auto"/>
              <w:sz w:val="24"/>
              <w:szCs w:val="24"/>
              <w:highlight w:val="none"/>
            </w:rPr>
            <w:fldChar w:fldCharType="end"/>
          </w:r>
        </w:p>
        <w:p w14:paraId="4A47940C">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_Toc22602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第五章  围绕服务打造亚欧黄金通道和向西开放的桥头堡，加速构建外向型发展新格局</w:t>
          </w:r>
          <w:r>
            <w:rPr>
              <w:sz w:val="24"/>
              <w:szCs w:val="24"/>
            </w:rPr>
            <w:tab/>
          </w:r>
          <w:r>
            <w:rPr>
              <w:sz w:val="24"/>
              <w:szCs w:val="24"/>
            </w:rPr>
            <w:fldChar w:fldCharType="begin"/>
          </w:r>
          <w:r>
            <w:rPr>
              <w:sz w:val="24"/>
              <w:szCs w:val="24"/>
            </w:rPr>
            <w:instrText xml:space="preserve"> PAGEREF _Toc22602 \h </w:instrText>
          </w:r>
          <w:r>
            <w:rPr>
              <w:sz w:val="24"/>
              <w:szCs w:val="24"/>
            </w:rPr>
            <w:fldChar w:fldCharType="separate"/>
          </w:r>
          <w:r>
            <w:rPr>
              <w:sz w:val="24"/>
              <w:szCs w:val="24"/>
            </w:rPr>
            <w:t>- 34 -</w:t>
          </w:r>
          <w:r>
            <w:rPr>
              <w:sz w:val="24"/>
              <w:szCs w:val="24"/>
            </w:rPr>
            <w:fldChar w:fldCharType="end"/>
          </w:r>
          <w:r>
            <w:rPr>
              <w:rFonts w:hint="default" w:ascii="Times New Roman" w:hAnsi="Times New Roman" w:cs="Times New Roman"/>
              <w:color w:val="auto"/>
              <w:sz w:val="24"/>
              <w:szCs w:val="24"/>
              <w:highlight w:val="none"/>
            </w:rPr>
            <w:fldChar w:fldCharType="end"/>
          </w:r>
        </w:p>
        <w:p w14:paraId="0FAD789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_Toc3794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第一节 深化与霍尔果斯自贸区联动发展</w:t>
          </w:r>
          <w:r>
            <w:rPr>
              <w:sz w:val="24"/>
              <w:szCs w:val="24"/>
            </w:rPr>
            <w:tab/>
          </w:r>
          <w:r>
            <w:rPr>
              <w:sz w:val="24"/>
              <w:szCs w:val="24"/>
            </w:rPr>
            <w:fldChar w:fldCharType="begin"/>
          </w:r>
          <w:r>
            <w:rPr>
              <w:sz w:val="24"/>
              <w:szCs w:val="24"/>
            </w:rPr>
            <w:instrText xml:space="preserve"> PAGEREF _Toc3794 \h </w:instrText>
          </w:r>
          <w:r>
            <w:rPr>
              <w:sz w:val="24"/>
              <w:szCs w:val="24"/>
            </w:rPr>
            <w:fldChar w:fldCharType="separate"/>
          </w:r>
          <w:r>
            <w:rPr>
              <w:sz w:val="24"/>
              <w:szCs w:val="24"/>
            </w:rPr>
            <w:t>- 34 -</w:t>
          </w:r>
          <w:r>
            <w:rPr>
              <w:sz w:val="24"/>
              <w:szCs w:val="24"/>
            </w:rPr>
            <w:fldChar w:fldCharType="end"/>
          </w:r>
          <w:r>
            <w:rPr>
              <w:rFonts w:hint="default" w:ascii="Times New Roman" w:hAnsi="Times New Roman" w:cs="Times New Roman"/>
              <w:color w:val="auto"/>
              <w:sz w:val="24"/>
              <w:szCs w:val="24"/>
              <w:highlight w:val="none"/>
            </w:rPr>
            <w:fldChar w:fldCharType="end"/>
          </w:r>
        </w:p>
        <w:p w14:paraId="1B2A2AF6">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_Toc32112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第二节 打造区域性开放合作平台</w:t>
          </w:r>
          <w:r>
            <w:rPr>
              <w:sz w:val="24"/>
              <w:szCs w:val="24"/>
            </w:rPr>
            <w:tab/>
          </w:r>
          <w:r>
            <w:rPr>
              <w:sz w:val="24"/>
              <w:szCs w:val="24"/>
            </w:rPr>
            <w:fldChar w:fldCharType="begin"/>
          </w:r>
          <w:r>
            <w:rPr>
              <w:sz w:val="24"/>
              <w:szCs w:val="24"/>
            </w:rPr>
            <w:instrText xml:space="preserve"> PAGEREF _Toc32112 \h </w:instrText>
          </w:r>
          <w:r>
            <w:rPr>
              <w:sz w:val="24"/>
              <w:szCs w:val="24"/>
            </w:rPr>
            <w:fldChar w:fldCharType="separate"/>
          </w:r>
          <w:r>
            <w:rPr>
              <w:sz w:val="24"/>
              <w:szCs w:val="24"/>
            </w:rPr>
            <w:t>- 34 -</w:t>
          </w:r>
          <w:r>
            <w:rPr>
              <w:sz w:val="24"/>
              <w:szCs w:val="24"/>
            </w:rPr>
            <w:fldChar w:fldCharType="end"/>
          </w:r>
          <w:r>
            <w:rPr>
              <w:rFonts w:hint="default" w:ascii="Times New Roman" w:hAnsi="Times New Roman" w:cs="Times New Roman"/>
              <w:color w:val="auto"/>
              <w:sz w:val="24"/>
              <w:szCs w:val="24"/>
              <w:highlight w:val="none"/>
            </w:rPr>
            <w:fldChar w:fldCharType="end"/>
          </w:r>
        </w:p>
        <w:p w14:paraId="2AC41C32">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_Toc23909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第三节 加强与周边国家和地方间务实合作</w:t>
          </w:r>
          <w:r>
            <w:rPr>
              <w:sz w:val="24"/>
              <w:szCs w:val="24"/>
            </w:rPr>
            <w:tab/>
          </w:r>
          <w:r>
            <w:rPr>
              <w:sz w:val="24"/>
              <w:szCs w:val="24"/>
            </w:rPr>
            <w:fldChar w:fldCharType="begin"/>
          </w:r>
          <w:r>
            <w:rPr>
              <w:sz w:val="24"/>
              <w:szCs w:val="24"/>
            </w:rPr>
            <w:instrText xml:space="preserve"> PAGEREF _Toc23909 \h </w:instrText>
          </w:r>
          <w:r>
            <w:rPr>
              <w:sz w:val="24"/>
              <w:szCs w:val="24"/>
            </w:rPr>
            <w:fldChar w:fldCharType="separate"/>
          </w:r>
          <w:r>
            <w:rPr>
              <w:sz w:val="24"/>
              <w:szCs w:val="24"/>
            </w:rPr>
            <w:t>- 35 -</w:t>
          </w:r>
          <w:r>
            <w:rPr>
              <w:sz w:val="24"/>
              <w:szCs w:val="24"/>
            </w:rPr>
            <w:fldChar w:fldCharType="end"/>
          </w:r>
          <w:r>
            <w:rPr>
              <w:rFonts w:hint="default" w:ascii="Times New Roman" w:hAnsi="Times New Roman" w:cs="Times New Roman"/>
              <w:color w:val="auto"/>
              <w:sz w:val="24"/>
              <w:szCs w:val="24"/>
              <w:highlight w:val="none"/>
            </w:rPr>
            <w:fldChar w:fldCharType="end"/>
          </w:r>
        </w:p>
        <w:p w14:paraId="18B41DF1">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_Toc21195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第六章  围绕服务打造构建新发展格局的战略支点，厚植促进自身高质量发展和服务双循环巩留县优势</w:t>
          </w:r>
          <w:r>
            <w:rPr>
              <w:sz w:val="24"/>
              <w:szCs w:val="24"/>
            </w:rPr>
            <w:tab/>
          </w:r>
          <w:r>
            <w:rPr>
              <w:sz w:val="24"/>
              <w:szCs w:val="24"/>
            </w:rPr>
            <w:fldChar w:fldCharType="begin"/>
          </w:r>
          <w:r>
            <w:rPr>
              <w:sz w:val="24"/>
              <w:szCs w:val="24"/>
            </w:rPr>
            <w:instrText xml:space="preserve"> PAGEREF _Toc21195 \h </w:instrText>
          </w:r>
          <w:r>
            <w:rPr>
              <w:sz w:val="24"/>
              <w:szCs w:val="24"/>
            </w:rPr>
            <w:fldChar w:fldCharType="separate"/>
          </w:r>
          <w:r>
            <w:rPr>
              <w:sz w:val="24"/>
              <w:szCs w:val="24"/>
            </w:rPr>
            <w:t>- 37 -</w:t>
          </w:r>
          <w:r>
            <w:rPr>
              <w:sz w:val="24"/>
              <w:szCs w:val="24"/>
            </w:rPr>
            <w:fldChar w:fldCharType="end"/>
          </w:r>
          <w:r>
            <w:rPr>
              <w:rFonts w:hint="default" w:ascii="Times New Roman" w:hAnsi="Times New Roman" w:cs="Times New Roman"/>
              <w:color w:val="auto"/>
              <w:sz w:val="24"/>
              <w:szCs w:val="24"/>
              <w:highlight w:val="none"/>
            </w:rPr>
            <w:fldChar w:fldCharType="end"/>
          </w:r>
        </w:p>
        <w:p w14:paraId="2C779751">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_Toc10425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大力提振消费</w:t>
          </w:r>
          <w:r>
            <w:rPr>
              <w:sz w:val="24"/>
              <w:szCs w:val="24"/>
            </w:rPr>
            <w:tab/>
          </w:r>
          <w:r>
            <w:rPr>
              <w:sz w:val="24"/>
              <w:szCs w:val="24"/>
            </w:rPr>
            <w:fldChar w:fldCharType="begin"/>
          </w:r>
          <w:r>
            <w:rPr>
              <w:sz w:val="24"/>
              <w:szCs w:val="24"/>
            </w:rPr>
            <w:instrText xml:space="preserve"> PAGEREF _Toc10425 \h </w:instrText>
          </w:r>
          <w:r>
            <w:rPr>
              <w:sz w:val="24"/>
              <w:szCs w:val="24"/>
            </w:rPr>
            <w:fldChar w:fldCharType="separate"/>
          </w:r>
          <w:r>
            <w:rPr>
              <w:sz w:val="24"/>
              <w:szCs w:val="24"/>
            </w:rPr>
            <w:t>- 37 -</w:t>
          </w:r>
          <w:r>
            <w:rPr>
              <w:sz w:val="24"/>
              <w:szCs w:val="24"/>
            </w:rPr>
            <w:fldChar w:fldCharType="end"/>
          </w:r>
          <w:r>
            <w:rPr>
              <w:rFonts w:hint="default" w:ascii="Times New Roman" w:hAnsi="Times New Roman" w:cs="Times New Roman"/>
              <w:color w:val="auto"/>
              <w:sz w:val="24"/>
              <w:szCs w:val="24"/>
              <w:highlight w:val="none"/>
            </w:rPr>
            <w:fldChar w:fldCharType="end"/>
          </w:r>
        </w:p>
        <w:p w14:paraId="68ABBB1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_Toc25274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第二节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扩大有效投资</w:t>
          </w:r>
          <w:r>
            <w:rPr>
              <w:sz w:val="24"/>
              <w:szCs w:val="24"/>
            </w:rPr>
            <w:tab/>
          </w:r>
          <w:r>
            <w:rPr>
              <w:sz w:val="24"/>
              <w:szCs w:val="24"/>
            </w:rPr>
            <w:fldChar w:fldCharType="begin"/>
          </w:r>
          <w:r>
            <w:rPr>
              <w:sz w:val="24"/>
              <w:szCs w:val="24"/>
            </w:rPr>
            <w:instrText xml:space="preserve"> PAGEREF _Toc25274 \h </w:instrText>
          </w:r>
          <w:r>
            <w:rPr>
              <w:sz w:val="24"/>
              <w:szCs w:val="24"/>
            </w:rPr>
            <w:fldChar w:fldCharType="separate"/>
          </w:r>
          <w:r>
            <w:rPr>
              <w:sz w:val="24"/>
              <w:szCs w:val="24"/>
            </w:rPr>
            <w:t>- 38 -</w:t>
          </w:r>
          <w:r>
            <w:rPr>
              <w:sz w:val="24"/>
              <w:szCs w:val="24"/>
            </w:rPr>
            <w:fldChar w:fldCharType="end"/>
          </w:r>
          <w:r>
            <w:rPr>
              <w:rFonts w:hint="default" w:ascii="Times New Roman" w:hAnsi="Times New Roman" w:cs="Times New Roman"/>
              <w:color w:val="auto"/>
              <w:sz w:val="24"/>
              <w:szCs w:val="24"/>
              <w:highlight w:val="none"/>
            </w:rPr>
            <w:fldChar w:fldCharType="end"/>
          </w:r>
        </w:p>
        <w:p w14:paraId="32457AF4">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_Toc9927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三</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服务融入全国统一大市场</w:t>
          </w:r>
          <w:r>
            <w:rPr>
              <w:sz w:val="24"/>
              <w:szCs w:val="24"/>
            </w:rPr>
            <w:tab/>
          </w:r>
          <w:r>
            <w:rPr>
              <w:sz w:val="24"/>
              <w:szCs w:val="24"/>
            </w:rPr>
            <w:fldChar w:fldCharType="begin"/>
          </w:r>
          <w:r>
            <w:rPr>
              <w:sz w:val="24"/>
              <w:szCs w:val="24"/>
            </w:rPr>
            <w:instrText xml:space="preserve"> PAGEREF _Toc9927 \h </w:instrText>
          </w:r>
          <w:r>
            <w:rPr>
              <w:sz w:val="24"/>
              <w:szCs w:val="24"/>
            </w:rPr>
            <w:fldChar w:fldCharType="separate"/>
          </w:r>
          <w:r>
            <w:rPr>
              <w:sz w:val="24"/>
              <w:szCs w:val="24"/>
            </w:rPr>
            <w:t>- 38 -</w:t>
          </w:r>
          <w:r>
            <w:rPr>
              <w:sz w:val="24"/>
              <w:szCs w:val="24"/>
            </w:rPr>
            <w:fldChar w:fldCharType="end"/>
          </w:r>
          <w:r>
            <w:rPr>
              <w:rFonts w:hint="default" w:ascii="Times New Roman" w:hAnsi="Times New Roman" w:cs="Times New Roman"/>
              <w:color w:val="auto"/>
              <w:sz w:val="24"/>
              <w:szCs w:val="24"/>
              <w:highlight w:val="none"/>
            </w:rPr>
            <w:fldChar w:fldCharType="end"/>
          </w:r>
        </w:p>
        <w:p w14:paraId="4F8C3CF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_Toc21536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第四节 提升产业园区承载能级</w:t>
          </w:r>
          <w:r>
            <w:rPr>
              <w:sz w:val="24"/>
              <w:szCs w:val="24"/>
            </w:rPr>
            <w:tab/>
          </w:r>
          <w:r>
            <w:rPr>
              <w:sz w:val="24"/>
              <w:szCs w:val="24"/>
            </w:rPr>
            <w:fldChar w:fldCharType="begin"/>
          </w:r>
          <w:r>
            <w:rPr>
              <w:sz w:val="24"/>
              <w:szCs w:val="24"/>
            </w:rPr>
            <w:instrText xml:space="preserve"> PAGEREF _Toc21536 \h </w:instrText>
          </w:r>
          <w:r>
            <w:rPr>
              <w:sz w:val="24"/>
              <w:szCs w:val="24"/>
            </w:rPr>
            <w:fldChar w:fldCharType="separate"/>
          </w:r>
          <w:r>
            <w:rPr>
              <w:sz w:val="24"/>
              <w:szCs w:val="24"/>
            </w:rPr>
            <w:t>- 39 -</w:t>
          </w:r>
          <w:r>
            <w:rPr>
              <w:sz w:val="24"/>
              <w:szCs w:val="24"/>
            </w:rPr>
            <w:fldChar w:fldCharType="end"/>
          </w:r>
          <w:r>
            <w:rPr>
              <w:rFonts w:hint="default" w:ascii="Times New Roman" w:hAnsi="Times New Roman" w:cs="Times New Roman"/>
              <w:color w:val="auto"/>
              <w:sz w:val="24"/>
              <w:szCs w:val="24"/>
              <w:highlight w:val="none"/>
            </w:rPr>
            <w:fldChar w:fldCharType="end"/>
          </w:r>
        </w:p>
        <w:p w14:paraId="52081DB6">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_Toc12424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第五节 培育现代物流产业体系</w:t>
          </w:r>
          <w:r>
            <w:rPr>
              <w:sz w:val="24"/>
              <w:szCs w:val="24"/>
            </w:rPr>
            <w:tab/>
          </w:r>
          <w:r>
            <w:rPr>
              <w:sz w:val="24"/>
              <w:szCs w:val="24"/>
            </w:rPr>
            <w:fldChar w:fldCharType="begin"/>
          </w:r>
          <w:r>
            <w:rPr>
              <w:sz w:val="24"/>
              <w:szCs w:val="24"/>
            </w:rPr>
            <w:instrText xml:space="preserve"> PAGEREF _Toc12424 \h </w:instrText>
          </w:r>
          <w:r>
            <w:rPr>
              <w:sz w:val="24"/>
              <w:szCs w:val="24"/>
            </w:rPr>
            <w:fldChar w:fldCharType="separate"/>
          </w:r>
          <w:r>
            <w:rPr>
              <w:sz w:val="24"/>
              <w:szCs w:val="24"/>
            </w:rPr>
            <w:t>- 40 -</w:t>
          </w:r>
          <w:r>
            <w:rPr>
              <w:sz w:val="24"/>
              <w:szCs w:val="24"/>
            </w:rPr>
            <w:fldChar w:fldCharType="end"/>
          </w:r>
          <w:r>
            <w:rPr>
              <w:rFonts w:hint="default" w:ascii="Times New Roman" w:hAnsi="Times New Roman" w:cs="Times New Roman"/>
              <w:color w:val="auto"/>
              <w:sz w:val="24"/>
              <w:szCs w:val="24"/>
              <w:highlight w:val="none"/>
            </w:rPr>
            <w:fldChar w:fldCharType="end"/>
          </w:r>
        </w:p>
        <w:p w14:paraId="793E44AC">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_Toc15147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第七章  坚持创新驱动发展，加快建设科技强县</w:t>
          </w:r>
          <w:r>
            <w:rPr>
              <w:sz w:val="24"/>
              <w:szCs w:val="24"/>
            </w:rPr>
            <w:tab/>
          </w:r>
          <w:r>
            <w:rPr>
              <w:sz w:val="24"/>
              <w:szCs w:val="24"/>
            </w:rPr>
            <w:fldChar w:fldCharType="begin"/>
          </w:r>
          <w:r>
            <w:rPr>
              <w:sz w:val="24"/>
              <w:szCs w:val="24"/>
            </w:rPr>
            <w:instrText xml:space="preserve"> PAGEREF _Toc15147 \h </w:instrText>
          </w:r>
          <w:r>
            <w:rPr>
              <w:sz w:val="24"/>
              <w:szCs w:val="24"/>
            </w:rPr>
            <w:fldChar w:fldCharType="separate"/>
          </w:r>
          <w:r>
            <w:rPr>
              <w:sz w:val="24"/>
              <w:szCs w:val="24"/>
            </w:rPr>
            <w:t>- 42 -</w:t>
          </w:r>
          <w:r>
            <w:rPr>
              <w:sz w:val="24"/>
              <w:szCs w:val="24"/>
            </w:rPr>
            <w:fldChar w:fldCharType="end"/>
          </w:r>
          <w:r>
            <w:rPr>
              <w:rFonts w:hint="default" w:ascii="Times New Roman" w:hAnsi="Times New Roman" w:cs="Times New Roman"/>
              <w:color w:val="auto"/>
              <w:sz w:val="24"/>
              <w:szCs w:val="24"/>
              <w:highlight w:val="none"/>
            </w:rPr>
            <w:fldChar w:fldCharType="end"/>
          </w:r>
        </w:p>
        <w:p w14:paraId="4383FBB3">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_Toc5152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促进科技创新与产业创新深度融合</w:t>
          </w:r>
          <w:r>
            <w:rPr>
              <w:sz w:val="24"/>
              <w:szCs w:val="24"/>
            </w:rPr>
            <w:tab/>
          </w:r>
          <w:r>
            <w:rPr>
              <w:sz w:val="24"/>
              <w:szCs w:val="24"/>
            </w:rPr>
            <w:fldChar w:fldCharType="begin"/>
          </w:r>
          <w:r>
            <w:rPr>
              <w:sz w:val="24"/>
              <w:szCs w:val="24"/>
            </w:rPr>
            <w:instrText xml:space="preserve"> PAGEREF _Toc5152 \h </w:instrText>
          </w:r>
          <w:r>
            <w:rPr>
              <w:sz w:val="24"/>
              <w:szCs w:val="24"/>
            </w:rPr>
            <w:fldChar w:fldCharType="separate"/>
          </w:r>
          <w:r>
            <w:rPr>
              <w:sz w:val="24"/>
              <w:szCs w:val="24"/>
            </w:rPr>
            <w:t>- 42 -</w:t>
          </w:r>
          <w:r>
            <w:rPr>
              <w:sz w:val="24"/>
              <w:szCs w:val="24"/>
            </w:rPr>
            <w:fldChar w:fldCharType="end"/>
          </w:r>
          <w:r>
            <w:rPr>
              <w:rFonts w:hint="default" w:ascii="Times New Roman" w:hAnsi="Times New Roman" w:cs="Times New Roman"/>
              <w:color w:val="auto"/>
              <w:sz w:val="24"/>
              <w:szCs w:val="24"/>
              <w:highlight w:val="none"/>
            </w:rPr>
            <w:fldChar w:fldCharType="end"/>
          </w:r>
        </w:p>
        <w:p w14:paraId="481029DA">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_Toc21847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二</w:t>
          </w:r>
          <w:r>
            <w:rPr>
              <w:rFonts w:hint="default" w:ascii="Times New Roman" w:hAnsi="Times New Roman" w:eastAsia="楷体_GB2312" w:cs="Times New Roman"/>
              <w:sz w:val="24"/>
              <w:szCs w:val="24"/>
              <w:highlight w:val="none"/>
              <w:lang w:eastAsia="zh-CN"/>
            </w:rPr>
            <w:t>节 一体推进教育科技人才发展</w:t>
          </w:r>
          <w:r>
            <w:rPr>
              <w:sz w:val="24"/>
              <w:szCs w:val="24"/>
            </w:rPr>
            <w:tab/>
          </w:r>
          <w:r>
            <w:rPr>
              <w:sz w:val="24"/>
              <w:szCs w:val="24"/>
            </w:rPr>
            <w:fldChar w:fldCharType="begin"/>
          </w:r>
          <w:r>
            <w:rPr>
              <w:sz w:val="24"/>
              <w:szCs w:val="24"/>
            </w:rPr>
            <w:instrText xml:space="preserve"> PAGEREF _Toc21847 \h </w:instrText>
          </w:r>
          <w:r>
            <w:rPr>
              <w:sz w:val="24"/>
              <w:szCs w:val="24"/>
            </w:rPr>
            <w:fldChar w:fldCharType="separate"/>
          </w:r>
          <w:r>
            <w:rPr>
              <w:sz w:val="24"/>
              <w:szCs w:val="24"/>
            </w:rPr>
            <w:t>- 43 -</w:t>
          </w:r>
          <w:r>
            <w:rPr>
              <w:sz w:val="24"/>
              <w:szCs w:val="24"/>
            </w:rPr>
            <w:fldChar w:fldCharType="end"/>
          </w:r>
          <w:r>
            <w:rPr>
              <w:rFonts w:hint="default" w:ascii="Times New Roman" w:hAnsi="Times New Roman" w:cs="Times New Roman"/>
              <w:color w:val="auto"/>
              <w:sz w:val="24"/>
              <w:szCs w:val="24"/>
              <w:highlight w:val="none"/>
            </w:rPr>
            <w:fldChar w:fldCharType="end"/>
          </w:r>
        </w:p>
        <w:p w14:paraId="64F5C25A">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_Toc18784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三</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深入推进数字巩留建设</w:t>
          </w:r>
          <w:r>
            <w:rPr>
              <w:sz w:val="24"/>
              <w:szCs w:val="24"/>
            </w:rPr>
            <w:tab/>
          </w:r>
          <w:r>
            <w:rPr>
              <w:sz w:val="24"/>
              <w:szCs w:val="24"/>
            </w:rPr>
            <w:fldChar w:fldCharType="begin"/>
          </w:r>
          <w:r>
            <w:rPr>
              <w:sz w:val="24"/>
              <w:szCs w:val="24"/>
            </w:rPr>
            <w:instrText xml:space="preserve"> PAGEREF _Toc18784 \h </w:instrText>
          </w:r>
          <w:r>
            <w:rPr>
              <w:sz w:val="24"/>
              <w:szCs w:val="24"/>
            </w:rPr>
            <w:fldChar w:fldCharType="separate"/>
          </w:r>
          <w:r>
            <w:rPr>
              <w:sz w:val="24"/>
              <w:szCs w:val="24"/>
            </w:rPr>
            <w:t>- 44 -</w:t>
          </w:r>
          <w:r>
            <w:rPr>
              <w:sz w:val="24"/>
              <w:szCs w:val="24"/>
            </w:rPr>
            <w:fldChar w:fldCharType="end"/>
          </w:r>
          <w:r>
            <w:rPr>
              <w:rFonts w:hint="default" w:ascii="Times New Roman" w:hAnsi="Times New Roman" w:cs="Times New Roman"/>
              <w:color w:val="auto"/>
              <w:sz w:val="24"/>
              <w:szCs w:val="24"/>
              <w:highlight w:val="none"/>
            </w:rPr>
            <w:fldChar w:fldCharType="end"/>
          </w:r>
        </w:p>
        <w:p w14:paraId="5AD077B2">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_Toc12908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全面推进“人工智能+”行动</w:t>
          </w:r>
          <w:r>
            <w:rPr>
              <w:sz w:val="24"/>
              <w:szCs w:val="24"/>
            </w:rPr>
            <w:tab/>
          </w:r>
          <w:r>
            <w:rPr>
              <w:sz w:val="24"/>
              <w:szCs w:val="24"/>
            </w:rPr>
            <w:fldChar w:fldCharType="begin"/>
          </w:r>
          <w:r>
            <w:rPr>
              <w:sz w:val="24"/>
              <w:szCs w:val="24"/>
            </w:rPr>
            <w:instrText xml:space="preserve"> PAGEREF _Toc12908 \h </w:instrText>
          </w:r>
          <w:r>
            <w:rPr>
              <w:sz w:val="24"/>
              <w:szCs w:val="24"/>
            </w:rPr>
            <w:fldChar w:fldCharType="separate"/>
          </w:r>
          <w:r>
            <w:rPr>
              <w:sz w:val="24"/>
              <w:szCs w:val="24"/>
            </w:rPr>
            <w:t>- 45 -</w:t>
          </w:r>
          <w:r>
            <w:rPr>
              <w:sz w:val="24"/>
              <w:szCs w:val="24"/>
            </w:rPr>
            <w:fldChar w:fldCharType="end"/>
          </w:r>
          <w:r>
            <w:rPr>
              <w:rFonts w:hint="default" w:ascii="Times New Roman" w:hAnsi="Times New Roman" w:cs="Times New Roman"/>
              <w:color w:val="auto"/>
              <w:sz w:val="24"/>
              <w:szCs w:val="24"/>
              <w:highlight w:val="none"/>
            </w:rPr>
            <w:fldChar w:fldCharType="end"/>
          </w:r>
        </w:p>
        <w:p w14:paraId="1B703C3E">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_Toc9025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第八章  全面深化改革攻坚，激发高质量发展内生动力</w:t>
          </w:r>
          <w:r>
            <w:rPr>
              <w:sz w:val="24"/>
              <w:szCs w:val="24"/>
            </w:rPr>
            <w:tab/>
          </w:r>
          <w:r>
            <w:rPr>
              <w:sz w:val="24"/>
              <w:szCs w:val="24"/>
            </w:rPr>
            <w:fldChar w:fldCharType="begin"/>
          </w:r>
          <w:r>
            <w:rPr>
              <w:sz w:val="24"/>
              <w:szCs w:val="24"/>
            </w:rPr>
            <w:instrText xml:space="preserve"> PAGEREF _Toc9025 \h </w:instrText>
          </w:r>
          <w:r>
            <w:rPr>
              <w:sz w:val="24"/>
              <w:szCs w:val="24"/>
            </w:rPr>
            <w:fldChar w:fldCharType="separate"/>
          </w:r>
          <w:r>
            <w:rPr>
              <w:sz w:val="24"/>
              <w:szCs w:val="24"/>
            </w:rPr>
            <w:t>- 47 -</w:t>
          </w:r>
          <w:r>
            <w:rPr>
              <w:sz w:val="24"/>
              <w:szCs w:val="24"/>
            </w:rPr>
            <w:fldChar w:fldCharType="end"/>
          </w:r>
          <w:r>
            <w:rPr>
              <w:rFonts w:hint="default" w:ascii="Times New Roman" w:hAnsi="Times New Roman" w:cs="Times New Roman"/>
              <w:color w:val="auto"/>
              <w:sz w:val="24"/>
              <w:szCs w:val="24"/>
              <w:highlight w:val="none"/>
            </w:rPr>
            <w:fldChar w:fldCharType="end"/>
          </w:r>
        </w:p>
        <w:p w14:paraId="67E49CF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_Toc6793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第一节</w:t>
          </w:r>
          <w:r>
            <w:rPr>
              <w:rFonts w:hint="default" w:ascii="Times New Roman" w:hAnsi="Times New Roman" w:eastAsia="楷体_GB2312" w:cs="Times New Roman"/>
              <w:sz w:val="24"/>
              <w:szCs w:val="24"/>
              <w:highlight w:val="none"/>
              <w:lang w:val="en-US" w:eastAsia="zh-CN"/>
            </w:rPr>
            <w:t xml:space="preserve"> 充分激发各类经营主体内生动力和创新活力</w:t>
          </w:r>
          <w:r>
            <w:rPr>
              <w:sz w:val="24"/>
              <w:szCs w:val="24"/>
            </w:rPr>
            <w:tab/>
          </w:r>
          <w:r>
            <w:rPr>
              <w:sz w:val="24"/>
              <w:szCs w:val="24"/>
            </w:rPr>
            <w:fldChar w:fldCharType="begin"/>
          </w:r>
          <w:r>
            <w:rPr>
              <w:sz w:val="24"/>
              <w:szCs w:val="24"/>
            </w:rPr>
            <w:instrText xml:space="preserve"> PAGEREF _Toc6793 \h </w:instrText>
          </w:r>
          <w:r>
            <w:rPr>
              <w:sz w:val="24"/>
              <w:szCs w:val="24"/>
            </w:rPr>
            <w:fldChar w:fldCharType="separate"/>
          </w:r>
          <w:r>
            <w:rPr>
              <w:sz w:val="24"/>
              <w:szCs w:val="24"/>
            </w:rPr>
            <w:t>- 47 -</w:t>
          </w:r>
          <w:r>
            <w:rPr>
              <w:sz w:val="24"/>
              <w:szCs w:val="24"/>
            </w:rPr>
            <w:fldChar w:fldCharType="end"/>
          </w:r>
          <w:r>
            <w:rPr>
              <w:rFonts w:hint="default" w:ascii="Times New Roman" w:hAnsi="Times New Roman" w:cs="Times New Roman"/>
              <w:color w:val="auto"/>
              <w:sz w:val="24"/>
              <w:szCs w:val="24"/>
              <w:highlight w:val="none"/>
            </w:rPr>
            <w:fldChar w:fldCharType="end"/>
          </w:r>
        </w:p>
        <w:p w14:paraId="30A02F2A">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_Toc11845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第二节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深化财税金融体制改革</w:t>
          </w:r>
          <w:r>
            <w:rPr>
              <w:sz w:val="24"/>
              <w:szCs w:val="24"/>
            </w:rPr>
            <w:tab/>
          </w:r>
          <w:r>
            <w:rPr>
              <w:sz w:val="24"/>
              <w:szCs w:val="24"/>
            </w:rPr>
            <w:fldChar w:fldCharType="begin"/>
          </w:r>
          <w:r>
            <w:rPr>
              <w:sz w:val="24"/>
              <w:szCs w:val="24"/>
            </w:rPr>
            <w:instrText xml:space="preserve"> PAGEREF _Toc11845 \h </w:instrText>
          </w:r>
          <w:r>
            <w:rPr>
              <w:sz w:val="24"/>
              <w:szCs w:val="24"/>
            </w:rPr>
            <w:fldChar w:fldCharType="separate"/>
          </w:r>
          <w:r>
            <w:rPr>
              <w:sz w:val="24"/>
              <w:szCs w:val="24"/>
            </w:rPr>
            <w:t>- 49 -</w:t>
          </w:r>
          <w:r>
            <w:rPr>
              <w:sz w:val="24"/>
              <w:szCs w:val="24"/>
            </w:rPr>
            <w:fldChar w:fldCharType="end"/>
          </w:r>
          <w:r>
            <w:rPr>
              <w:rFonts w:hint="default" w:ascii="Times New Roman" w:hAnsi="Times New Roman" w:cs="Times New Roman"/>
              <w:color w:val="auto"/>
              <w:sz w:val="24"/>
              <w:szCs w:val="24"/>
              <w:highlight w:val="none"/>
            </w:rPr>
            <w:fldChar w:fldCharType="end"/>
          </w:r>
        </w:p>
        <w:p w14:paraId="42206104">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_Toc16771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lang w:val="en-US" w:eastAsia="zh-CN"/>
            </w:rPr>
            <w:t>第</w:t>
          </w:r>
          <w:r>
            <w:rPr>
              <w:rFonts w:hint="default" w:ascii="Times New Roman" w:hAnsi="Times New Roman" w:eastAsia="楷体_GB2312" w:cs="Times New Roman"/>
              <w:sz w:val="24"/>
              <w:szCs w:val="24"/>
              <w:lang w:eastAsia="zh-CN"/>
            </w:rPr>
            <w:t>三</w:t>
          </w:r>
          <w:r>
            <w:rPr>
              <w:rFonts w:hint="default" w:ascii="Times New Roman" w:hAnsi="Times New Roman" w:eastAsia="楷体_GB2312" w:cs="Times New Roman"/>
              <w:sz w:val="24"/>
              <w:szCs w:val="24"/>
              <w:lang w:val="en-US" w:eastAsia="zh-CN"/>
            </w:rPr>
            <w:t>节</w:t>
          </w:r>
          <w:r>
            <w:rPr>
              <w:rFonts w:hint="default" w:ascii="Times New Roman" w:hAnsi="Times New Roman" w:cs="Times New Roman"/>
              <w:sz w:val="24"/>
              <w:szCs w:val="24"/>
              <w:lang w:val="en-US" w:eastAsia="zh-CN"/>
            </w:rPr>
            <w:t xml:space="preserve"> </w:t>
          </w:r>
          <w:r>
            <w:rPr>
              <w:rFonts w:hint="default" w:ascii="Times New Roman" w:hAnsi="Times New Roman" w:eastAsia="楷体_GB2312" w:cs="Times New Roman"/>
              <w:sz w:val="24"/>
              <w:szCs w:val="24"/>
              <w:highlight w:val="none"/>
              <w:lang w:eastAsia="zh-CN"/>
            </w:rPr>
            <w:t>深化行政审批制度改革</w:t>
          </w:r>
          <w:r>
            <w:rPr>
              <w:rFonts w:hint="default" w:ascii="Times New Roman" w:hAnsi="Times New Roman" w:cs="Times New Roman"/>
              <w:sz w:val="24"/>
              <w:szCs w:val="24"/>
              <w:highlight w:val="none"/>
              <w:lang w:val="en-US" w:eastAsia="zh-CN"/>
            </w:rPr>
            <w:t xml:space="preserve"> </w:t>
          </w:r>
          <w:r>
            <w:rPr>
              <w:sz w:val="24"/>
              <w:szCs w:val="24"/>
            </w:rPr>
            <w:tab/>
          </w:r>
          <w:r>
            <w:rPr>
              <w:sz w:val="24"/>
              <w:szCs w:val="24"/>
            </w:rPr>
            <w:fldChar w:fldCharType="begin"/>
          </w:r>
          <w:r>
            <w:rPr>
              <w:sz w:val="24"/>
              <w:szCs w:val="24"/>
            </w:rPr>
            <w:instrText xml:space="preserve"> PAGEREF _Toc16771 \h </w:instrText>
          </w:r>
          <w:r>
            <w:rPr>
              <w:sz w:val="24"/>
              <w:szCs w:val="24"/>
            </w:rPr>
            <w:fldChar w:fldCharType="separate"/>
          </w:r>
          <w:r>
            <w:rPr>
              <w:sz w:val="24"/>
              <w:szCs w:val="24"/>
            </w:rPr>
            <w:t>- 49 -</w:t>
          </w:r>
          <w:r>
            <w:rPr>
              <w:sz w:val="24"/>
              <w:szCs w:val="24"/>
            </w:rPr>
            <w:fldChar w:fldCharType="end"/>
          </w:r>
          <w:r>
            <w:rPr>
              <w:rFonts w:hint="default" w:ascii="Times New Roman" w:hAnsi="Times New Roman" w:cs="Times New Roman"/>
              <w:color w:val="auto"/>
              <w:sz w:val="24"/>
              <w:szCs w:val="24"/>
              <w:highlight w:val="none"/>
            </w:rPr>
            <w:fldChar w:fldCharType="end"/>
          </w:r>
        </w:p>
        <w:p w14:paraId="42E034E6">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_Toc10984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第四节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深化营商环境改革</w:t>
          </w:r>
          <w:r>
            <w:rPr>
              <w:sz w:val="24"/>
              <w:szCs w:val="24"/>
            </w:rPr>
            <w:tab/>
          </w:r>
          <w:r>
            <w:rPr>
              <w:sz w:val="24"/>
              <w:szCs w:val="24"/>
            </w:rPr>
            <w:fldChar w:fldCharType="begin"/>
          </w:r>
          <w:r>
            <w:rPr>
              <w:sz w:val="24"/>
              <w:szCs w:val="24"/>
            </w:rPr>
            <w:instrText xml:space="preserve"> PAGEREF _Toc10984 \h </w:instrText>
          </w:r>
          <w:r>
            <w:rPr>
              <w:sz w:val="24"/>
              <w:szCs w:val="24"/>
            </w:rPr>
            <w:fldChar w:fldCharType="separate"/>
          </w:r>
          <w:r>
            <w:rPr>
              <w:sz w:val="24"/>
              <w:szCs w:val="24"/>
            </w:rPr>
            <w:t>- 50 -</w:t>
          </w:r>
          <w:r>
            <w:rPr>
              <w:sz w:val="24"/>
              <w:szCs w:val="24"/>
            </w:rPr>
            <w:fldChar w:fldCharType="end"/>
          </w:r>
          <w:r>
            <w:rPr>
              <w:rFonts w:hint="default" w:ascii="Times New Roman" w:hAnsi="Times New Roman" w:cs="Times New Roman"/>
              <w:color w:val="auto"/>
              <w:sz w:val="24"/>
              <w:szCs w:val="24"/>
              <w:highlight w:val="none"/>
            </w:rPr>
            <w:fldChar w:fldCharType="end"/>
          </w:r>
        </w:p>
        <w:p w14:paraId="22BB7093">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_Toc6672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第五节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深化社会领域改革</w:t>
          </w:r>
          <w:r>
            <w:rPr>
              <w:sz w:val="24"/>
              <w:szCs w:val="24"/>
            </w:rPr>
            <w:tab/>
          </w:r>
          <w:r>
            <w:rPr>
              <w:sz w:val="24"/>
              <w:szCs w:val="24"/>
            </w:rPr>
            <w:fldChar w:fldCharType="begin"/>
          </w:r>
          <w:r>
            <w:rPr>
              <w:sz w:val="24"/>
              <w:szCs w:val="24"/>
            </w:rPr>
            <w:instrText xml:space="preserve"> PAGEREF _Toc6672 \h </w:instrText>
          </w:r>
          <w:r>
            <w:rPr>
              <w:sz w:val="24"/>
              <w:szCs w:val="24"/>
            </w:rPr>
            <w:fldChar w:fldCharType="separate"/>
          </w:r>
          <w:r>
            <w:rPr>
              <w:sz w:val="24"/>
              <w:szCs w:val="24"/>
            </w:rPr>
            <w:t>- 51 -</w:t>
          </w:r>
          <w:r>
            <w:rPr>
              <w:sz w:val="24"/>
              <w:szCs w:val="24"/>
            </w:rPr>
            <w:fldChar w:fldCharType="end"/>
          </w:r>
          <w:r>
            <w:rPr>
              <w:rFonts w:hint="default" w:ascii="Times New Roman" w:hAnsi="Times New Roman" w:cs="Times New Roman"/>
              <w:color w:val="auto"/>
              <w:sz w:val="24"/>
              <w:szCs w:val="24"/>
              <w:highlight w:val="none"/>
            </w:rPr>
            <w:fldChar w:fldCharType="end"/>
          </w:r>
        </w:p>
        <w:p w14:paraId="0AE9D136">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_Toc19584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六</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深化</w:t>
          </w:r>
          <w:r>
            <w:rPr>
              <w:rFonts w:hint="default" w:ascii="Times New Roman" w:hAnsi="Times New Roman" w:cs="Times New Roman"/>
              <w:sz w:val="24"/>
              <w:szCs w:val="24"/>
              <w:highlight w:val="none"/>
              <w:lang w:val="en-US" w:eastAsia="zh-CN"/>
            </w:rPr>
            <w:t>农业</w:t>
          </w:r>
          <w:r>
            <w:rPr>
              <w:rFonts w:hint="default" w:ascii="Times New Roman" w:hAnsi="Times New Roman" w:eastAsia="楷体_GB2312" w:cs="Times New Roman"/>
              <w:sz w:val="24"/>
              <w:szCs w:val="24"/>
              <w:highlight w:val="none"/>
              <w:lang w:val="en-US" w:eastAsia="zh-CN"/>
            </w:rPr>
            <w:t>农村改革</w:t>
          </w:r>
          <w:r>
            <w:rPr>
              <w:sz w:val="24"/>
              <w:szCs w:val="24"/>
            </w:rPr>
            <w:tab/>
          </w:r>
          <w:r>
            <w:rPr>
              <w:sz w:val="24"/>
              <w:szCs w:val="24"/>
            </w:rPr>
            <w:fldChar w:fldCharType="begin"/>
          </w:r>
          <w:r>
            <w:rPr>
              <w:sz w:val="24"/>
              <w:szCs w:val="24"/>
            </w:rPr>
            <w:instrText xml:space="preserve"> PAGEREF _Toc19584 \h </w:instrText>
          </w:r>
          <w:r>
            <w:rPr>
              <w:sz w:val="24"/>
              <w:szCs w:val="24"/>
            </w:rPr>
            <w:fldChar w:fldCharType="separate"/>
          </w:r>
          <w:r>
            <w:rPr>
              <w:sz w:val="24"/>
              <w:szCs w:val="24"/>
            </w:rPr>
            <w:t>- 5</w:t>
          </w:r>
          <w:r>
            <w:rPr>
              <w:rFonts w:hint="eastAsia"/>
              <w:sz w:val="24"/>
              <w:szCs w:val="24"/>
              <w:lang w:val="en-US" w:eastAsia="zh-CN"/>
            </w:rPr>
            <w:t>2</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28DB2624">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_Toc28583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第九章  坚持协同融合一体，建强现代化基础设施</w:t>
          </w:r>
          <w:r>
            <w:rPr>
              <w:sz w:val="24"/>
              <w:szCs w:val="24"/>
            </w:rPr>
            <w:tab/>
          </w:r>
          <w:r>
            <w:rPr>
              <w:sz w:val="24"/>
              <w:szCs w:val="24"/>
            </w:rPr>
            <w:fldChar w:fldCharType="begin"/>
          </w:r>
          <w:r>
            <w:rPr>
              <w:sz w:val="24"/>
              <w:szCs w:val="24"/>
            </w:rPr>
            <w:instrText xml:space="preserve"> PAGEREF _Toc28583 \h </w:instrText>
          </w:r>
          <w:r>
            <w:rPr>
              <w:sz w:val="24"/>
              <w:szCs w:val="24"/>
            </w:rPr>
            <w:fldChar w:fldCharType="separate"/>
          </w:r>
          <w:r>
            <w:rPr>
              <w:sz w:val="24"/>
              <w:szCs w:val="24"/>
            </w:rPr>
            <w:t>- 53 -</w:t>
          </w:r>
          <w:r>
            <w:rPr>
              <w:sz w:val="24"/>
              <w:szCs w:val="24"/>
            </w:rPr>
            <w:fldChar w:fldCharType="end"/>
          </w:r>
          <w:r>
            <w:rPr>
              <w:rFonts w:hint="default" w:ascii="Times New Roman" w:hAnsi="Times New Roman" w:cs="Times New Roman"/>
              <w:color w:val="auto"/>
              <w:sz w:val="24"/>
              <w:szCs w:val="24"/>
              <w:highlight w:val="none"/>
            </w:rPr>
            <w:fldChar w:fldCharType="end"/>
          </w:r>
        </w:p>
        <w:p w14:paraId="7CFF6ED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_Toc26689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第一节</w:t>
          </w:r>
          <w:r>
            <w:rPr>
              <w:rFonts w:hint="default" w:ascii="Times New Roman" w:hAnsi="Times New Roman" w:eastAsia="楷体_GB2312" w:cs="Times New Roman"/>
              <w:sz w:val="24"/>
              <w:szCs w:val="24"/>
              <w:highlight w:val="none"/>
              <w:lang w:val="en-US" w:eastAsia="zh-CN"/>
            </w:rPr>
            <w:t xml:space="preserve"> 健全综合交通网络体系</w:t>
          </w:r>
          <w:r>
            <w:rPr>
              <w:sz w:val="24"/>
              <w:szCs w:val="24"/>
            </w:rPr>
            <w:tab/>
          </w:r>
          <w:r>
            <w:rPr>
              <w:sz w:val="24"/>
              <w:szCs w:val="24"/>
            </w:rPr>
            <w:fldChar w:fldCharType="begin"/>
          </w:r>
          <w:r>
            <w:rPr>
              <w:sz w:val="24"/>
              <w:szCs w:val="24"/>
            </w:rPr>
            <w:instrText xml:space="preserve"> PAGEREF _Toc26689 \h </w:instrText>
          </w:r>
          <w:r>
            <w:rPr>
              <w:sz w:val="24"/>
              <w:szCs w:val="24"/>
            </w:rPr>
            <w:fldChar w:fldCharType="separate"/>
          </w:r>
          <w:r>
            <w:rPr>
              <w:sz w:val="24"/>
              <w:szCs w:val="24"/>
            </w:rPr>
            <w:t>- 53 -</w:t>
          </w:r>
          <w:r>
            <w:rPr>
              <w:sz w:val="24"/>
              <w:szCs w:val="24"/>
            </w:rPr>
            <w:fldChar w:fldCharType="end"/>
          </w:r>
          <w:r>
            <w:rPr>
              <w:rFonts w:hint="default" w:ascii="Times New Roman" w:hAnsi="Times New Roman" w:cs="Times New Roman"/>
              <w:color w:val="auto"/>
              <w:sz w:val="24"/>
              <w:szCs w:val="24"/>
              <w:highlight w:val="none"/>
            </w:rPr>
            <w:fldChar w:fldCharType="end"/>
          </w:r>
        </w:p>
        <w:p w14:paraId="33DF7DA8">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_Toc25589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第二节</w:t>
          </w:r>
          <w:r>
            <w:rPr>
              <w:rFonts w:hint="default" w:ascii="Times New Roman" w:hAnsi="Times New Roman" w:eastAsia="楷体_GB2312" w:cs="Times New Roman"/>
              <w:sz w:val="24"/>
              <w:szCs w:val="24"/>
              <w:highlight w:val="none"/>
              <w:lang w:val="en-US" w:eastAsia="zh-CN"/>
            </w:rPr>
            <w:t xml:space="preserve"> 强化水安全保障网络</w:t>
          </w:r>
          <w:r>
            <w:rPr>
              <w:sz w:val="24"/>
              <w:szCs w:val="24"/>
            </w:rPr>
            <w:tab/>
          </w:r>
          <w:r>
            <w:rPr>
              <w:sz w:val="24"/>
              <w:szCs w:val="24"/>
            </w:rPr>
            <w:fldChar w:fldCharType="begin"/>
          </w:r>
          <w:r>
            <w:rPr>
              <w:sz w:val="24"/>
              <w:szCs w:val="24"/>
            </w:rPr>
            <w:instrText xml:space="preserve"> PAGEREF _Toc25589 \h </w:instrText>
          </w:r>
          <w:r>
            <w:rPr>
              <w:sz w:val="24"/>
              <w:szCs w:val="24"/>
            </w:rPr>
            <w:fldChar w:fldCharType="separate"/>
          </w:r>
          <w:r>
            <w:rPr>
              <w:sz w:val="24"/>
              <w:szCs w:val="24"/>
            </w:rPr>
            <w:t>- 54 -</w:t>
          </w:r>
          <w:r>
            <w:rPr>
              <w:sz w:val="24"/>
              <w:szCs w:val="24"/>
            </w:rPr>
            <w:fldChar w:fldCharType="end"/>
          </w:r>
          <w:r>
            <w:rPr>
              <w:rFonts w:hint="default" w:ascii="Times New Roman" w:hAnsi="Times New Roman" w:cs="Times New Roman"/>
              <w:color w:val="auto"/>
              <w:sz w:val="24"/>
              <w:szCs w:val="24"/>
              <w:highlight w:val="none"/>
            </w:rPr>
            <w:fldChar w:fldCharType="end"/>
          </w:r>
        </w:p>
        <w:p w14:paraId="38B8D1C4">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_Toc23873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第三节</w:t>
          </w:r>
          <w:r>
            <w:rPr>
              <w:rFonts w:hint="default" w:ascii="Times New Roman" w:hAnsi="Times New Roman" w:eastAsia="楷体_GB2312" w:cs="Times New Roman"/>
              <w:sz w:val="24"/>
              <w:szCs w:val="24"/>
              <w:highlight w:val="none"/>
              <w:lang w:val="en-US" w:eastAsia="zh-CN"/>
            </w:rPr>
            <w:t xml:space="preserve"> 推进高效能源网络</w:t>
          </w:r>
          <w:r>
            <w:rPr>
              <w:sz w:val="24"/>
              <w:szCs w:val="24"/>
            </w:rPr>
            <w:tab/>
          </w:r>
          <w:r>
            <w:rPr>
              <w:sz w:val="24"/>
              <w:szCs w:val="24"/>
            </w:rPr>
            <w:fldChar w:fldCharType="begin"/>
          </w:r>
          <w:r>
            <w:rPr>
              <w:sz w:val="24"/>
              <w:szCs w:val="24"/>
            </w:rPr>
            <w:instrText xml:space="preserve"> PAGEREF _Toc23873 \h </w:instrText>
          </w:r>
          <w:r>
            <w:rPr>
              <w:sz w:val="24"/>
              <w:szCs w:val="24"/>
            </w:rPr>
            <w:fldChar w:fldCharType="separate"/>
          </w:r>
          <w:r>
            <w:rPr>
              <w:sz w:val="24"/>
              <w:szCs w:val="24"/>
            </w:rPr>
            <w:t>- 5</w:t>
          </w:r>
          <w:r>
            <w:rPr>
              <w:rFonts w:hint="eastAsia"/>
              <w:sz w:val="24"/>
              <w:szCs w:val="24"/>
              <w:lang w:val="en-US" w:eastAsia="zh-CN"/>
            </w:rPr>
            <w:t>5</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0AE30537">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_Toc5458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第四节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完善天然气输送网络</w:t>
          </w:r>
          <w:r>
            <w:rPr>
              <w:sz w:val="24"/>
              <w:szCs w:val="24"/>
            </w:rPr>
            <w:tab/>
          </w:r>
          <w:r>
            <w:rPr>
              <w:sz w:val="24"/>
              <w:szCs w:val="24"/>
            </w:rPr>
            <w:fldChar w:fldCharType="begin"/>
          </w:r>
          <w:r>
            <w:rPr>
              <w:sz w:val="24"/>
              <w:szCs w:val="24"/>
            </w:rPr>
            <w:instrText xml:space="preserve"> PAGEREF _Toc5458 \h </w:instrText>
          </w:r>
          <w:r>
            <w:rPr>
              <w:sz w:val="24"/>
              <w:szCs w:val="24"/>
            </w:rPr>
            <w:fldChar w:fldCharType="separate"/>
          </w:r>
          <w:r>
            <w:rPr>
              <w:sz w:val="24"/>
              <w:szCs w:val="24"/>
            </w:rPr>
            <w:t>- 5</w:t>
          </w:r>
          <w:r>
            <w:rPr>
              <w:rFonts w:hint="eastAsia"/>
              <w:sz w:val="24"/>
              <w:szCs w:val="24"/>
              <w:lang w:val="en-US" w:eastAsia="zh-CN"/>
            </w:rPr>
            <w:t>6</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773A45DC">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_Toc1452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第十章  着力优化经济布局</w:t>
          </w:r>
          <w:r>
            <w:rPr>
              <w:rFonts w:hint="eastAsia" w:ascii="Times New Roman" w:hAnsi="Times New Roman" w:eastAsia="黑体" w:cs="Times New Roman"/>
              <w:bCs/>
              <w:kern w:val="44"/>
              <w:sz w:val="24"/>
              <w:szCs w:val="24"/>
              <w:highlight w:val="none"/>
              <w:lang w:val="en-US" w:eastAsia="zh-CN" w:bidi="ar"/>
            </w:rPr>
            <w:t>，</w:t>
          </w:r>
          <w:r>
            <w:rPr>
              <w:rFonts w:hint="default" w:ascii="Times New Roman" w:hAnsi="Times New Roman" w:eastAsia="黑体" w:cs="Times New Roman"/>
              <w:bCs/>
              <w:kern w:val="44"/>
              <w:sz w:val="24"/>
              <w:szCs w:val="24"/>
              <w:highlight w:val="none"/>
              <w:lang w:val="en-US" w:eastAsia="zh-CN" w:bidi="ar"/>
            </w:rPr>
            <w:t>推动城乡融合和区域协调发展</w:t>
          </w:r>
          <w:r>
            <w:rPr>
              <w:sz w:val="24"/>
              <w:szCs w:val="24"/>
            </w:rPr>
            <w:tab/>
          </w:r>
          <w:r>
            <w:rPr>
              <w:sz w:val="24"/>
              <w:szCs w:val="24"/>
            </w:rPr>
            <w:fldChar w:fldCharType="begin"/>
          </w:r>
          <w:r>
            <w:rPr>
              <w:sz w:val="24"/>
              <w:szCs w:val="24"/>
            </w:rPr>
            <w:instrText xml:space="preserve"> PAGEREF _Toc1452 \h </w:instrText>
          </w:r>
          <w:r>
            <w:rPr>
              <w:sz w:val="24"/>
              <w:szCs w:val="24"/>
            </w:rPr>
            <w:fldChar w:fldCharType="separate"/>
          </w:r>
          <w:r>
            <w:rPr>
              <w:sz w:val="24"/>
              <w:szCs w:val="24"/>
            </w:rPr>
            <w:t>- 57 -</w:t>
          </w:r>
          <w:r>
            <w:rPr>
              <w:sz w:val="24"/>
              <w:szCs w:val="24"/>
            </w:rPr>
            <w:fldChar w:fldCharType="end"/>
          </w:r>
          <w:r>
            <w:rPr>
              <w:rFonts w:hint="default" w:ascii="Times New Roman" w:hAnsi="Times New Roman" w:cs="Times New Roman"/>
              <w:color w:val="auto"/>
              <w:sz w:val="24"/>
              <w:szCs w:val="24"/>
              <w:highlight w:val="none"/>
            </w:rPr>
            <w:fldChar w:fldCharType="end"/>
          </w:r>
        </w:p>
        <w:p w14:paraId="74DE78F3">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_Toc7592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第一节</w:t>
          </w:r>
          <w:r>
            <w:rPr>
              <w:rFonts w:hint="default" w:ascii="Times New Roman" w:hAnsi="Times New Roman" w:eastAsia="楷体_GB2312" w:cs="Times New Roman"/>
              <w:sz w:val="24"/>
              <w:szCs w:val="24"/>
              <w:highlight w:val="none"/>
              <w:lang w:val="en-US" w:eastAsia="zh-CN"/>
            </w:rPr>
            <w:t xml:space="preserve"> 构筑城镇空间布局新体系</w:t>
          </w:r>
          <w:r>
            <w:rPr>
              <w:sz w:val="24"/>
              <w:szCs w:val="24"/>
            </w:rPr>
            <w:tab/>
          </w:r>
          <w:r>
            <w:rPr>
              <w:sz w:val="24"/>
              <w:szCs w:val="24"/>
            </w:rPr>
            <w:fldChar w:fldCharType="begin"/>
          </w:r>
          <w:r>
            <w:rPr>
              <w:sz w:val="24"/>
              <w:szCs w:val="24"/>
            </w:rPr>
            <w:instrText xml:space="preserve"> PAGEREF _Toc7592 \h </w:instrText>
          </w:r>
          <w:r>
            <w:rPr>
              <w:sz w:val="24"/>
              <w:szCs w:val="24"/>
            </w:rPr>
            <w:fldChar w:fldCharType="separate"/>
          </w:r>
          <w:r>
            <w:rPr>
              <w:sz w:val="24"/>
              <w:szCs w:val="24"/>
            </w:rPr>
            <w:t>- 57 -</w:t>
          </w:r>
          <w:r>
            <w:rPr>
              <w:sz w:val="24"/>
              <w:szCs w:val="24"/>
            </w:rPr>
            <w:fldChar w:fldCharType="end"/>
          </w:r>
          <w:r>
            <w:rPr>
              <w:rFonts w:hint="default" w:ascii="Times New Roman" w:hAnsi="Times New Roman" w:cs="Times New Roman"/>
              <w:color w:val="auto"/>
              <w:sz w:val="24"/>
              <w:szCs w:val="24"/>
              <w:highlight w:val="none"/>
            </w:rPr>
            <w:fldChar w:fldCharType="end"/>
          </w:r>
        </w:p>
        <w:p w14:paraId="6797C187">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_Toc17033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第二节</w:t>
          </w:r>
          <w:r>
            <w:rPr>
              <w:rFonts w:hint="default" w:ascii="Times New Roman" w:hAnsi="Times New Roman" w:eastAsia="楷体_GB2312" w:cs="Times New Roman"/>
              <w:sz w:val="24"/>
              <w:szCs w:val="24"/>
              <w:highlight w:val="none"/>
              <w:lang w:val="en-US" w:eastAsia="zh-CN"/>
            </w:rPr>
            <w:t xml:space="preserve"> 推进</w:t>
          </w:r>
          <w:r>
            <w:rPr>
              <w:rFonts w:hint="default" w:ascii="Times New Roman" w:hAnsi="Times New Roman" w:eastAsia="楷体_GB2312" w:cs="Times New Roman"/>
              <w:sz w:val="24"/>
              <w:szCs w:val="24"/>
              <w:highlight w:val="none"/>
              <w:lang w:eastAsia="zh-CN"/>
            </w:rPr>
            <w:t>以县城为重要载体的</w:t>
          </w:r>
          <w:r>
            <w:rPr>
              <w:rFonts w:hint="default" w:ascii="Times New Roman" w:hAnsi="Times New Roman" w:eastAsia="楷体_GB2312" w:cs="Times New Roman"/>
              <w:sz w:val="24"/>
              <w:szCs w:val="24"/>
              <w:highlight w:val="none"/>
              <w:lang w:val="en-US" w:eastAsia="zh-CN"/>
            </w:rPr>
            <w:t>新型</w:t>
          </w:r>
          <w:r>
            <w:rPr>
              <w:rFonts w:hint="default" w:ascii="Times New Roman" w:hAnsi="Times New Roman" w:eastAsia="楷体_GB2312" w:cs="Times New Roman"/>
              <w:sz w:val="24"/>
              <w:szCs w:val="24"/>
              <w:highlight w:val="none"/>
              <w:lang w:eastAsia="zh-CN"/>
            </w:rPr>
            <w:t>城镇化建设</w:t>
          </w:r>
          <w:r>
            <w:rPr>
              <w:sz w:val="24"/>
              <w:szCs w:val="24"/>
            </w:rPr>
            <w:tab/>
          </w:r>
          <w:r>
            <w:rPr>
              <w:sz w:val="24"/>
              <w:szCs w:val="24"/>
            </w:rPr>
            <w:fldChar w:fldCharType="begin"/>
          </w:r>
          <w:r>
            <w:rPr>
              <w:sz w:val="24"/>
              <w:szCs w:val="24"/>
            </w:rPr>
            <w:instrText xml:space="preserve"> PAGEREF _Toc17033 \h </w:instrText>
          </w:r>
          <w:r>
            <w:rPr>
              <w:sz w:val="24"/>
              <w:szCs w:val="24"/>
            </w:rPr>
            <w:fldChar w:fldCharType="separate"/>
          </w:r>
          <w:r>
            <w:rPr>
              <w:sz w:val="24"/>
              <w:szCs w:val="24"/>
            </w:rPr>
            <w:t>- 58 -</w:t>
          </w:r>
          <w:r>
            <w:rPr>
              <w:sz w:val="24"/>
              <w:szCs w:val="24"/>
            </w:rPr>
            <w:fldChar w:fldCharType="end"/>
          </w:r>
          <w:r>
            <w:rPr>
              <w:rFonts w:hint="default" w:ascii="Times New Roman" w:hAnsi="Times New Roman" w:cs="Times New Roman"/>
              <w:color w:val="auto"/>
              <w:sz w:val="24"/>
              <w:szCs w:val="24"/>
              <w:highlight w:val="none"/>
            </w:rPr>
            <w:fldChar w:fldCharType="end"/>
          </w:r>
        </w:p>
        <w:p w14:paraId="484465B6">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_Toc21913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第三节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推动城市更新和安全韧性提升</w:t>
          </w:r>
          <w:r>
            <w:rPr>
              <w:sz w:val="24"/>
              <w:szCs w:val="24"/>
            </w:rPr>
            <w:tab/>
          </w:r>
          <w:r>
            <w:rPr>
              <w:sz w:val="24"/>
              <w:szCs w:val="24"/>
            </w:rPr>
            <w:fldChar w:fldCharType="begin"/>
          </w:r>
          <w:r>
            <w:rPr>
              <w:sz w:val="24"/>
              <w:szCs w:val="24"/>
            </w:rPr>
            <w:instrText xml:space="preserve"> PAGEREF _Toc21913 \h </w:instrText>
          </w:r>
          <w:r>
            <w:rPr>
              <w:sz w:val="24"/>
              <w:szCs w:val="24"/>
            </w:rPr>
            <w:fldChar w:fldCharType="separate"/>
          </w:r>
          <w:r>
            <w:rPr>
              <w:sz w:val="24"/>
              <w:szCs w:val="24"/>
            </w:rPr>
            <w:t xml:space="preserve">- </w:t>
          </w:r>
          <w:r>
            <w:rPr>
              <w:rFonts w:hint="eastAsia"/>
              <w:sz w:val="24"/>
              <w:szCs w:val="24"/>
              <w:lang w:val="en-US" w:eastAsia="zh-CN"/>
            </w:rPr>
            <w:t>60</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3476D398">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_Toc32449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科学有序推进农业转移人口市民化</w:t>
          </w:r>
          <w:r>
            <w:rPr>
              <w:sz w:val="24"/>
              <w:szCs w:val="24"/>
            </w:rPr>
            <w:tab/>
          </w:r>
          <w:r>
            <w:rPr>
              <w:sz w:val="24"/>
              <w:szCs w:val="24"/>
            </w:rPr>
            <w:fldChar w:fldCharType="begin"/>
          </w:r>
          <w:r>
            <w:rPr>
              <w:sz w:val="24"/>
              <w:szCs w:val="24"/>
            </w:rPr>
            <w:instrText xml:space="preserve"> PAGEREF _Toc32449 \h </w:instrText>
          </w:r>
          <w:r>
            <w:rPr>
              <w:sz w:val="24"/>
              <w:szCs w:val="24"/>
            </w:rPr>
            <w:fldChar w:fldCharType="separate"/>
          </w:r>
          <w:r>
            <w:rPr>
              <w:sz w:val="24"/>
              <w:szCs w:val="24"/>
            </w:rPr>
            <w:t>- 61 -</w:t>
          </w:r>
          <w:r>
            <w:rPr>
              <w:sz w:val="24"/>
              <w:szCs w:val="24"/>
            </w:rPr>
            <w:fldChar w:fldCharType="end"/>
          </w:r>
          <w:r>
            <w:rPr>
              <w:rFonts w:hint="default" w:ascii="Times New Roman" w:hAnsi="Times New Roman" w:cs="Times New Roman"/>
              <w:color w:val="auto"/>
              <w:sz w:val="24"/>
              <w:szCs w:val="24"/>
              <w:highlight w:val="none"/>
            </w:rPr>
            <w:fldChar w:fldCharType="end"/>
          </w:r>
        </w:p>
        <w:p w14:paraId="62987564">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_Toc26100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五</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扎实推进乡村全面振兴</w:t>
          </w:r>
          <w:r>
            <w:rPr>
              <w:sz w:val="24"/>
              <w:szCs w:val="24"/>
            </w:rPr>
            <w:tab/>
          </w:r>
          <w:r>
            <w:rPr>
              <w:sz w:val="24"/>
              <w:szCs w:val="24"/>
            </w:rPr>
            <w:fldChar w:fldCharType="begin"/>
          </w:r>
          <w:r>
            <w:rPr>
              <w:sz w:val="24"/>
              <w:szCs w:val="24"/>
            </w:rPr>
            <w:instrText xml:space="preserve"> PAGEREF _Toc26100 \h </w:instrText>
          </w:r>
          <w:r>
            <w:rPr>
              <w:sz w:val="24"/>
              <w:szCs w:val="24"/>
            </w:rPr>
            <w:fldChar w:fldCharType="separate"/>
          </w:r>
          <w:r>
            <w:rPr>
              <w:sz w:val="24"/>
              <w:szCs w:val="24"/>
            </w:rPr>
            <w:t>- 61 -</w:t>
          </w:r>
          <w:r>
            <w:rPr>
              <w:sz w:val="24"/>
              <w:szCs w:val="24"/>
            </w:rPr>
            <w:fldChar w:fldCharType="end"/>
          </w:r>
          <w:r>
            <w:rPr>
              <w:rFonts w:hint="default" w:ascii="Times New Roman" w:hAnsi="Times New Roman" w:cs="Times New Roman"/>
              <w:color w:val="auto"/>
              <w:sz w:val="24"/>
              <w:szCs w:val="24"/>
              <w:highlight w:val="none"/>
            </w:rPr>
            <w:fldChar w:fldCharType="end"/>
          </w:r>
        </w:p>
        <w:p w14:paraId="37C287BC">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_Toc11079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六</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完善</w:t>
          </w:r>
          <w:r>
            <w:rPr>
              <w:rFonts w:hint="default" w:ascii="Times New Roman" w:hAnsi="Times New Roman" w:eastAsia="楷体_GB2312" w:cs="Times New Roman"/>
              <w:sz w:val="24"/>
              <w:szCs w:val="24"/>
              <w:highlight w:val="none"/>
              <w:lang w:val="en-US" w:eastAsia="zh-CN"/>
            </w:rPr>
            <w:t>城乡</w:t>
          </w:r>
          <w:r>
            <w:rPr>
              <w:rFonts w:hint="default" w:ascii="Times New Roman" w:hAnsi="Times New Roman" w:eastAsia="楷体_GB2312" w:cs="Times New Roman"/>
              <w:sz w:val="24"/>
              <w:szCs w:val="24"/>
              <w:highlight w:val="none"/>
              <w:lang w:eastAsia="zh-CN"/>
            </w:rPr>
            <w:t>融合发展体制机制</w:t>
          </w:r>
          <w:r>
            <w:rPr>
              <w:sz w:val="24"/>
              <w:szCs w:val="24"/>
            </w:rPr>
            <w:tab/>
          </w:r>
          <w:r>
            <w:rPr>
              <w:sz w:val="24"/>
              <w:szCs w:val="24"/>
            </w:rPr>
            <w:fldChar w:fldCharType="begin"/>
          </w:r>
          <w:r>
            <w:rPr>
              <w:sz w:val="24"/>
              <w:szCs w:val="24"/>
            </w:rPr>
            <w:instrText xml:space="preserve"> PAGEREF _Toc11079 \h </w:instrText>
          </w:r>
          <w:r>
            <w:rPr>
              <w:sz w:val="24"/>
              <w:szCs w:val="24"/>
            </w:rPr>
            <w:fldChar w:fldCharType="separate"/>
          </w:r>
          <w:r>
            <w:rPr>
              <w:sz w:val="24"/>
              <w:szCs w:val="24"/>
            </w:rPr>
            <w:t>- 62 -</w:t>
          </w:r>
          <w:r>
            <w:rPr>
              <w:sz w:val="24"/>
              <w:szCs w:val="24"/>
            </w:rPr>
            <w:fldChar w:fldCharType="end"/>
          </w:r>
          <w:r>
            <w:rPr>
              <w:rFonts w:hint="default" w:ascii="Times New Roman" w:hAnsi="Times New Roman" w:cs="Times New Roman"/>
              <w:color w:val="auto"/>
              <w:sz w:val="24"/>
              <w:szCs w:val="24"/>
              <w:highlight w:val="none"/>
            </w:rPr>
            <w:fldChar w:fldCharType="end"/>
          </w:r>
        </w:p>
        <w:p w14:paraId="17A50631">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_Toc16825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第十一章  繁荣发展社会主义先进文化，夯实中华民族共同体建设的思想根基</w:t>
          </w:r>
          <w:r>
            <w:rPr>
              <w:sz w:val="24"/>
              <w:szCs w:val="24"/>
            </w:rPr>
            <w:tab/>
          </w:r>
          <w:r>
            <w:rPr>
              <w:sz w:val="24"/>
              <w:szCs w:val="24"/>
            </w:rPr>
            <w:fldChar w:fldCharType="begin"/>
          </w:r>
          <w:r>
            <w:rPr>
              <w:sz w:val="24"/>
              <w:szCs w:val="24"/>
            </w:rPr>
            <w:instrText xml:space="preserve"> PAGEREF _Toc16825 \h </w:instrText>
          </w:r>
          <w:r>
            <w:rPr>
              <w:sz w:val="24"/>
              <w:szCs w:val="24"/>
            </w:rPr>
            <w:fldChar w:fldCharType="separate"/>
          </w:r>
          <w:r>
            <w:rPr>
              <w:sz w:val="24"/>
              <w:szCs w:val="24"/>
            </w:rPr>
            <w:t>- 64 -</w:t>
          </w:r>
          <w:r>
            <w:rPr>
              <w:sz w:val="24"/>
              <w:szCs w:val="24"/>
            </w:rPr>
            <w:fldChar w:fldCharType="end"/>
          </w:r>
          <w:r>
            <w:rPr>
              <w:rFonts w:hint="default" w:ascii="Times New Roman" w:hAnsi="Times New Roman" w:cs="Times New Roman"/>
              <w:color w:val="auto"/>
              <w:sz w:val="24"/>
              <w:szCs w:val="24"/>
              <w:highlight w:val="none"/>
            </w:rPr>
            <w:fldChar w:fldCharType="end"/>
          </w:r>
        </w:p>
        <w:p w14:paraId="4BA3B11F">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_Toc1425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弘扬和践行社会主义核心价值观</w:t>
          </w:r>
          <w:r>
            <w:rPr>
              <w:sz w:val="24"/>
              <w:szCs w:val="24"/>
            </w:rPr>
            <w:tab/>
          </w:r>
          <w:r>
            <w:rPr>
              <w:sz w:val="24"/>
              <w:szCs w:val="24"/>
            </w:rPr>
            <w:fldChar w:fldCharType="begin"/>
          </w:r>
          <w:r>
            <w:rPr>
              <w:sz w:val="24"/>
              <w:szCs w:val="24"/>
            </w:rPr>
            <w:instrText xml:space="preserve"> PAGEREF _Toc1425 \h </w:instrText>
          </w:r>
          <w:r>
            <w:rPr>
              <w:sz w:val="24"/>
              <w:szCs w:val="24"/>
            </w:rPr>
            <w:fldChar w:fldCharType="separate"/>
          </w:r>
          <w:r>
            <w:rPr>
              <w:sz w:val="24"/>
              <w:szCs w:val="24"/>
            </w:rPr>
            <w:t>- 64 -</w:t>
          </w:r>
          <w:r>
            <w:rPr>
              <w:sz w:val="24"/>
              <w:szCs w:val="24"/>
            </w:rPr>
            <w:fldChar w:fldCharType="end"/>
          </w:r>
          <w:r>
            <w:rPr>
              <w:rFonts w:hint="default" w:ascii="Times New Roman" w:hAnsi="Times New Roman" w:cs="Times New Roman"/>
              <w:color w:val="auto"/>
              <w:sz w:val="24"/>
              <w:szCs w:val="24"/>
              <w:highlight w:val="none"/>
            </w:rPr>
            <w:fldChar w:fldCharType="end"/>
          </w:r>
        </w:p>
        <w:p w14:paraId="66E54EA0">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_Toc17090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第二节</w:t>
          </w:r>
          <w:r>
            <w:rPr>
              <w:rFonts w:hint="default" w:ascii="Times New Roman" w:hAnsi="Times New Roman" w:eastAsia="楷体_GB2312" w:cs="Times New Roman"/>
              <w:sz w:val="24"/>
              <w:szCs w:val="24"/>
              <w:highlight w:val="none"/>
              <w:lang w:val="en-US" w:eastAsia="zh-CN"/>
            </w:rPr>
            <w:t xml:space="preserve"> 繁荣发展文化体育事业</w:t>
          </w:r>
          <w:r>
            <w:rPr>
              <w:sz w:val="24"/>
              <w:szCs w:val="24"/>
            </w:rPr>
            <w:tab/>
          </w:r>
          <w:r>
            <w:rPr>
              <w:sz w:val="24"/>
              <w:szCs w:val="24"/>
            </w:rPr>
            <w:fldChar w:fldCharType="begin"/>
          </w:r>
          <w:r>
            <w:rPr>
              <w:sz w:val="24"/>
              <w:szCs w:val="24"/>
            </w:rPr>
            <w:instrText xml:space="preserve"> PAGEREF _Toc17090 \h </w:instrText>
          </w:r>
          <w:r>
            <w:rPr>
              <w:sz w:val="24"/>
              <w:szCs w:val="24"/>
            </w:rPr>
            <w:fldChar w:fldCharType="separate"/>
          </w:r>
          <w:r>
            <w:rPr>
              <w:sz w:val="24"/>
              <w:szCs w:val="24"/>
            </w:rPr>
            <w:t>- 65 -</w:t>
          </w:r>
          <w:r>
            <w:rPr>
              <w:sz w:val="24"/>
              <w:szCs w:val="24"/>
            </w:rPr>
            <w:fldChar w:fldCharType="end"/>
          </w:r>
          <w:r>
            <w:rPr>
              <w:rFonts w:hint="default" w:ascii="Times New Roman" w:hAnsi="Times New Roman" w:cs="Times New Roman"/>
              <w:color w:val="auto"/>
              <w:sz w:val="24"/>
              <w:szCs w:val="24"/>
              <w:highlight w:val="none"/>
            </w:rPr>
            <w:fldChar w:fldCharType="end"/>
          </w:r>
        </w:p>
        <w:p w14:paraId="55E5BA43">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_Toc23282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第三节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促进各民族</w:t>
          </w:r>
          <w:r>
            <w:rPr>
              <w:rFonts w:hint="default" w:ascii="Times New Roman" w:hAnsi="Times New Roman" w:eastAsia="楷体_GB2312" w:cs="Times New Roman"/>
              <w:sz w:val="24"/>
              <w:szCs w:val="24"/>
              <w:highlight w:val="none"/>
              <w:lang w:val="en-US" w:eastAsia="zh-CN"/>
            </w:rPr>
            <w:t>在理想、信念、情感、文化上的团结统一</w:t>
          </w:r>
          <w:r>
            <w:rPr>
              <w:sz w:val="24"/>
              <w:szCs w:val="24"/>
            </w:rPr>
            <w:tab/>
          </w:r>
          <w:r>
            <w:rPr>
              <w:sz w:val="24"/>
              <w:szCs w:val="24"/>
            </w:rPr>
            <w:fldChar w:fldCharType="begin"/>
          </w:r>
          <w:r>
            <w:rPr>
              <w:sz w:val="24"/>
              <w:szCs w:val="24"/>
            </w:rPr>
            <w:instrText xml:space="preserve"> PAGEREF _Toc23282 \h </w:instrText>
          </w:r>
          <w:r>
            <w:rPr>
              <w:sz w:val="24"/>
              <w:szCs w:val="24"/>
            </w:rPr>
            <w:fldChar w:fldCharType="separate"/>
          </w:r>
          <w:r>
            <w:rPr>
              <w:sz w:val="24"/>
              <w:szCs w:val="24"/>
            </w:rPr>
            <w:t>- 65 -</w:t>
          </w:r>
          <w:r>
            <w:rPr>
              <w:sz w:val="24"/>
              <w:szCs w:val="24"/>
            </w:rPr>
            <w:fldChar w:fldCharType="end"/>
          </w:r>
          <w:r>
            <w:rPr>
              <w:rFonts w:hint="default" w:ascii="Times New Roman" w:hAnsi="Times New Roman" w:cs="Times New Roman"/>
              <w:color w:val="auto"/>
              <w:sz w:val="24"/>
              <w:szCs w:val="24"/>
              <w:highlight w:val="none"/>
            </w:rPr>
            <w:fldChar w:fldCharType="end"/>
          </w:r>
        </w:p>
        <w:p w14:paraId="0C49926B">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_Toc19759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w:t>
          </w:r>
          <w:r>
            <w:rPr>
              <w:rFonts w:hint="default" w:ascii="Times New Roman" w:hAnsi="Times New Roman" w:eastAsia="楷体_GB2312" w:cs="Times New Roman"/>
              <w:sz w:val="24"/>
              <w:szCs w:val="24"/>
              <w:highlight w:val="none"/>
              <w:lang w:eastAsia="zh-CN"/>
            </w:rPr>
            <w:t>四</w:t>
          </w:r>
          <w:r>
            <w:rPr>
              <w:rFonts w:hint="default" w:ascii="Times New Roman" w:hAnsi="Times New Roman" w:eastAsia="楷体_GB2312" w:cs="Times New Roman"/>
              <w:sz w:val="24"/>
              <w:szCs w:val="24"/>
              <w:highlight w:val="none"/>
              <w:lang w:val="en-US" w:eastAsia="zh-CN"/>
            </w:rPr>
            <w:t>节 系统推进我国宗教中国化方向</w:t>
          </w:r>
          <w:r>
            <w:rPr>
              <w:sz w:val="24"/>
              <w:szCs w:val="24"/>
            </w:rPr>
            <w:tab/>
          </w:r>
          <w:r>
            <w:rPr>
              <w:sz w:val="24"/>
              <w:szCs w:val="24"/>
            </w:rPr>
            <w:fldChar w:fldCharType="begin"/>
          </w:r>
          <w:r>
            <w:rPr>
              <w:sz w:val="24"/>
              <w:szCs w:val="24"/>
            </w:rPr>
            <w:instrText xml:space="preserve"> PAGEREF _Toc19759 \h </w:instrText>
          </w:r>
          <w:r>
            <w:rPr>
              <w:sz w:val="24"/>
              <w:szCs w:val="24"/>
            </w:rPr>
            <w:fldChar w:fldCharType="separate"/>
          </w:r>
          <w:r>
            <w:rPr>
              <w:sz w:val="24"/>
              <w:szCs w:val="24"/>
            </w:rPr>
            <w:t>- 66 -</w:t>
          </w:r>
          <w:r>
            <w:rPr>
              <w:sz w:val="24"/>
              <w:szCs w:val="24"/>
            </w:rPr>
            <w:fldChar w:fldCharType="end"/>
          </w:r>
          <w:r>
            <w:rPr>
              <w:rFonts w:hint="default" w:ascii="Times New Roman" w:hAnsi="Times New Roman" w:cs="Times New Roman"/>
              <w:color w:val="auto"/>
              <w:sz w:val="24"/>
              <w:szCs w:val="24"/>
              <w:highlight w:val="none"/>
            </w:rPr>
            <w:fldChar w:fldCharType="end"/>
          </w:r>
        </w:p>
        <w:p w14:paraId="66B1943F">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_Toc28470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第十二章  推动基本公共服务普惠共享，提高各族群众生活品质</w:t>
          </w:r>
          <w:r>
            <w:rPr>
              <w:sz w:val="24"/>
              <w:szCs w:val="24"/>
            </w:rPr>
            <w:tab/>
          </w:r>
          <w:r>
            <w:rPr>
              <w:sz w:val="24"/>
              <w:szCs w:val="24"/>
            </w:rPr>
            <w:fldChar w:fldCharType="begin"/>
          </w:r>
          <w:r>
            <w:rPr>
              <w:sz w:val="24"/>
              <w:szCs w:val="24"/>
            </w:rPr>
            <w:instrText xml:space="preserve"> PAGEREF _Toc28470 \h </w:instrText>
          </w:r>
          <w:r>
            <w:rPr>
              <w:sz w:val="24"/>
              <w:szCs w:val="24"/>
            </w:rPr>
            <w:fldChar w:fldCharType="separate"/>
          </w:r>
          <w:r>
            <w:rPr>
              <w:sz w:val="24"/>
              <w:szCs w:val="24"/>
            </w:rPr>
            <w:t>- 67 -</w:t>
          </w:r>
          <w:r>
            <w:rPr>
              <w:sz w:val="24"/>
              <w:szCs w:val="24"/>
            </w:rPr>
            <w:fldChar w:fldCharType="end"/>
          </w:r>
          <w:r>
            <w:rPr>
              <w:rFonts w:hint="default" w:ascii="Times New Roman" w:hAnsi="Times New Roman" w:cs="Times New Roman"/>
              <w:color w:val="auto"/>
              <w:sz w:val="24"/>
              <w:szCs w:val="24"/>
              <w:highlight w:val="none"/>
            </w:rPr>
            <w:fldChar w:fldCharType="end"/>
          </w:r>
        </w:p>
        <w:p w14:paraId="31A340DF">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_Toc26264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促进高质量充分就业</w:t>
          </w:r>
          <w:r>
            <w:rPr>
              <w:sz w:val="24"/>
              <w:szCs w:val="24"/>
            </w:rPr>
            <w:tab/>
          </w:r>
          <w:r>
            <w:rPr>
              <w:sz w:val="24"/>
              <w:szCs w:val="24"/>
            </w:rPr>
            <w:fldChar w:fldCharType="begin"/>
          </w:r>
          <w:r>
            <w:rPr>
              <w:sz w:val="24"/>
              <w:szCs w:val="24"/>
            </w:rPr>
            <w:instrText xml:space="preserve"> PAGEREF _Toc26264 \h </w:instrText>
          </w:r>
          <w:r>
            <w:rPr>
              <w:sz w:val="24"/>
              <w:szCs w:val="24"/>
            </w:rPr>
            <w:fldChar w:fldCharType="separate"/>
          </w:r>
          <w:r>
            <w:rPr>
              <w:sz w:val="24"/>
              <w:szCs w:val="24"/>
            </w:rPr>
            <w:t>- 67 -</w:t>
          </w:r>
          <w:r>
            <w:rPr>
              <w:sz w:val="24"/>
              <w:szCs w:val="24"/>
            </w:rPr>
            <w:fldChar w:fldCharType="end"/>
          </w:r>
          <w:r>
            <w:rPr>
              <w:rFonts w:hint="default" w:ascii="Times New Roman" w:hAnsi="Times New Roman" w:cs="Times New Roman"/>
              <w:color w:val="auto"/>
              <w:sz w:val="24"/>
              <w:szCs w:val="24"/>
              <w:highlight w:val="none"/>
            </w:rPr>
            <w:fldChar w:fldCharType="end"/>
          </w:r>
        </w:p>
        <w:p w14:paraId="1444BFE3">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_Toc23920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二</w:t>
          </w:r>
          <w:r>
            <w:rPr>
              <w:rFonts w:hint="default" w:ascii="Times New Roman" w:hAnsi="Times New Roman" w:eastAsia="楷体_GB2312" w:cs="Times New Roman"/>
              <w:sz w:val="24"/>
              <w:szCs w:val="24"/>
              <w:highlight w:val="none"/>
              <w:lang w:eastAsia="zh-CN"/>
            </w:rPr>
            <w:t>节 多渠道促进居民增收</w:t>
          </w:r>
          <w:r>
            <w:rPr>
              <w:sz w:val="24"/>
              <w:szCs w:val="24"/>
            </w:rPr>
            <w:tab/>
          </w:r>
          <w:r>
            <w:rPr>
              <w:sz w:val="24"/>
              <w:szCs w:val="24"/>
            </w:rPr>
            <w:fldChar w:fldCharType="begin"/>
          </w:r>
          <w:r>
            <w:rPr>
              <w:sz w:val="24"/>
              <w:szCs w:val="24"/>
            </w:rPr>
            <w:instrText xml:space="preserve"> PAGEREF _Toc23920 \h </w:instrText>
          </w:r>
          <w:r>
            <w:rPr>
              <w:sz w:val="24"/>
              <w:szCs w:val="24"/>
            </w:rPr>
            <w:fldChar w:fldCharType="separate"/>
          </w:r>
          <w:r>
            <w:rPr>
              <w:sz w:val="24"/>
              <w:szCs w:val="24"/>
            </w:rPr>
            <w:t>- 68 -</w:t>
          </w:r>
          <w:r>
            <w:rPr>
              <w:sz w:val="24"/>
              <w:szCs w:val="24"/>
            </w:rPr>
            <w:fldChar w:fldCharType="end"/>
          </w:r>
          <w:r>
            <w:rPr>
              <w:rFonts w:hint="default" w:ascii="Times New Roman" w:hAnsi="Times New Roman" w:cs="Times New Roman"/>
              <w:color w:val="auto"/>
              <w:sz w:val="24"/>
              <w:szCs w:val="24"/>
              <w:highlight w:val="none"/>
            </w:rPr>
            <w:fldChar w:fldCharType="end"/>
          </w:r>
        </w:p>
        <w:p w14:paraId="6D96AB7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_Toc4260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三</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建设高质量教育体系</w:t>
          </w:r>
          <w:r>
            <w:rPr>
              <w:sz w:val="24"/>
              <w:szCs w:val="24"/>
            </w:rPr>
            <w:tab/>
          </w:r>
          <w:r>
            <w:rPr>
              <w:sz w:val="24"/>
              <w:szCs w:val="24"/>
            </w:rPr>
            <w:fldChar w:fldCharType="begin"/>
          </w:r>
          <w:r>
            <w:rPr>
              <w:sz w:val="24"/>
              <w:szCs w:val="24"/>
            </w:rPr>
            <w:instrText xml:space="preserve"> PAGEREF _Toc4260 \h </w:instrText>
          </w:r>
          <w:r>
            <w:rPr>
              <w:sz w:val="24"/>
              <w:szCs w:val="24"/>
            </w:rPr>
            <w:fldChar w:fldCharType="separate"/>
          </w:r>
          <w:r>
            <w:rPr>
              <w:sz w:val="24"/>
              <w:szCs w:val="24"/>
            </w:rPr>
            <w:t>- 69 -</w:t>
          </w:r>
          <w:r>
            <w:rPr>
              <w:sz w:val="24"/>
              <w:szCs w:val="24"/>
            </w:rPr>
            <w:fldChar w:fldCharType="end"/>
          </w:r>
          <w:r>
            <w:rPr>
              <w:rFonts w:hint="default" w:ascii="Times New Roman" w:hAnsi="Times New Roman" w:cs="Times New Roman"/>
              <w:color w:val="auto"/>
              <w:sz w:val="24"/>
              <w:szCs w:val="24"/>
              <w:highlight w:val="none"/>
            </w:rPr>
            <w:fldChar w:fldCharType="end"/>
          </w:r>
        </w:p>
        <w:p w14:paraId="3119FC75">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_Toc25538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提升医疗卫生服务水平</w:t>
          </w:r>
          <w:r>
            <w:rPr>
              <w:sz w:val="24"/>
              <w:szCs w:val="24"/>
            </w:rPr>
            <w:tab/>
          </w:r>
          <w:r>
            <w:rPr>
              <w:sz w:val="24"/>
              <w:szCs w:val="24"/>
            </w:rPr>
            <w:fldChar w:fldCharType="begin"/>
          </w:r>
          <w:r>
            <w:rPr>
              <w:sz w:val="24"/>
              <w:szCs w:val="24"/>
            </w:rPr>
            <w:instrText xml:space="preserve"> PAGEREF _Toc25538 \h </w:instrText>
          </w:r>
          <w:r>
            <w:rPr>
              <w:sz w:val="24"/>
              <w:szCs w:val="24"/>
            </w:rPr>
            <w:fldChar w:fldCharType="separate"/>
          </w:r>
          <w:r>
            <w:rPr>
              <w:sz w:val="24"/>
              <w:szCs w:val="24"/>
            </w:rPr>
            <w:t>- 70 -</w:t>
          </w:r>
          <w:r>
            <w:rPr>
              <w:sz w:val="24"/>
              <w:szCs w:val="24"/>
            </w:rPr>
            <w:fldChar w:fldCharType="end"/>
          </w:r>
          <w:r>
            <w:rPr>
              <w:rFonts w:hint="default" w:ascii="Times New Roman" w:hAnsi="Times New Roman" w:cs="Times New Roman"/>
              <w:color w:val="auto"/>
              <w:sz w:val="24"/>
              <w:szCs w:val="24"/>
              <w:highlight w:val="none"/>
            </w:rPr>
            <w:fldChar w:fldCharType="end"/>
          </w:r>
        </w:p>
        <w:p w14:paraId="213832BB">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_Toc18535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第五节 健全人口发展支持和服务体系</w:t>
          </w:r>
          <w:r>
            <w:rPr>
              <w:sz w:val="24"/>
              <w:szCs w:val="24"/>
            </w:rPr>
            <w:tab/>
          </w:r>
          <w:r>
            <w:rPr>
              <w:sz w:val="24"/>
              <w:szCs w:val="24"/>
            </w:rPr>
            <w:fldChar w:fldCharType="begin"/>
          </w:r>
          <w:r>
            <w:rPr>
              <w:sz w:val="24"/>
              <w:szCs w:val="24"/>
            </w:rPr>
            <w:instrText xml:space="preserve"> PAGEREF _Toc18535 \h </w:instrText>
          </w:r>
          <w:r>
            <w:rPr>
              <w:sz w:val="24"/>
              <w:szCs w:val="24"/>
            </w:rPr>
            <w:fldChar w:fldCharType="separate"/>
          </w:r>
          <w:r>
            <w:rPr>
              <w:sz w:val="24"/>
              <w:szCs w:val="24"/>
            </w:rPr>
            <w:t>- 71 -</w:t>
          </w:r>
          <w:r>
            <w:rPr>
              <w:sz w:val="24"/>
              <w:szCs w:val="24"/>
            </w:rPr>
            <w:fldChar w:fldCharType="end"/>
          </w:r>
          <w:r>
            <w:rPr>
              <w:rFonts w:hint="default" w:ascii="Times New Roman" w:hAnsi="Times New Roman" w:cs="Times New Roman"/>
              <w:color w:val="auto"/>
              <w:sz w:val="24"/>
              <w:szCs w:val="24"/>
              <w:highlight w:val="none"/>
            </w:rPr>
            <w:fldChar w:fldCharType="end"/>
          </w:r>
        </w:p>
        <w:p w14:paraId="631F020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_Toc21486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六</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健全社会保障体系</w:t>
          </w:r>
          <w:r>
            <w:rPr>
              <w:sz w:val="24"/>
              <w:szCs w:val="24"/>
            </w:rPr>
            <w:tab/>
          </w:r>
          <w:r>
            <w:rPr>
              <w:sz w:val="24"/>
              <w:szCs w:val="24"/>
            </w:rPr>
            <w:fldChar w:fldCharType="begin"/>
          </w:r>
          <w:r>
            <w:rPr>
              <w:sz w:val="24"/>
              <w:szCs w:val="24"/>
            </w:rPr>
            <w:instrText xml:space="preserve"> PAGEREF _Toc21486 \h </w:instrText>
          </w:r>
          <w:r>
            <w:rPr>
              <w:sz w:val="24"/>
              <w:szCs w:val="24"/>
            </w:rPr>
            <w:fldChar w:fldCharType="separate"/>
          </w:r>
          <w:r>
            <w:rPr>
              <w:sz w:val="24"/>
              <w:szCs w:val="24"/>
            </w:rPr>
            <w:t>- 72 -</w:t>
          </w:r>
          <w:r>
            <w:rPr>
              <w:sz w:val="24"/>
              <w:szCs w:val="24"/>
            </w:rPr>
            <w:fldChar w:fldCharType="end"/>
          </w:r>
          <w:r>
            <w:rPr>
              <w:rFonts w:hint="default" w:ascii="Times New Roman" w:hAnsi="Times New Roman" w:cs="Times New Roman"/>
              <w:color w:val="auto"/>
              <w:sz w:val="24"/>
              <w:szCs w:val="24"/>
              <w:highlight w:val="none"/>
            </w:rPr>
            <w:fldChar w:fldCharType="end"/>
          </w:r>
        </w:p>
        <w:p w14:paraId="295BE91C">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_Toc19110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七</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提升居民住房水平</w:t>
          </w:r>
          <w:r>
            <w:rPr>
              <w:sz w:val="24"/>
              <w:szCs w:val="24"/>
            </w:rPr>
            <w:tab/>
          </w:r>
          <w:r>
            <w:rPr>
              <w:sz w:val="24"/>
              <w:szCs w:val="24"/>
            </w:rPr>
            <w:fldChar w:fldCharType="begin"/>
          </w:r>
          <w:r>
            <w:rPr>
              <w:sz w:val="24"/>
              <w:szCs w:val="24"/>
            </w:rPr>
            <w:instrText xml:space="preserve"> PAGEREF _Toc19110 \h </w:instrText>
          </w:r>
          <w:r>
            <w:rPr>
              <w:sz w:val="24"/>
              <w:szCs w:val="24"/>
            </w:rPr>
            <w:fldChar w:fldCharType="separate"/>
          </w:r>
          <w:r>
            <w:rPr>
              <w:sz w:val="24"/>
              <w:szCs w:val="24"/>
            </w:rPr>
            <w:t>- 73 -</w:t>
          </w:r>
          <w:r>
            <w:rPr>
              <w:sz w:val="24"/>
              <w:szCs w:val="24"/>
            </w:rPr>
            <w:fldChar w:fldCharType="end"/>
          </w:r>
          <w:r>
            <w:rPr>
              <w:rFonts w:hint="default" w:ascii="Times New Roman" w:hAnsi="Times New Roman" w:cs="Times New Roman"/>
              <w:color w:val="auto"/>
              <w:sz w:val="24"/>
              <w:szCs w:val="24"/>
              <w:highlight w:val="none"/>
            </w:rPr>
            <w:fldChar w:fldCharType="end"/>
          </w:r>
        </w:p>
        <w:p w14:paraId="0702FB99">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_Toc2433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第十三章  加快经济社会发展全面绿色转型，建设美丽巩留</w:t>
          </w:r>
          <w:r>
            <w:rPr>
              <w:sz w:val="24"/>
              <w:szCs w:val="24"/>
            </w:rPr>
            <w:tab/>
          </w:r>
          <w:r>
            <w:rPr>
              <w:sz w:val="24"/>
              <w:szCs w:val="24"/>
            </w:rPr>
            <w:fldChar w:fldCharType="begin"/>
          </w:r>
          <w:r>
            <w:rPr>
              <w:sz w:val="24"/>
              <w:szCs w:val="24"/>
            </w:rPr>
            <w:instrText xml:space="preserve"> PAGEREF _Toc2433 \h </w:instrText>
          </w:r>
          <w:r>
            <w:rPr>
              <w:sz w:val="24"/>
              <w:szCs w:val="24"/>
            </w:rPr>
            <w:fldChar w:fldCharType="separate"/>
          </w:r>
          <w:r>
            <w:rPr>
              <w:sz w:val="24"/>
              <w:szCs w:val="24"/>
            </w:rPr>
            <w:t>- 74 -</w:t>
          </w:r>
          <w:r>
            <w:rPr>
              <w:sz w:val="24"/>
              <w:szCs w:val="24"/>
            </w:rPr>
            <w:fldChar w:fldCharType="end"/>
          </w:r>
          <w:r>
            <w:rPr>
              <w:rFonts w:hint="default" w:ascii="Times New Roman" w:hAnsi="Times New Roman" w:cs="Times New Roman"/>
              <w:color w:val="auto"/>
              <w:sz w:val="24"/>
              <w:szCs w:val="24"/>
              <w:highlight w:val="none"/>
            </w:rPr>
            <w:fldChar w:fldCharType="end"/>
          </w:r>
        </w:p>
        <w:p w14:paraId="1B4B90D5">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_Toc22295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持续深入打好污染防治攻坚战</w:t>
          </w:r>
          <w:r>
            <w:rPr>
              <w:sz w:val="24"/>
              <w:szCs w:val="24"/>
            </w:rPr>
            <w:tab/>
          </w:r>
          <w:r>
            <w:rPr>
              <w:sz w:val="24"/>
              <w:szCs w:val="24"/>
            </w:rPr>
            <w:fldChar w:fldCharType="begin"/>
          </w:r>
          <w:r>
            <w:rPr>
              <w:sz w:val="24"/>
              <w:szCs w:val="24"/>
            </w:rPr>
            <w:instrText xml:space="preserve"> PAGEREF _Toc22295 \h </w:instrText>
          </w:r>
          <w:r>
            <w:rPr>
              <w:sz w:val="24"/>
              <w:szCs w:val="24"/>
            </w:rPr>
            <w:fldChar w:fldCharType="separate"/>
          </w:r>
          <w:r>
            <w:rPr>
              <w:sz w:val="24"/>
              <w:szCs w:val="24"/>
            </w:rPr>
            <w:t>- 74 -</w:t>
          </w:r>
          <w:r>
            <w:rPr>
              <w:sz w:val="24"/>
              <w:szCs w:val="24"/>
            </w:rPr>
            <w:fldChar w:fldCharType="end"/>
          </w:r>
          <w:r>
            <w:rPr>
              <w:rFonts w:hint="default" w:ascii="Times New Roman" w:hAnsi="Times New Roman" w:cs="Times New Roman"/>
              <w:color w:val="auto"/>
              <w:sz w:val="24"/>
              <w:szCs w:val="24"/>
              <w:highlight w:val="none"/>
            </w:rPr>
            <w:fldChar w:fldCharType="end"/>
          </w:r>
        </w:p>
        <w:p w14:paraId="45EF0E87">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_Toc13907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二</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提升生态系统多样性稳定性持续性</w:t>
          </w:r>
          <w:r>
            <w:rPr>
              <w:sz w:val="24"/>
              <w:szCs w:val="24"/>
            </w:rPr>
            <w:tab/>
          </w:r>
          <w:r>
            <w:rPr>
              <w:sz w:val="24"/>
              <w:szCs w:val="24"/>
            </w:rPr>
            <w:fldChar w:fldCharType="begin"/>
          </w:r>
          <w:r>
            <w:rPr>
              <w:sz w:val="24"/>
              <w:szCs w:val="24"/>
            </w:rPr>
            <w:instrText xml:space="preserve"> PAGEREF _Toc13907 \h </w:instrText>
          </w:r>
          <w:r>
            <w:rPr>
              <w:sz w:val="24"/>
              <w:szCs w:val="24"/>
            </w:rPr>
            <w:fldChar w:fldCharType="separate"/>
          </w:r>
          <w:r>
            <w:rPr>
              <w:sz w:val="24"/>
              <w:szCs w:val="24"/>
            </w:rPr>
            <w:t>- 76 -</w:t>
          </w:r>
          <w:r>
            <w:rPr>
              <w:sz w:val="24"/>
              <w:szCs w:val="24"/>
            </w:rPr>
            <w:fldChar w:fldCharType="end"/>
          </w:r>
          <w:r>
            <w:rPr>
              <w:rFonts w:hint="default" w:ascii="Times New Roman" w:hAnsi="Times New Roman" w:cs="Times New Roman"/>
              <w:color w:val="auto"/>
              <w:sz w:val="24"/>
              <w:szCs w:val="24"/>
              <w:highlight w:val="none"/>
            </w:rPr>
            <w:fldChar w:fldCharType="end"/>
          </w:r>
        </w:p>
        <w:p w14:paraId="21EC289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_Toc19804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三</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健全生态环境治理保护体制机制</w:t>
          </w:r>
          <w:r>
            <w:rPr>
              <w:sz w:val="24"/>
              <w:szCs w:val="24"/>
            </w:rPr>
            <w:tab/>
          </w:r>
          <w:r>
            <w:rPr>
              <w:sz w:val="24"/>
              <w:szCs w:val="24"/>
            </w:rPr>
            <w:fldChar w:fldCharType="begin"/>
          </w:r>
          <w:r>
            <w:rPr>
              <w:sz w:val="24"/>
              <w:szCs w:val="24"/>
            </w:rPr>
            <w:instrText xml:space="preserve"> PAGEREF _Toc19804 \h </w:instrText>
          </w:r>
          <w:r>
            <w:rPr>
              <w:sz w:val="24"/>
              <w:szCs w:val="24"/>
            </w:rPr>
            <w:fldChar w:fldCharType="separate"/>
          </w:r>
          <w:r>
            <w:rPr>
              <w:sz w:val="24"/>
              <w:szCs w:val="24"/>
            </w:rPr>
            <w:t>- 7</w:t>
          </w:r>
          <w:r>
            <w:rPr>
              <w:rFonts w:hint="eastAsia"/>
              <w:sz w:val="24"/>
              <w:szCs w:val="24"/>
              <w:lang w:val="en-US" w:eastAsia="zh-CN"/>
            </w:rPr>
            <w:t>8</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7D4D012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_Toc1016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积极稳妥推进碳达峰</w:t>
          </w:r>
          <w:r>
            <w:rPr>
              <w:sz w:val="24"/>
              <w:szCs w:val="24"/>
            </w:rPr>
            <w:tab/>
          </w:r>
          <w:r>
            <w:rPr>
              <w:sz w:val="24"/>
              <w:szCs w:val="24"/>
            </w:rPr>
            <w:fldChar w:fldCharType="begin"/>
          </w:r>
          <w:r>
            <w:rPr>
              <w:sz w:val="24"/>
              <w:szCs w:val="24"/>
            </w:rPr>
            <w:instrText xml:space="preserve"> PAGEREF _Toc1016 \h </w:instrText>
          </w:r>
          <w:r>
            <w:rPr>
              <w:sz w:val="24"/>
              <w:szCs w:val="24"/>
            </w:rPr>
            <w:fldChar w:fldCharType="separate"/>
          </w:r>
          <w:r>
            <w:rPr>
              <w:sz w:val="24"/>
              <w:szCs w:val="24"/>
            </w:rPr>
            <w:t>- 78 -</w:t>
          </w:r>
          <w:r>
            <w:rPr>
              <w:sz w:val="24"/>
              <w:szCs w:val="24"/>
            </w:rPr>
            <w:fldChar w:fldCharType="end"/>
          </w:r>
          <w:r>
            <w:rPr>
              <w:rFonts w:hint="default" w:ascii="Times New Roman" w:hAnsi="Times New Roman" w:cs="Times New Roman"/>
              <w:color w:val="auto"/>
              <w:sz w:val="24"/>
              <w:szCs w:val="24"/>
              <w:highlight w:val="none"/>
            </w:rPr>
            <w:fldChar w:fldCharType="end"/>
          </w:r>
        </w:p>
        <w:p w14:paraId="721ECE6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_Toc24368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五</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加快形成绿色生产生活方式</w:t>
          </w:r>
          <w:r>
            <w:rPr>
              <w:sz w:val="24"/>
              <w:szCs w:val="24"/>
            </w:rPr>
            <w:tab/>
          </w:r>
          <w:r>
            <w:rPr>
              <w:sz w:val="24"/>
              <w:szCs w:val="24"/>
            </w:rPr>
            <w:fldChar w:fldCharType="begin"/>
          </w:r>
          <w:r>
            <w:rPr>
              <w:sz w:val="24"/>
              <w:szCs w:val="24"/>
            </w:rPr>
            <w:instrText xml:space="preserve"> PAGEREF _Toc24368 \h </w:instrText>
          </w:r>
          <w:r>
            <w:rPr>
              <w:sz w:val="24"/>
              <w:szCs w:val="24"/>
            </w:rPr>
            <w:fldChar w:fldCharType="separate"/>
          </w:r>
          <w:r>
            <w:rPr>
              <w:sz w:val="24"/>
              <w:szCs w:val="24"/>
            </w:rPr>
            <w:t>- 79 -</w:t>
          </w:r>
          <w:r>
            <w:rPr>
              <w:sz w:val="24"/>
              <w:szCs w:val="24"/>
            </w:rPr>
            <w:fldChar w:fldCharType="end"/>
          </w:r>
          <w:r>
            <w:rPr>
              <w:rFonts w:hint="default" w:ascii="Times New Roman" w:hAnsi="Times New Roman" w:cs="Times New Roman"/>
              <w:color w:val="auto"/>
              <w:sz w:val="24"/>
              <w:szCs w:val="24"/>
              <w:highlight w:val="none"/>
            </w:rPr>
            <w:fldChar w:fldCharType="end"/>
          </w:r>
        </w:p>
        <w:p w14:paraId="0AB0DD45">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_Toc25123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w:t>
          </w:r>
          <w:r>
            <w:rPr>
              <w:rFonts w:hint="eastAsia" w:ascii="Times New Roman" w:hAnsi="Times New Roman" w:eastAsia="黑体" w:cs="Times New Roman"/>
              <w:bCs/>
              <w:kern w:val="44"/>
              <w:sz w:val="24"/>
              <w:szCs w:val="24"/>
              <w:highlight w:val="none"/>
              <w:lang w:val="en-US" w:eastAsia="zh-CN" w:bidi="ar"/>
            </w:rPr>
            <w:t>四</w:t>
          </w:r>
          <w:r>
            <w:rPr>
              <w:rFonts w:hint="default" w:ascii="Times New Roman" w:hAnsi="Times New Roman" w:eastAsia="黑体" w:cs="Times New Roman"/>
              <w:bCs/>
              <w:kern w:val="44"/>
              <w:sz w:val="24"/>
              <w:szCs w:val="24"/>
              <w:highlight w:val="none"/>
              <w:lang w:val="en-US" w:eastAsia="zh-CN" w:bidi="ar"/>
            </w:rPr>
            <w:t>章  牢固树立</w:t>
          </w:r>
          <w:r>
            <w:rPr>
              <w:rFonts w:hint="eastAsia" w:ascii="Times New Roman" w:hAnsi="Times New Roman" w:eastAsia="黑体" w:cs="Times New Roman"/>
              <w:bCs/>
              <w:kern w:val="44"/>
              <w:sz w:val="24"/>
              <w:szCs w:val="24"/>
              <w:highlight w:val="none"/>
              <w:lang w:val="en-US" w:eastAsia="zh-CN" w:bidi="ar"/>
            </w:rPr>
            <w:t>“</w:t>
          </w:r>
          <w:r>
            <w:rPr>
              <w:rFonts w:hint="default" w:ascii="Times New Roman" w:hAnsi="Times New Roman" w:eastAsia="黑体" w:cs="Times New Roman"/>
              <w:bCs/>
              <w:kern w:val="44"/>
              <w:sz w:val="24"/>
              <w:szCs w:val="24"/>
              <w:highlight w:val="none"/>
              <w:lang w:val="en-US" w:eastAsia="zh-CN" w:bidi="ar"/>
            </w:rPr>
            <w:t>兵地一盘棋</w:t>
          </w:r>
          <w:r>
            <w:rPr>
              <w:rFonts w:hint="eastAsia" w:ascii="Times New Roman" w:hAnsi="Times New Roman" w:eastAsia="黑体" w:cs="Times New Roman"/>
              <w:bCs/>
              <w:kern w:val="44"/>
              <w:sz w:val="24"/>
              <w:szCs w:val="24"/>
              <w:highlight w:val="none"/>
              <w:lang w:val="en-US" w:eastAsia="zh-CN" w:bidi="ar"/>
            </w:rPr>
            <w:t>”</w:t>
          </w:r>
          <w:r>
            <w:rPr>
              <w:rFonts w:hint="default" w:ascii="Times New Roman" w:hAnsi="Times New Roman" w:eastAsia="黑体" w:cs="Times New Roman"/>
              <w:bCs/>
              <w:kern w:val="44"/>
              <w:sz w:val="24"/>
              <w:szCs w:val="24"/>
              <w:highlight w:val="none"/>
              <w:lang w:val="en-US" w:eastAsia="zh-CN" w:bidi="ar"/>
            </w:rPr>
            <w:t>思想，支持兵团更好履行维稳戍边职责使命</w:t>
          </w:r>
          <w:r>
            <w:rPr>
              <w:sz w:val="24"/>
              <w:szCs w:val="24"/>
            </w:rPr>
            <w:tab/>
          </w:r>
          <w:r>
            <w:rPr>
              <w:sz w:val="24"/>
              <w:szCs w:val="24"/>
            </w:rPr>
            <w:fldChar w:fldCharType="begin"/>
          </w:r>
          <w:r>
            <w:rPr>
              <w:sz w:val="24"/>
              <w:szCs w:val="24"/>
            </w:rPr>
            <w:instrText xml:space="preserve"> PAGEREF _Toc25123 \h </w:instrText>
          </w:r>
          <w:r>
            <w:rPr>
              <w:sz w:val="24"/>
              <w:szCs w:val="24"/>
            </w:rPr>
            <w:fldChar w:fldCharType="separate"/>
          </w:r>
          <w:r>
            <w:rPr>
              <w:sz w:val="24"/>
              <w:szCs w:val="24"/>
            </w:rPr>
            <w:t>- 8</w:t>
          </w:r>
          <w:r>
            <w:rPr>
              <w:rFonts w:hint="eastAsia"/>
              <w:sz w:val="24"/>
              <w:szCs w:val="24"/>
              <w:lang w:val="en-US" w:eastAsia="zh-CN"/>
            </w:rPr>
            <w:t>1</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5642DC70">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_Toc10410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eastAsia" w:ascii="Times New Roman" w:hAnsi="Times New Roman" w:eastAsia="楷体_GB2312" w:cs="Times New Roman"/>
              <w:sz w:val="24"/>
              <w:szCs w:val="24"/>
              <w:highlight w:val="none"/>
              <w:lang w:val="en-US"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推动兵地</w:t>
          </w:r>
          <w:r>
            <w:rPr>
              <w:rFonts w:hint="default" w:ascii="Times New Roman" w:hAnsi="Times New Roman" w:eastAsia="楷体_GB2312" w:cs="Times New Roman"/>
              <w:sz w:val="24"/>
              <w:szCs w:val="24"/>
              <w:highlight w:val="none"/>
              <w:lang w:val="en-US" w:eastAsia="zh-CN"/>
            </w:rPr>
            <w:t>产业</w:t>
          </w:r>
          <w:r>
            <w:rPr>
              <w:rFonts w:hint="default" w:ascii="Times New Roman" w:hAnsi="Times New Roman" w:eastAsia="楷体_GB2312" w:cs="Times New Roman"/>
              <w:sz w:val="24"/>
              <w:szCs w:val="24"/>
              <w:highlight w:val="none"/>
              <w:lang w:eastAsia="zh-CN"/>
            </w:rPr>
            <w:t>深度融合发展</w:t>
          </w:r>
          <w:r>
            <w:rPr>
              <w:sz w:val="24"/>
              <w:szCs w:val="24"/>
            </w:rPr>
            <w:tab/>
          </w:r>
          <w:r>
            <w:rPr>
              <w:sz w:val="24"/>
              <w:szCs w:val="24"/>
            </w:rPr>
            <w:fldChar w:fldCharType="begin"/>
          </w:r>
          <w:r>
            <w:rPr>
              <w:sz w:val="24"/>
              <w:szCs w:val="24"/>
            </w:rPr>
            <w:instrText xml:space="preserve"> PAGEREF _Toc10410 \h </w:instrText>
          </w:r>
          <w:r>
            <w:rPr>
              <w:sz w:val="24"/>
              <w:szCs w:val="24"/>
            </w:rPr>
            <w:fldChar w:fldCharType="separate"/>
          </w:r>
          <w:r>
            <w:rPr>
              <w:sz w:val="24"/>
              <w:szCs w:val="24"/>
            </w:rPr>
            <w:t>- 8</w:t>
          </w:r>
          <w:r>
            <w:rPr>
              <w:rFonts w:hint="eastAsia"/>
              <w:sz w:val="24"/>
              <w:szCs w:val="24"/>
              <w:lang w:val="en-US" w:eastAsia="zh-CN"/>
            </w:rPr>
            <w:t>1</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0255D62F">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_Toc31486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eastAsia" w:ascii="Times New Roman" w:hAnsi="Times New Roman" w:eastAsia="楷体_GB2312" w:cs="Times New Roman"/>
              <w:sz w:val="24"/>
              <w:szCs w:val="24"/>
              <w:highlight w:val="none"/>
              <w:lang w:val="en-US" w:eastAsia="zh-CN"/>
            </w:rPr>
            <w:t>二</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推动兵地互通共融发展</w:t>
          </w:r>
          <w:r>
            <w:rPr>
              <w:sz w:val="24"/>
              <w:szCs w:val="24"/>
            </w:rPr>
            <w:tab/>
          </w:r>
          <w:r>
            <w:rPr>
              <w:sz w:val="24"/>
              <w:szCs w:val="24"/>
            </w:rPr>
            <w:fldChar w:fldCharType="begin"/>
          </w:r>
          <w:r>
            <w:rPr>
              <w:sz w:val="24"/>
              <w:szCs w:val="24"/>
            </w:rPr>
            <w:instrText xml:space="preserve"> PAGEREF _Toc31486 \h </w:instrText>
          </w:r>
          <w:r>
            <w:rPr>
              <w:sz w:val="24"/>
              <w:szCs w:val="24"/>
            </w:rPr>
            <w:fldChar w:fldCharType="separate"/>
          </w:r>
          <w:r>
            <w:rPr>
              <w:sz w:val="24"/>
              <w:szCs w:val="24"/>
            </w:rPr>
            <w:t>- 8</w:t>
          </w:r>
          <w:r>
            <w:rPr>
              <w:rFonts w:hint="eastAsia"/>
              <w:sz w:val="24"/>
              <w:szCs w:val="24"/>
              <w:lang w:val="en-US" w:eastAsia="zh-CN"/>
            </w:rPr>
            <w:t>1</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59D07802">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_Toc26077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w:t>
          </w:r>
          <w:r>
            <w:rPr>
              <w:rFonts w:hint="eastAsia" w:ascii="Times New Roman" w:hAnsi="Times New Roman" w:eastAsia="黑体" w:cs="Times New Roman"/>
              <w:bCs/>
              <w:kern w:val="44"/>
              <w:sz w:val="24"/>
              <w:szCs w:val="24"/>
              <w:highlight w:val="none"/>
              <w:lang w:val="en-US" w:eastAsia="zh-CN" w:bidi="ar"/>
            </w:rPr>
            <w:t>五</w:t>
          </w:r>
          <w:r>
            <w:rPr>
              <w:rFonts w:hint="default" w:ascii="Times New Roman" w:hAnsi="Times New Roman" w:eastAsia="黑体" w:cs="Times New Roman"/>
              <w:bCs/>
              <w:kern w:val="44"/>
              <w:sz w:val="24"/>
              <w:szCs w:val="24"/>
              <w:highlight w:val="none"/>
              <w:lang w:val="en-US" w:eastAsia="zh-CN" w:bidi="ar"/>
            </w:rPr>
            <w:t>章  高质量开展新时代对口援疆，提升对口支援综合效益</w:t>
          </w:r>
          <w:r>
            <w:rPr>
              <w:sz w:val="24"/>
              <w:szCs w:val="24"/>
            </w:rPr>
            <w:tab/>
          </w:r>
          <w:r>
            <w:rPr>
              <w:sz w:val="24"/>
              <w:szCs w:val="24"/>
            </w:rPr>
            <w:fldChar w:fldCharType="begin"/>
          </w:r>
          <w:r>
            <w:rPr>
              <w:sz w:val="24"/>
              <w:szCs w:val="24"/>
            </w:rPr>
            <w:instrText xml:space="preserve"> PAGEREF _Toc26077 \h </w:instrText>
          </w:r>
          <w:r>
            <w:rPr>
              <w:sz w:val="24"/>
              <w:szCs w:val="24"/>
            </w:rPr>
            <w:fldChar w:fldCharType="separate"/>
          </w:r>
          <w:r>
            <w:rPr>
              <w:sz w:val="24"/>
              <w:szCs w:val="24"/>
            </w:rPr>
            <w:t>- 8</w:t>
          </w:r>
          <w:r>
            <w:rPr>
              <w:rFonts w:hint="eastAsia"/>
              <w:sz w:val="24"/>
              <w:szCs w:val="24"/>
              <w:lang w:val="en-US" w:eastAsia="zh-CN"/>
            </w:rPr>
            <w:t>3</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2E63A56E">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_Toc3810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eastAsia" w:ascii="Times New Roman" w:hAnsi="Times New Roman" w:eastAsia="楷体_GB2312" w:cs="Times New Roman"/>
              <w:sz w:val="24"/>
              <w:szCs w:val="24"/>
              <w:highlight w:val="none"/>
              <w:lang w:eastAsia="zh-CN"/>
            </w:rPr>
            <w:t>一</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深化民族交往交流交融</w:t>
          </w:r>
          <w:r>
            <w:rPr>
              <w:sz w:val="24"/>
              <w:szCs w:val="24"/>
            </w:rPr>
            <w:tab/>
          </w:r>
          <w:r>
            <w:rPr>
              <w:sz w:val="24"/>
              <w:szCs w:val="24"/>
            </w:rPr>
            <w:fldChar w:fldCharType="begin"/>
          </w:r>
          <w:r>
            <w:rPr>
              <w:sz w:val="24"/>
              <w:szCs w:val="24"/>
            </w:rPr>
            <w:instrText xml:space="preserve"> PAGEREF _Toc3810 \h </w:instrText>
          </w:r>
          <w:r>
            <w:rPr>
              <w:sz w:val="24"/>
              <w:szCs w:val="24"/>
            </w:rPr>
            <w:fldChar w:fldCharType="separate"/>
          </w:r>
          <w:r>
            <w:rPr>
              <w:sz w:val="24"/>
              <w:szCs w:val="24"/>
            </w:rPr>
            <w:t>- 8</w:t>
          </w:r>
          <w:r>
            <w:rPr>
              <w:rFonts w:hint="eastAsia"/>
              <w:sz w:val="24"/>
              <w:szCs w:val="24"/>
              <w:lang w:val="en-US" w:eastAsia="zh-CN"/>
            </w:rPr>
            <w:t>3</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4EFBB901">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_Toc26973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eastAsia" w:ascii="Times New Roman" w:hAnsi="Times New Roman" w:eastAsia="楷体_GB2312" w:cs="Times New Roman"/>
              <w:sz w:val="24"/>
              <w:szCs w:val="24"/>
              <w:highlight w:val="none"/>
              <w:lang w:eastAsia="zh-CN"/>
            </w:rPr>
            <w:t>二</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推进产业支援促进就业</w:t>
          </w:r>
          <w:r>
            <w:rPr>
              <w:sz w:val="24"/>
              <w:szCs w:val="24"/>
            </w:rPr>
            <w:tab/>
          </w:r>
          <w:r>
            <w:rPr>
              <w:sz w:val="24"/>
              <w:szCs w:val="24"/>
            </w:rPr>
            <w:fldChar w:fldCharType="begin"/>
          </w:r>
          <w:r>
            <w:rPr>
              <w:sz w:val="24"/>
              <w:szCs w:val="24"/>
            </w:rPr>
            <w:instrText xml:space="preserve"> PAGEREF _Toc26973 \h </w:instrText>
          </w:r>
          <w:r>
            <w:rPr>
              <w:sz w:val="24"/>
              <w:szCs w:val="24"/>
            </w:rPr>
            <w:fldChar w:fldCharType="separate"/>
          </w:r>
          <w:r>
            <w:rPr>
              <w:sz w:val="24"/>
              <w:szCs w:val="24"/>
            </w:rPr>
            <w:t>- 8</w:t>
          </w:r>
          <w:r>
            <w:rPr>
              <w:rFonts w:hint="eastAsia"/>
              <w:sz w:val="24"/>
              <w:szCs w:val="24"/>
              <w:lang w:val="en-US" w:eastAsia="zh-CN"/>
            </w:rPr>
            <w:t>4</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23CE4E3D">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_Toc25084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第三节</w:t>
          </w:r>
          <w:r>
            <w:rPr>
              <w:rFonts w:hint="default" w:ascii="Times New Roman" w:hAnsi="Times New Roman" w:eastAsia="楷体_GB2312" w:cs="Times New Roman"/>
              <w:sz w:val="24"/>
              <w:szCs w:val="24"/>
              <w:highlight w:val="none"/>
              <w:lang w:val="en-US" w:eastAsia="zh-CN"/>
            </w:rPr>
            <w:t xml:space="preserve"> 扎实做好文化教育事业</w:t>
          </w:r>
          <w:r>
            <w:rPr>
              <w:sz w:val="24"/>
              <w:szCs w:val="24"/>
            </w:rPr>
            <w:tab/>
          </w:r>
          <w:r>
            <w:rPr>
              <w:sz w:val="24"/>
              <w:szCs w:val="24"/>
            </w:rPr>
            <w:fldChar w:fldCharType="begin"/>
          </w:r>
          <w:r>
            <w:rPr>
              <w:sz w:val="24"/>
              <w:szCs w:val="24"/>
            </w:rPr>
            <w:instrText xml:space="preserve"> PAGEREF _Toc25084 \h </w:instrText>
          </w:r>
          <w:r>
            <w:rPr>
              <w:sz w:val="24"/>
              <w:szCs w:val="24"/>
            </w:rPr>
            <w:fldChar w:fldCharType="separate"/>
          </w:r>
          <w:r>
            <w:rPr>
              <w:sz w:val="24"/>
              <w:szCs w:val="24"/>
            </w:rPr>
            <w:t>- 8</w:t>
          </w:r>
          <w:r>
            <w:rPr>
              <w:rFonts w:hint="eastAsia"/>
              <w:sz w:val="24"/>
              <w:szCs w:val="24"/>
              <w:lang w:val="en-US" w:eastAsia="zh-CN"/>
            </w:rPr>
            <w:t>4</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0A66C5FC">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_Toc1499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第四节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加强干部人才交流合作</w:t>
          </w:r>
          <w:r>
            <w:rPr>
              <w:sz w:val="24"/>
              <w:szCs w:val="24"/>
            </w:rPr>
            <w:tab/>
          </w:r>
          <w:r>
            <w:rPr>
              <w:sz w:val="24"/>
              <w:szCs w:val="24"/>
            </w:rPr>
            <w:fldChar w:fldCharType="begin"/>
          </w:r>
          <w:r>
            <w:rPr>
              <w:sz w:val="24"/>
              <w:szCs w:val="24"/>
            </w:rPr>
            <w:instrText xml:space="preserve"> PAGEREF _Toc1499 \h </w:instrText>
          </w:r>
          <w:r>
            <w:rPr>
              <w:sz w:val="24"/>
              <w:szCs w:val="24"/>
            </w:rPr>
            <w:fldChar w:fldCharType="separate"/>
          </w:r>
          <w:r>
            <w:rPr>
              <w:sz w:val="24"/>
              <w:szCs w:val="24"/>
            </w:rPr>
            <w:t>- 8</w:t>
          </w:r>
          <w:r>
            <w:rPr>
              <w:rFonts w:hint="eastAsia"/>
              <w:sz w:val="24"/>
              <w:szCs w:val="24"/>
              <w:lang w:val="en-US" w:eastAsia="zh-CN"/>
            </w:rPr>
            <w:t>5</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1309F495">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_Toc16183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第五节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持续保障和改善民生</w:t>
          </w:r>
          <w:r>
            <w:rPr>
              <w:sz w:val="24"/>
              <w:szCs w:val="24"/>
            </w:rPr>
            <w:tab/>
          </w:r>
          <w:r>
            <w:rPr>
              <w:sz w:val="24"/>
              <w:szCs w:val="24"/>
            </w:rPr>
            <w:fldChar w:fldCharType="begin"/>
          </w:r>
          <w:r>
            <w:rPr>
              <w:sz w:val="24"/>
              <w:szCs w:val="24"/>
            </w:rPr>
            <w:instrText xml:space="preserve"> PAGEREF _Toc16183 \h </w:instrText>
          </w:r>
          <w:r>
            <w:rPr>
              <w:sz w:val="24"/>
              <w:szCs w:val="24"/>
            </w:rPr>
            <w:fldChar w:fldCharType="separate"/>
          </w:r>
          <w:r>
            <w:rPr>
              <w:sz w:val="24"/>
              <w:szCs w:val="24"/>
            </w:rPr>
            <w:t>- 8</w:t>
          </w:r>
          <w:r>
            <w:rPr>
              <w:rFonts w:hint="eastAsia"/>
              <w:sz w:val="24"/>
              <w:szCs w:val="24"/>
              <w:lang w:val="en-US" w:eastAsia="zh-CN"/>
            </w:rPr>
            <w:t>5</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7E4FB50A">
          <w:pPr>
            <w:pStyle w:val="17"/>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_Toc31151 </w:instrText>
          </w:r>
          <w:r>
            <w:rPr>
              <w:rFonts w:hint="default" w:ascii="Times New Roman" w:hAnsi="Times New Roman" w:cs="Times New Roman"/>
              <w:sz w:val="24"/>
              <w:szCs w:val="24"/>
              <w:highlight w:val="none"/>
            </w:rPr>
            <w:fldChar w:fldCharType="separate"/>
          </w:r>
          <w:r>
            <w:rPr>
              <w:rFonts w:hint="default" w:ascii="Times New Roman" w:hAnsi="Times New Roman" w:eastAsia="黑体" w:cs="Times New Roman"/>
              <w:bCs/>
              <w:kern w:val="44"/>
              <w:sz w:val="24"/>
              <w:szCs w:val="24"/>
              <w:highlight w:val="none"/>
              <w:lang w:val="en-US" w:eastAsia="zh-CN" w:bidi="ar"/>
            </w:rPr>
            <w:t>第十</w:t>
          </w:r>
          <w:r>
            <w:rPr>
              <w:rFonts w:hint="eastAsia" w:ascii="Times New Roman" w:hAnsi="Times New Roman" w:eastAsia="黑体" w:cs="Times New Roman"/>
              <w:bCs/>
              <w:kern w:val="44"/>
              <w:sz w:val="24"/>
              <w:szCs w:val="24"/>
              <w:highlight w:val="none"/>
              <w:lang w:val="en-US" w:eastAsia="zh-CN" w:bidi="ar"/>
            </w:rPr>
            <w:t>六</w:t>
          </w:r>
          <w:r>
            <w:rPr>
              <w:rFonts w:hint="default" w:ascii="Times New Roman" w:hAnsi="Times New Roman" w:eastAsia="黑体" w:cs="Times New Roman"/>
              <w:bCs/>
              <w:kern w:val="44"/>
              <w:sz w:val="24"/>
              <w:szCs w:val="24"/>
              <w:highlight w:val="none"/>
              <w:lang w:val="en-US" w:eastAsia="zh-CN" w:bidi="ar"/>
            </w:rPr>
            <w:t>章  加强党的全面领导，保障规划顺利实施</w:t>
          </w:r>
          <w:r>
            <w:rPr>
              <w:sz w:val="24"/>
              <w:szCs w:val="24"/>
            </w:rPr>
            <w:tab/>
          </w:r>
          <w:r>
            <w:rPr>
              <w:sz w:val="24"/>
              <w:szCs w:val="24"/>
            </w:rPr>
            <w:fldChar w:fldCharType="begin"/>
          </w:r>
          <w:r>
            <w:rPr>
              <w:sz w:val="24"/>
              <w:szCs w:val="24"/>
            </w:rPr>
            <w:instrText xml:space="preserve"> PAGEREF _Toc31151 \h </w:instrText>
          </w:r>
          <w:r>
            <w:rPr>
              <w:sz w:val="24"/>
              <w:szCs w:val="24"/>
            </w:rPr>
            <w:fldChar w:fldCharType="separate"/>
          </w:r>
          <w:r>
            <w:rPr>
              <w:sz w:val="24"/>
              <w:szCs w:val="24"/>
            </w:rPr>
            <w:t xml:space="preserve">- </w:t>
          </w:r>
          <w:r>
            <w:rPr>
              <w:rFonts w:hint="eastAsia"/>
              <w:sz w:val="24"/>
              <w:szCs w:val="24"/>
              <w:lang w:val="en-US" w:eastAsia="zh-CN"/>
            </w:rPr>
            <w:t>87</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790BC774">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_Toc22098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第一节</w:t>
          </w:r>
          <w:r>
            <w:rPr>
              <w:rFonts w:hint="default" w:ascii="Times New Roman" w:hAnsi="Times New Roman" w:eastAsia="楷体_GB2312" w:cs="Times New Roman"/>
              <w:sz w:val="24"/>
              <w:szCs w:val="24"/>
              <w:highlight w:val="none"/>
              <w:lang w:val="en-US" w:eastAsia="zh-CN"/>
            </w:rPr>
            <w:t xml:space="preserve"> </w:t>
          </w:r>
          <w:r>
            <w:rPr>
              <w:rFonts w:hint="default" w:ascii="Times New Roman" w:hAnsi="Times New Roman" w:eastAsia="楷体_GB2312" w:cs="Times New Roman"/>
              <w:sz w:val="24"/>
              <w:szCs w:val="24"/>
              <w:highlight w:val="none"/>
              <w:lang w:eastAsia="zh-CN"/>
            </w:rPr>
            <w:t>坚持和加强党的全面领导</w:t>
          </w:r>
          <w:r>
            <w:rPr>
              <w:sz w:val="24"/>
              <w:szCs w:val="24"/>
            </w:rPr>
            <w:tab/>
          </w:r>
          <w:r>
            <w:rPr>
              <w:sz w:val="24"/>
              <w:szCs w:val="24"/>
            </w:rPr>
            <w:fldChar w:fldCharType="begin"/>
          </w:r>
          <w:r>
            <w:rPr>
              <w:sz w:val="24"/>
              <w:szCs w:val="24"/>
            </w:rPr>
            <w:instrText xml:space="preserve"> PAGEREF _Toc22098 \h </w:instrText>
          </w:r>
          <w:r>
            <w:rPr>
              <w:sz w:val="24"/>
              <w:szCs w:val="24"/>
            </w:rPr>
            <w:fldChar w:fldCharType="separate"/>
          </w:r>
          <w:r>
            <w:rPr>
              <w:sz w:val="24"/>
              <w:szCs w:val="24"/>
            </w:rPr>
            <w:t xml:space="preserve">- </w:t>
          </w:r>
          <w:r>
            <w:rPr>
              <w:rFonts w:hint="eastAsia"/>
              <w:sz w:val="24"/>
              <w:szCs w:val="24"/>
              <w:lang w:val="en-US" w:eastAsia="zh-CN"/>
            </w:rPr>
            <w:t>87</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0528A781">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_Toc7479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val="en-US" w:eastAsia="zh-CN"/>
            </w:rPr>
            <w:t>第二节 发展社会主义民主政治</w:t>
          </w:r>
          <w:r>
            <w:rPr>
              <w:sz w:val="24"/>
              <w:szCs w:val="24"/>
            </w:rPr>
            <w:tab/>
          </w:r>
          <w:r>
            <w:rPr>
              <w:sz w:val="24"/>
              <w:szCs w:val="24"/>
            </w:rPr>
            <w:fldChar w:fldCharType="begin"/>
          </w:r>
          <w:r>
            <w:rPr>
              <w:sz w:val="24"/>
              <w:szCs w:val="24"/>
            </w:rPr>
            <w:instrText xml:space="preserve"> PAGEREF _Toc7479 \h </w:instrText>
          </w:r>
          <w:r>
            <w:rPr>
              <w:sz w:val="24"/>
              <w:szCs w:val="24"/>
            </w:rPr>
            <w:fldChar w:fldCharType="separate"/>
          </w:r>
          <w:r>
            <w:rPr>
              <w:sz w:val="24"/>
              <w:szCs w:val="24"/>
            </w:rPr>
            <w:t xml:space="preserve">- </w:t>
          </w:r>
          <w:r>
            <w:rPr>
              <w:rFonts w:hint="eastAsia"/>
              <w:sz w:val="24"/>
              <w:szCs w:val="24"/>
              <w:lang w:val="en-US" w:eastAsia="zh-CN"/>
            </w:rPr>
            <w:t>88</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19B7DD29">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_Toc28495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三节</w:t>
          </w:r>
          <w:r>
            <w:rPr>
              <w:rFonts w:hint="default" w:ascii="Times New Roman" w:hAnsi="Times New Roman" w:eastAsia="楷体_GB2312" w:cs="Times New Roman"/>
              <w:sz w:val="24"/>
              <w:szCs w:val="24"/>
              <w:highlight w:val="none"/>
              <w:lang w:eastAsia="zh-CN"/>
            </w:rPr>
            <w:t xml:space="preserve"> </w:t>
          </w:r>
          <w:r>
            <w:rPr>
              <w:rFonts w:hint="default" w:ascii="Times New Roman" w:hAnsi="Times New Roman" w:eastAsia="楷体_GB2312" w:cs="Times New Roman"/>
              <w:sz w:val="24"/>
              <w:szCs w:val="24"/>
              <w:highlight w:val="none"/>
              <w:lang w:val="en-US" w:eastAsia="zh-CN"/>
            </w:rPr>
            <w:t>全面推进法治政府建设</w:t>
          </w:r>
          <w:r>
            <w:rPr>
              <w:sz w:val="24"/>
              <w:szCs w:val="24"/>
            </w:rPr>
            <w:tab/>
          </w:r>
          <w:r>
            <w:rPr>
              <w:sz w:val="24"/>
              <w:szCs w:val="24"/>
            </w:rPr>
            <w:fldChar w:fldCharType="begin"/>
          </w:r>
          <w:r>
            <w:rPr>
              <w:sz w:val="24"/>
              <w:szCs w:val="24"/>
            </w:rPr>
            <w:instrText xml:space="preserve"> PAGEREF _Toc28495 \h </w:instrText>
          </w:r>
          <w:r>
            <w:rPr>
              <w:sz w:val="24"/>
              <w:szCs w:val="24"/>
            </w:rPr>
            <w:fldChar w:fldCharType="separate"/>
          </w:r>
          <w:r>
            <w:rPr>
              <w:sz w:val="24"/>
              <w:szCs w:val="24"/>
            </w:rPr>
            <w:t xml:space="preserve">- </w:t>
          </w:r>
          <w:r>
            <w:rPr>
              <w:rFonts w:hint="eastAsia"/>
              <w:sz w:val="24"/>
              <w:szCs w:val="24"/>
              <w:lang w:val="en-US" w:eastAsia="zh-CN"/>
            </w:rPr>
            <w:t>89</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5017C21F">
          <w:pPr>
            <w:pStyle w:val="20"/>
            <w:keepNext w:val="0"/>
            <w:keepLines w:val="0"/>
            <w:pageBreakBefore w:val="0"/>
            <w:widowControl w:val="0"/>
            <w:tabs>
              <w:tab w:val="right" w:leader="dot" w:pos="9026"/>
            </w:tabs>
            <w:kinsoku/>
            <w:wordWrap/>
            <w:overflowPunct/>
            <w:topLinePunct w:val="0"/>
            <w:autoSpaceDE/>
            <w:autoSpaceDN/>
            <w:bidi w:val="0"/>
            <w:adjustRightInd/>
            <w:snapToGrid/>
            <w:spacing w:line="500" w:lineRule="exact"/>
            <w:textAlignment w:val="auto"/>
            <w:rPr>
              <w:sz w:val="24"/>
              <w:szCs w:val="24"/>
            </w:rPr>
          </w:pPr>
          <w:r>
            <w:rPr>
              <w:rFonts w:hint="default" w:ascii="Times New Roman" w:hAnsi="Times New Roman" w:cs="Times New Roman"/>
              <w:color w:val="auto"/>
              <w:sz w:val="24"/>
              <w:szCs w:val="24"/>
              <w:highlight w:val="none"/>
            </w:rPr>
            <w:fldChar w:fldCharType="begin"/>
          </w:r>
          <w:r>
            <w:rPr>
              <w:rFonts w:hint="default" w:ascii="Times New Roman" w:hAnsi="Times New Roman" w:cs="Times New Roman"/>
              <w:sz w:val="24"/>
              <w:szCs w:val="24"/>
              <w:highlight w:val="none"/>
            </w:rPr>
            <w:instrText xml:space="preserve"> HYPERLINK \l _Toc3360 </w:instrText>
          </w:r>
          <w:r>
            <w:rPr>
              <w:rFonts w:hint="default" w:ascii="Times New Roman" w:hAnsi="Times New Roman" w:cs="Times New Roman"/>
              <w:sz w:val="24"/>
              <w:szCs w:val="24"/>
              <w:highlight w:val="none"/>
            </w:rPr>
            <w:fldChar w:fldCharType="separate"/>
          </w:r>
          <w:r>
            <w:rPr>
              <w:rFonts w:hint="default" w:ascii="Times New Roman" w:hAnsi="Times New Roman" w:eastAsia="楷体_GB2312" w:cs="Times New Roman"/>
              <w:sz w:val="24"/>
              <w:szCs w:val="24"/>
              <w:highlight w:val="none"/>
              <w:lang w:eastAsia="zh-CN"/>
            </w:rPr>
            <w:t>第</w:t>
          </w:r>
          <w:r>
            <w:rPr>
              <w:rFonts w:hint="default" w:ascii="Times New Roman" w:hAnsi="Times New Roman" w:eastAsia="楷体_GB2312" w:cs="Times New Roman"/>
              <w:sz w:val="24"/>
              <w:szCs w:val="24"/>
              <w:highlight w:val="none"/>
              <w:lang w:val="en-US" w:eastAsia="zh-CN"/>
            </w:rPr>
            <w:t>四</w:t>
          </w:r>
          <w:r>
            <w:rPr>
              <w:rFonts w:hint="default" w:ascii="Times New Roman" w:hAnsi="Times New Roman" w:eastAsia="楷体_GB2312" w:cs="Times New Roman"/>
              <w:sz w:val="24"/>
              <w:szCs w:val="24"/>
              <w:highlight w:val="none"/>
              <w:lang w:eastAsia="zh-CN"/>
            </w:rPr>
            <w:t>节</w:t>
          </w:r>
          <w:r>
            <w:rPr>
              <w:rFonts w:hint="default" w:ascii="Times New Roman" w:hAnsi="Times New Roman" w:eastAsia="楷体_GB2312" w:cs="Times New Roman"/>
              <w:sz w:val="24"/>
              <w:szCs w:val="24"/>
              <w:highlight w:val="none"/>
              <w:lang w:val="en-US" w:eastAsia="zh-CN"/>
            </w:rPr>
            <w:t xml:space="preserve"> 强化规划纲要实施保障</w:t>
          </w:r>
          <w:r>
            <w:rPr>
              <w:sz w:val="24"/>
              <w:szCs w:val="24"/>
            </w:rPr>
            <w:tab/>
          </w:r>
          <w:r>
            <w:rPr>
              <w:sz w:val="24"/>
              <w:szCs w:val="24"/>
            </w:rPr>
            <w:fldChar w:fldCharType="begin"/>
          </w:r>
          <w:r>
            <w:rPr>
              <w:sz w:val="24"/>
              <w:szCs w:val="24"/>
            </w:rPr>
            <w:instrText xml:space="preserve"> PAGEREF _Toc3360 \h </w:instrText>
          </w:r>
          <w:r>
            <w:rPr>
              <w:sz w:val="24"/>
              <w:szCs w:val="24"/>
            </w:rPr>
            <w:fldChar w:fldCharType="separate"/>
          </w:r>
          <w:r>
            <w:rPr>
              <w:sz w:val="24"/>
              <w:szCs w:val="24"/>
            </w:rPr>
            <w:t xml:space="preserve">- </w:t>
          </w:r>
          <w:r>
            <w:rPr>
              <w:rFonts w:hint="eastAsia"/>
              <w:sz w:val="24"/>
              <w:szCs w:val="24"/>
              <w:lang w:val="en-US" w:eastAsia="zh-CN"/>
            </w:rPr>
            <w:t>90</w:t>
          </w:r>
          <w:r>
            <w:rPr>
              <w:sz w:val="24"/>
              <w:szCs w:val="24"/>
            </w:rPr>
            <w:t xml:space="preserve"> -</w:t>
          </w:r>
          <w:r>
            <w:rPr>
              <w:sz w:val="24"/>
              <w:szCs w:val="24"/>
            </w:rPr>
            <w:fldChar w:fldCharType="end"/>
          </w:r>
          <w:r>
            <w:rPr>
              <w:rFonts w:hint="default" w:ascii="Times New Roman" w:hAnsi="Times New Roman" w:cs="Times New Roman"/>
              <w:color w:val="auto"/>
              <w:sz w:val="24"/>
              <w:szCs w:val="24"/>
              <w:highlight w:val="none"/>
            </w:rPr>
            <w:fldChar w:fldCharType="end"/>
          </w:r>
        </w:p>
        <w:p w14:paraId="1B2AD053">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cs="Times New Roman" w:eastAsiaTheme="minorEastAsia"/>
              <w:color w:val="auto"/>
              <w:sz w:val="21"/>
              <w:szCs w:val="24"/>
              <w:highlight w:val="none"/>
            </w:rPr>
          </w:pPr>
          <w:r>
            <w:rPr>
              <w:rFonts w:hint="default" w:ascii="Times New Roman" w:hAnsi="Times New Roman" w:cs="Times New Roman"/>
              <w:color w:val="auto"/>
              <w:sz w:val="24"/>
              <w:szCs w:val="24"/>
              <w:highlight w:val="none"/>
            </w:rPr>
            <w:fldChar w:fldCharType="end"/>
          </w:r>
        </w:p>
      </w:sdtContent>
    </w:sdt>
    <w:p w14:paraId="53A3B4C7">
      <w:pPr>
        <w:ind w:left="0" w:leftChars="0" w:firstLine="0" w:firstLineChars="0"/>
        <w:rPr>
          <w:rFonts w:hint="default"/>
        </w:rPr>
      </w:pPr>
    </w:p>
    <w:p w14:paraId="35A74F01">
      <w:pPr>
        <w:keepNext w:val="0"/>
        <w:keepLines w:val="0"/>
        <w:pageBreakBefore w:val="0"/>
        <w:widowControl w:val="0"/>
        <w:kinsoku/>
        <w:wordWrap/>
        <w:overflowPunct/>
        <w:topLinePunct w:val="0"/>
        <w:autoSpaceDE/>
        <w:autoSpaceDN/>
        <w:bidi w:val="0"/>
        <w:adjustRightInd/>
        <w:snapToGrid/>
        <w:spacing w:line="380" w:lineRule="exact"/>
        <w:textAlignment w:val="auto"/>
        <w:rPr>
          <w:rFonts w:hint="default" w:ascii="Times New Roman" w:hAnsi="Times New Roman" w:cs="Times New Roman"/>
          <w:color w:val="auto"/>
          <w:sz w:val="24"/>
          <w:szCs w:val="24"/>
          <w:highlight w:val="none"/>
          <w:lang w:val="en-US" w:eastAsia="zh-CN"/>
        </w:rPr>
        <w:sectPr>
          <w:footerReference r:id="rId5" w:type="default"/>
          <w:pgSz w:w="11906" w:h="16838"/>
          <w:pgMar w:top="1440" w:right="1440" w:bottom="1440" w:left="1440" w:header="708" w:footer="708" w:gutter="0"/>
          <w:pgNumType w:fmt="numberInDash" w:start="1"/>
          <w:cols w:space="720" w:num="1"/>
          <w:docGrid w:linePitch="360" w:charSpace="0"/>
        </w:sectPr>
      </w:pPr>
    </w:p>
    <w:p w14:paraId="3D8339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9"/>
        <w:rPr>
          <w:rFonts w:hint="default" w:ascii="Times New Roman" w:hAnsi="Times New Roman" w:eastAsia="方正仿宋_GBK" w:cs="Times New Roman"/>
          <w:strike w:val="0"/>
          <w:dstrike w:val="0"/>
          <w:color w:val="auto"/>
          <w:sz w:val="32"/>
          <w:szCs w:val="32"/>
          <w:highlight w:val="none"/>
          <w:u w:val="none" w:color="auto"/>
          <w:lang w:val="en-US" w:eastAsia="zh-CN"/>
        </w:rPr>
      </w:pPr>
      <w:r>
        <w:rPr>
          <w:rFonts w:hint="default" w:ascii="Times New Roman" w:hAnsi="Times New Roman" w:eastAsia="方正仿宋_GBK" w:cs="Times New Roman"/>
          <w:strike w:val="0"/>
          <w:dstrike w:val="0"/>
          <w:color w:val="auto"/>
          <w:sz w:val="32"/>
          <w:szCs w:val="32"/>
          <w:highlight w:val="none"/>
          <w:u w:val="none" w:color="auto"/>
          <w:lang w:val="en-US" w:eastAsia="zh-CN"/>
        </w:rPr>
        <w:t>根据《</w:t>
      </w:r>
      <w:r>
        <w:rPr>
          <w:rFonts w:hint="default" w:ascii="Times New Roman" w:hAnsi="Times New Roman" w:eastAsia="方正仿宋_GBK" w:cs="Times New Roman"/>
          <w:strike w:val="0"/>
          <w:dstrike w:val="0"/>
          <w:color w:val="auto"/>
          <w:spacing w:val="0"/>
          <w:sz w:val="32"/>
          <w:szCs w:val="32"/>
          <w:highlight w:val="none"/>
          <w:u w:val="none" w:color="auto"/>
          <w:lang w:eastAsia="zh-CN"/>
        </w:rPr>
        <w:t>中共</w:t>
      </w:r>
      <w:r>
        <w:rPr>
          <w:rFonts w:hint="default" w:ascii="Times New Roman" w:hAnsi="Times New Roman" w:eastAsia="方正仿宋_GBK" w:cs="Times New Roman"/>
          <w:strike w:val="0"/>
          <w:dstrike w:val="0"/>
          <w:color w:val="auto"/>
          <w:spacing w:val="0"/>
          <w:sz w:val="32"/>
          <w:szCs w:val="32"/>
          <w:highlight w:val="none"/>
          <w:u w:val="none" w:color="auto"/>
          <w:lang w:val="en-US" w:eastAsia="zh-CN"/>
        </w:rPr>
        <w:t>巩留县</w:t>
      </w:r>
      <w:r>
        <w:rPr>
          <w:rFonts w:hint="default" w:ascii="Times New Roman" w:hAnsi="Times New Roman" w:eastAsia="方正仿宋_GBK" w:cs="Times New Roman"/>
          <w:strike w:val="0"/>
          <w:dstrike w:val="0"/>
          <w:color w:val="auto"/>
          <w:spacing w:val="0"/>
          <w:sz w:val="32"/>
          <w:szCs w:val="32"/>
          <w:highlight w:val="none"/>
          <w:u w:val="none" w:color="auto"/>
          <w:lang w:eastAsia="zh-CN"/>
        </w:rPr>
        <w:t>委员会关于制定</w:t>
      </w:r>
      <w:r>
        <w:rPr>
          <w:rFonts w:hint="default" w:ascii="Times New Roman" w:hAnsi="Times New Roman" w:eastAsia="方正仿宋_GBK" w:cs="Times New Roman"/>
          <w:strike w:val="0"/>
          <w:dstrike w:val="0"/>
          <w:color w:val="auto"/>
          <w:spacing w:val="0"/>
          <w:sz w:val="32"/>
          <w:szCs w:val="32"/>
          <w:highlight w:val="none"/>
          <w:u w:val="none" w:color="auto"/>
          <w:lang w:val="en-US" w:eastAsia="zh-CN"/>
        </w:rPr>
        <w:t>巩留县</w:t>
      </w:r>
      <w:r>
        <w:rPr>
          <w:rFonts w:hint="default" w:ascii="Times New Roman" w:hAnsi="Times New Roman" w:eastAsia="方正仿宋_GBK" w:cs="Times New Roman"/>
          <w:strike w:val="0"/>
          <w:dstrike w:val="0"/>
          <w:color w:val="auto"/>
          <w:spacing w:val="0"/>
          <w:sz w:val="32"/>
          <w:szCs w:val="32"/>
          <w:highlight w:val="none"/>
          <w:u w:val="none" w:color="auto"/>
          <w:lang w:eastAsia="zh-CN"/>
        </w:rPr>
        <w:t>国民经济和社会发展第十五个五年规划的建议</w:t>
      </w:r>
      <w:r>
        <w:rPr>
          <w:rFonts w:hint="default" w:ascii="Times New Roman" w:hAnsi="Times New Roman" w:eastAsia="方正仿宋_GBK" w:cs="Times New Roman"/>
          <w:strike w:val="0"/>
          <w:dstrike w:val="0"/>
          <w:color w:val="auto"/>
          <w:sz w:val="32"/>
          <w:szCs w:val="32"/>
          <w:highlight w:val="none"/>
          <w:u w:val="none" w:color="auto"/>
          <w:lang w:val="en-US" w:eastAsia="zh-CN"/>
        </w:rPr>
        <w:t>》，编制《巩留县国民经济和社会发展第十五个五年规划纲要》，主要阐明“十五五”时期巩留县奋斗目标、指导方针和重点任务，围绕重大战略任务、重大改革举措、重大工程项目安排，明确政府工作重点，引导规范经营主体行为，是政府履行职责的重要依据，是今后五年巩留县经济社会发展的宏伟蓝图和各族干部群众共同团结奋斗的行动纲领。</w:t>
      </w:r>
    </w:p>
    <w:p w14:paraId="359DF104">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2" w:name="_Toc20719"/>
      <w:bookmarkStart w:id="3" w:name="_Toc15185"/>
      <w:bookmarkStart w:id="4" w:name="_Toc21083"/>
      <w:bookmarkStart w:id="5" w:name="_Toc5091"/>
      <w:bookmarkStart w:id="6" w:name="_Toc6755"/>
      <w:r>
        <w:rPr>
          <w:rFonts w:hint="default" w:ascii="Times New Roman" w:hAnsi="Times New Roman" w:eastAsia="黑体" w:cs="Times New Roman"/>
          <w:bCs/>
          <w:color w:val="auto"/>
          <w:kern w:val="44"/>
          <w:sz w:val="36"/>
          <w:szCs w:val="36"/>
          <w:highlight w:val="none"/>
          <w:lang w:val="en-US" w:eastAsia="zh-CN" w:bidi="ar"/>
        </w:rPr>
        <w:t xml:space="preserve">第一章  </w:t>
      </w:r>
      <w:bookmarkEnd w:id="2"/>
      <w:bookmarkEnd w:id="3"/>
      <w:r>
        <w:rPr>
          <w:rFonts w:hint="default" w:ascii="Times New Roman" w:hAnsi="Times New Roman" w:eastAsia="黑体" w:cs="Times New Roman"/>
          <w:bCs/>
          <w:color w:val="auto"/>
          <w:kern w:val="44"/>
          <w:sz w:val="36"/>
          <w:szCs w:val="36"/>
          <w:highlight w:val="none"/>
          <w:lang w:val="en-US" w:eastAsia="zh-CN" w:bidi="ar"/>
        </w:rPr>
        <w:t>全面开启中国式现代化巩留实践新征程</w:t>
      </w:r>
      <w:bookmarkEnd w:id="4"/>
      <w:bookmarkEnd w:id="5"/>
      <w:bookmarkEnd w:id="6"/>
    </w:p>
    <w:p w14:paraId="6993A33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rPr>
      </w:pPr>
      <w:r>
        <w:rPr>
          <w:rFonts w:hint="default" w:ascii="Times New Roman" w:hAnsi="Times New Roman" w:eastAsia="仿宋_GB2312" w:cs="Times New Roman"/>
          <w:color w:val="auto"/>
          <w:sz w:val="32"/>
          <w:szCs w:val="32"/>
          <w:highlight w:val="none"/>
          <w:lang w:val="en-US" w:eastAsia="zh-CN"/>
        </w:rPr>
        <w:t>“十五五”时期是巩留县基本实现社会主义现代化夯实基础、全面发力的关键时期，也是巩留县完整准确全面贯彻新时代党的治疆方略、深入落实“五大战略定位”、更好紧贴民生凝聚人心推动高质量发展的关键五年。以习近平新时代中国特色社会主义思想为指导，科学编制并有效实施《巩留县国民经济和社会发展第十五个五年规划纲要》，对于在中国式现代化进程中更好建设团结和谐、繁荣富裕、文明进步、安居乐业、生态良好的新时代美好巩留，具有十分重要的战略意义。</w:t>
      </w:r>
    </w:p>
    <w:p w14:paraId="739DCDDA">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rPr>
      </w:pPr>
      <w:bookmarkStart w:id="7" w:name="_Toc25981"/>
      <w:bookmarkStart w:id="8" w:name="_Toc21262"/>
      <w:bookmarkStart w:id="9" w:name="_Toc14786"/>
      <w:bookmarkStart w:id="10" w:name="_Toc13404"/>
      <w:bookmarkStart w:id="11" w:name="_Toc13536"/>
      <w:r>
        <w:rPr>
          <w:rFonts w:hint="default" w:ascii="Times New Roman" w:hAnsi="Times New Roman" w:eastAsia="楷体_GB2312" w:cs="Times New Roman"/>
          <w:b w:val="0"/>
          <w:color w:val="auto"/>
          <w:sz w:val="32"/>
          <w:szCs w:val="32"/>
          <w:highlight w:val="none"/>
        </w:rPr>
        <w:t>第一节</w:t>
      </w:r>
      <w:r>
        <w:rPr>
          <w:rFonts w:hint="default" w:ascii="Times New Roman" w:hAnsi="Times New Roman" w:eastAsia="楷体_GB2312" w:cs="Times New Roman"/>
          <w:b w:val="0"/>
          <w:color w:val="auto"/>
          <w:sz w:val="32"/>
          <w:szCs w:val="32"/>
          <w:highlight w:val="none"/>
          <w:lang w:val="en-US" w:eastAsia="zh-CN"/>
        </w:rPr>
        <w:t xml:space="preserve"> </w:t>
      </w:r>
      <w:bookmarkEnd w:id="7"/>
      <w:bookmarkEnd w:id="8"/>
      <w:r>
        <w:rPr>
          <w:rFonts w:hint="default" w:ascii="Times New Roman" w:hAnsi="Times New Roman" w:cs="Times New Roman"/>
          <w:b w:val="0"/>
          <w:color w:val="auto"/>
          <w:sz w:val="32"/>
          <w:szCs w:val="32"/>
          <w:highlight w:val="none"/>
          <w:lang w:val="en-US" w:eastAsia="zh-CN"/>
        </w:rPr>
        <w:t>“</w:t>
      </w:r>
      <w:r>
        <w:rPr>
          <w:rFonts w:hint="default" w:ascii="Times New Roman" w:hAnsi="Times New Roman" w:eastAsia="楷体_GB2312" w:cs="Times New Roman"/>
          <w:b w:val="0"/>
          <w:color w:val="auto"/>
          <w:sz w:val="32"/>
          <w:szCs w:val="32"/>
          <w:highlight w:val="none"/>
          <w:lang w:val="en-US" w:eastAsia="zh-CN"/>
        </w:rPr>
        <w:t>十四五</w:t>
      </w:r>
      <w:r>
        <w:rPr>
          <w:rFonts w:hint="default" w:ascii="Times New Roman" w:hAnsi="Times New Roman" w:cs="Times New Roman"/>
          <w:b w:val="0"/>
          <w:color w:val="auto"/>
          <w:sz w:val="32"/>
          <w:szCs w:val="32"/>
          <w:highlight w:val="none"/>
          <w:lang w:val="en-US" w:eastAsia="zh-CN"/>
        </w:rPr>
        <w:t>”</w:t>
      </w:r>
      <w:r>
        <w:rPr>
          <w:rFonts w:hint="default" w:ascii="Times New Roman" w:hAnsi="Times New Roman" w:eastAsia="楷体_GB2312" w:cs="Times New Roman"/>
          <w:b w:val="0"/>
          <w:color w:val="auto"/>
          <w:sz w:val="32"/>
          <w:szCs w:val="32"/>
          <w:highlight w:val="none"/>
          <w:lang w:val="en-US" w:eastAsia="zh-CN"/>
        </w:rPr>
        <w:t>时期发展取得显著成就</w:t>
      </w:r>
      <w:bookmarkEnd w:id="9"/>
      <w:bookmarkEnd w:id="10"/>
      <w:bookmarkEnd w:id="11"/>
    </w:p>
    <w:p w14:paraId="0AF317C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文化润疆实现新进展。</w:t>
      </w:r>
      <w:r>
        <w:rPr>
          <w:rFonts w:hint="default" w:ascii="Times New Roman" w:hAnsi="Times New Roman" w:eastAsia="仿宋_GB2312" w:cs="Times New Roman"/>
          <w:color w:val="auto"/>
          <w:sz w:val="32"/>
          <w:szCs w:val="32"/>
          <w:highlight w:val="none"/>
          <w:lang w:val="en-US" w:eastAsia="zh-CN"/>
        </w:rPr>
        <w:t>坚持以铸牢中华民族共同体意识为主线，深入实施文化润疆工程，不断夯实各族群众团结奋斗的思想基础。建成蝶湖公园－铸牢中华民族共同体意识教育实践基地、巩留县博物馆、恰西烈士陵园、新时代文明实践中心等红色阵地，建设巩留县铸牢中华民族共同体意识推进中心，广泛开展全民阅读节、中华诗词诵读大会等群众性文化活动，成功创建全国书香城市、自治区精神文明示范县、萨尔布群村成为国家级文明村镇。文艺创作成果丰硕，创作文艺精品12支。民族团结进步创建持续深化，“民族团结一家亲”活动提质增效，巩固全国民族团结进步示范县创建成果。中华优秀传统文化传承保护力度加大，创新巩留优秀传统乡土文化传承、草根艺人培养、非物质文化遗产传承人培养。开展非物质文化遗产进乡村、进企业、进校园和民俗展演活动150场次，满足人民群众多样化的精神文化需求，增强各族人民群众的文化认同、文化自觉和文化自信。</w:t>
      </w:r>
    </w:p>
    <w:p w14:paraId="3A3CCC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经济发展迈上新台阶。</w:t>
      </w:r>
      <w:r>
        <w:rPr>
          <w:rFonts w:hint="default" w:ascii="Times New Roman" w:hAnsi="Times New Roman" w:eastAsia="仿宋_GB2312" w:cs="Times New Roman"/>
          <w:color w:val="auto"/>
          <w:sz w:val="32"/>
          <w:szCs w:val="32"/>
          <w:highlight w:val="none"/>
          <w:lang w:val="en-US" w:eastAsia="zh-CN"/>
        </w:rPr>
        <w:t>坚持稳中求进工作总基调，完整准确全面贯彻新发展理念，聚焦高质量建设现代产业体系，推动经济结构持续优化。新能源、玉米制种、中药材、乳制品等优势产业加速壮大。农业产业加快发展，粮食种植面积稳定在85万亩以上，新建高标准农田19.09万亩，改造提升7.45万亩，2024年玉米千亩高产田单产突破1550公斤，创全国纪录。塔斯托别乡成功创建国家级农业产业强镇。冷水鱼年产量达1620吨，7个特色农产品获绿色食品认证。工业转型步伐加快，集聚国容电子、疆宁生物等龙头企业，规上企业达15家，</w:t>
      </w:r>
      <w:r>
        <w:rPr>
          <w:rFonts w:hint="default" w:ascii="Times New Roman" w:hAnsi="Times New Roman" w:eastAsia="仿宋_GB2312" w:cs="Times New Roman"/>
          <w:color w:val="auto"/>
          <w:sz w:val="32"/>
          <w:szCs w:val="32"/>
          <w:highlight w:val="none"/>
          <w:u w:val="none" w:color="auto"/>
          <w:lang w:val="en-US" w:eastAsia="zh-CN"/>
        </w:rPr>
        <w:t>培育专精特新企业2家</w:t>
      </w:r>
      <w:r>
        <w:rPr>
          <w:rFonts w:hint="default" w:ascii="Times New Roman" w:hAnsi="Times New Roman" w:eastAsia="仿宋_GB2312" w:cs="Times New Roman"/>
          <w:color w:val="auto"/>
          <w:sz w:val="32"/>
          <w:szCs w:val="32"/>
          <w:highlight w:val="none"/>
          <w:lang w:val="en-US" w:eastAsia="zh-CN"/>
        </w:rPr>
        <w:t>。220千伏变电站、热电联产等基础设施建成投用，园区承载力显著提升。文旅产业蓬勃发展，巩留县成功获得“国家级生态文明建设示范县”“中国天然氧吧”“国家一级气候康养旅居地”三张“国字号”名片，2025年全县游客人数达到883.89万人次，增长23.84%，游客花费41.18亿元，增长28.17%，库尔德宁、恰西、蝶湖已成为游客知名打卡地，巩留知名度和美誉度不断攀升；旅游快速发展带动住宿行业蓬勃发展，截至2025年末，全县酒店与旅馆达55家，接待床位数达5713张，较2020年末增长82.7%，全县共有注册民宿368家，接待床位达6144张，较2020年末增长1655.42%。蝶湖景区成功创建自治区级夜间文化和旅游消费集聚区，野核桃沟景区获批自治区级研学旅游基地和自治区级中小学研学实践教育基地，库尔德宁镇获批自治区级康养旅游基地。</w:t>
      </w:r>
    </w:p>
    <w:p w14:paraId="1E97222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创新驱动取得新成效。</w:t>
      </w:r>
      <w:r>
        <w:rPr>
          <w:rFonts w:hint="default" w:ascii="Times New Roman" w:hAnsi="Times New Roman" w:eastAsia="仿宋_GB2312" w:cs="Times New Roman"/>
          <w:color w:val="auto"/>
          <w:sz w:val="32"/>
          <w:szCs w:val="32"/>
          <w:highlight w:val="none"/>
          <w:lang w:val="en-US" w:eastAsia="zh-CN"/>
        </w:rPr>
        <w:t>坚持把科技创新作为引领发展的第一动力，不断完善区域创新体系，激发高质量发展新动能。北纬43°众创空间获批自治区级平台，为科技型企业孵化提供有力支撑。</w:t>
      </w:r>
      <w:r>
        <w:rPr>
          <w:rFonts w:hint="default" w:ascii="Times New Roman" w:hAnsi="Times New Roman" w:eastAsia="仿宋_GB2312" w:cs="Times New Roman"/>
          <w:color w:val="auto"/>
          <w:sz w:val="32"/>
          <w:szCs w:val="22"/>
          <w:highlight w:val="none"/>
          <w:lang w:val="en-US" w:eastAsia="zh-CN"/>
        </w:rPr>
        <w:t>已成功挂牌成立尹飞虎院士协同创新中心、中国科学院伊犁植物园野核桃沟研究基地，搭建起高层次科研合作平台，产学研深度融合持续推动。</w:t>
      </w:r>
      <w:r>
        <w:rPr>
          <w:rFonts w:hint="default" w:ascii="Times New Roman" w:hAnsi="Times New Roman" w:eastAsia="仿宋_GB2312" w:cs="Times New Roman"/>
          <w:color w:val="auto"/>
          <w:sz w:val="32"/>
          <w:szCs w:val="32"/>
          <w:highlight w:val="none"/>
          <w:u w:val="none" w:color="auto"/>
          <w:lang w:val="en-US" w:eastAsia="zh-CN"/>
        </w:rPr>
        <w:t>高新技术企业数量实现翻番，从“十三五”末的个位数增长至2025年的13家，科技型中小企业达16家。建</w:t>
      </w:r>
      <w:r>
        <w:rPr>
          <w:rFonts w:hint="default" w:ascii="Times New Roman" w:hAnsi="Times New Roman" w:eastAsia="仿宋_GB2312" w:cs="Times New Roman"/>
          <w:color w:val="auto"/>
          <w:sz w:val="32"/>
          <w:szCs w:val="32"/>
          <w:highlight w:val="none"/>
          <w:lang w:val="en-US" w:eastAsia="zh-CN"/>
        </w:rPr>
        <w:t>成自治区级“星创天地”1个（天山药谷），创新创业生态持续优化。农业科技园区创新能级不断提升，探索形成“专家团队+示范基地+合作社+农户”的技术推广模式，科技成果转化效率显著提高。全面落实科技特派员制度，签约服务覆盖所有行政村，科技服务“最后一公里”有效打通，为乡村振兴注入强劲科技动能。</w:t>
      </w:r>
    </w:p>
    <w:p w14:paraId="0859FC2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基础设施效能得到新提升。</w:t>
      </w:r>
      <w:r>
        <w:rPr>
          <w:rFonts w:hint="default" w:ascii="Times New Roman" w:hAnsi="Times New Roman" w:eastAsia="仿宋_GB2312" w:cs="Times New Roman"/>
          <w:color w:val="auto"/>
          <w:sz w:val="32"/>
          <w:szCs w:val="32"/>
          <w:highlight w:val="none"/>
          <w:lang w:val="en-US" w:eastAsia="zh-CN"/>
        </w:rPr>
        <w:t>聚焦补短板、强弱项、提能级，全面推进交通、水利、电力、信息等重大基础设施建设，发展支撑保障能力显著增强。交通网络日趋完善，S242线、S329线等国省道重点项目相继建成通车，农村公路提档升级工程持续推进，全县公路通车里程突破2000公里，实现乡镇通三级路、建制村通硬化路目标，群众出行更加便捷。水利建设成效显著，实施团结跃进大型灌区（一期）、前进渠中型灌区和吉尔格朗中型灌区续建配套与现代化改造工程，改善灌溉面积79.1万亩；城乡供水保障工程扎实推进，东部水厂投入使用，安全饮水覆盖范围不断扩大。实施大吉尔格朗河、莫乎尔河中小河流治理，齐纳尔沟、铁力木图沟等4条重点山洪沟治理项目，加强险工险段治理，防洪减灾能力显著提升。电力基础设施持续升级，农网改造升级全面完成，供电可靠性显著提高，为产业发展提供坚强能源保障。数字基础设施加快建设，5G基站建设加快推进，县城5G信号覆盖率超过96%，数字基础设施支撑能力持续增强。</w:t>
      </w:r>
    </w:p>
    <w:p w14:paraId="66DFF21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改革开放实现新突破。</w:t>
      </w:r>
      <w:r>
        <w:rPr>
          <w:rFonts w:hint="default" w:ascii="Times New Roman" w:hAnsi="Times New Roman" w:eastAsia="仿宋_GB2312" w:cs="Times New Roman"/>
          <w:color w:val="auto"/>
          <w:sz w:val="32"/>
          <w:szCs w:val="32"/>
          <w:highlight w:val="none"/>
          <w:lang w:val="en-US" w:eastAsia="zh-CN"/>
        </w:rPr>
        <w:t>着力破除体制机制障碍，持续释放发展活力。深化“放管服”改革，政务服务事项网上可办率达97.4%，企业开办实现“一日办结”。深入推进“跨省通办”“一件事一次办”改革，企业和群众办事便利度大幅提升。国有企业改革三年行动圆满完成，全县国有企业完成整合重组，市场化经营机制逐步健全，国有资本运营效率明显提高。营商环境持续优化，金融支持力度不断加大，融资成本有效降低，民营经济活力持续释放，新增市场主体6253户。农业水价综合改革、农村宅基地制度改革等重点领域改革取得积极进展，农村集体产权制度改革全面完成，农民财产权益得到有效保障。主动融入“一带一路”核心区建设，依托对口援疆优势，与张家港等东部城市建立产业合作机制，推动农产品产销联盟拓展至长三角地区。积极参与亚欧博览会等国际展会，外贸进出口总额年均增速超10%，对外开放格局进一步拓展。</w:t>
      </w:r>
    </w:p>
    <w:p w14:paraId="76CB523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区域城乡协调发展迈出新步伐。</w:t>
      </w:r>
      <w:r>
        <w:rPr>
          <w:rFonts w:hint="default" w:ascii="Times New Roman" w:hAnsi="Times New Roman" w:eastAsia="仿宋_GB2312" w:cs="Times New Roman"/>
          <w:color w:val="auto"/>
          <w:sz w:val="32"/>
          <w:szCs w:val="32"/>
          <w:highlight w:val="none"/>
          <w:lang w:val="en-US" w:eastAsia="zh-CN"/>
        </w:rPr>
        <w:t>坚持城乡统筹、协调发展，着力构建城乡融合发展新格局。围绕“生态绿城、水韵蝶城”发展目标，持续推进城市更新行动，中心城区面积扩大至18平方公里，城市功能品质显著提升。市政基础设施不断完善，公共服务向乡村延伸，城乡一体化发展水平不断提高。深入实施乡村振兴战略，扎实开展巩固拓展脱贫攻坚成果同乡村振兴有效衔接，学习运用“千万工程”经验，扎实推进农村人居环境整治提升五年行动，村庄绿化美化覆盖率稳步提升，萨尔布群村、库热村等一批乡村振兴示范村建设成效显著，形成了一批可复制、可推广的典型经验。城乡基本公共服务均等化水平持续提高，教育、医疗、文化等资源加快向基层倾斜，城乡居民生活质量差距逐步缩小，城乡融合发展迈出坚实步伐。</w:t>
      </w:r>
    </w:p>
    <w:p w14:paraId="6E3D0A1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民生福祉达到新水平。</w:t>
      </w:r>
      <w:r>
        <w:rPr>
          <w:rFonts w:hint="default" w:ascii="Times New Roman" w:hAnsi="Times New Roman" w:eastAsia="仿宋_GB2312" w:cs="Times New Roman"/>
          <w:color w:val="auto"/>
          <w:sz w:val="32"/>
          <w:szCs w:val="32"/>
          <w:highlight w:val="none"/>
          <w:lang w:val="en-US" w:eastAsia="zh-CN"/>
        </w:rPr>
        <w:t>始终坚持以人民为中心的发展思想，持续加大民生投入，切实增进民生福祉。就业形势总体稳定，城镇新增就业累计超1万人，农村劳动力转移就业超15万人次</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教育事业优质均衡发展，巩留沙洲实验学校、巩留暨阳中学建成投用，普惠性幼儿园覆盖率达100%，义务教育巩固率、高中阶段毛入学率分别达99.16%、98.3%</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医疗卫生服务能力持续提升，紧密型县域医共体实现全覆盖，县乡村三级医疗服务网络更加健全，持续做好城乡居民免费健康体检工作。社会保障体系不断健全，建成社区日间照料中心5个，巩留县殡仪馆建设项目投入使用。基本养老保险、医疗保险参保率均稳定在95%以上，困难群体救助帮扶机制不断完善，人民群众基本生活得到有效保障。</w:t>
      </w:r>
    </w:p>
    <w:p w14:paraId="4FAE40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生态文明建设取得新进步。</w:t>
      </w:r>
      <w:r>
        <w:rPr>
          <w:rFonts w:hint="default" w:ascii="Times New Roman" w:hAnsi="Times New Roman" w:eastAsia="仿宋_GB2312" w:cs="Times New Roman"/>
          <w:color w:val="auto"/>
          <w:sz w:val="32"/>
          <w:szCs w:val="32"/>
          <w:highlight w:val="none"/>
          <w:lang w:val="en-US" w:eastAsia="zh-CN"/>
        </w:rPr>
        <w:t>深入践行“绿水青山就是金山银山”理念，坚定不移走生态优先、绿色发展道路，生态文明建设取得显著成效。大气污染防治攻坚行动深入推进，重点企业污染物排放全面达标，空气质量优良天数比例连续四年保持在97%以上，获评全国首批“气候康养旅居地（一级）”称号。全面落实河（湖）长制，加强水源地保护，集中式饮用水水源地水质达标率持续保持100%。土壤污染风险管控有力，受污染耕地安全利用率100%，畜禽粪污资源化利用率超过90%，废旧农膜回收利用率达88%以上。全面落实林长制，森林和草原生态保护和修复全面加强，草原禁牧和草畜平衡管理全面落实。成功创建国家园林城市、全国第六批县域节水型社会达标县，生态底色更加靓丽，绿色发展成色更足。</w:t>
      </w:r>
    </w:p>
    <w:p w14:paraId="0EB84DD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党的建设全面加强。</w:t>
      </w:r>
      <w:r>
        <w:rPr>
          <w:rFonts w:hint="default" w:ascii="Times New Roman" w:hAnsi="Times New Roman" w:eastAsia="仿宋_GB2312" w:cs="Times New Roman"/>
          <w:color w:val="auto"/>
          <w:sz w:val="32"/>
          <w:szCs w:val="32"/>
          <w:highlight w:val="none"/>
          <w:lang w:val="en-US" w:eastAsia="zh-CN"/>
        </w:rPr>
        <w:t>始终坚持把党的政治建设摆在首位，</w:t>
      </w:r>
      <w:r>
        <w:rPr>
          <w:rFonts w:hint="default" w:ascii="Times New Roman" w:hAnsi="Times New Roman" w:eastAsia="仿宋_GB2312" w:cs="Times New Roman"/>
          <w:color w:val="auto"/>
          <w:kern w:val="2"/>
          <w:sz w:val="32"/>
          <w:szCs w:val="32"/>
          <w:highlight w:val="none"/>
          <w:lang w:val="en-US" w:eastAsia="zh-CN" w:bidi="ar-SA"/>
        </w:rPr>
        <w:t>主题教育活动成效持续巩固，</w:t>
      </w:r>
      <w:r>
        <w:rPr>
          <w:rFonts w:hint="default" w:ascii="Times New Roman" w:hAnsi="Times New Roman" w:eastAsia="仿宋_GB2312" w:cs="Times New Roman"/>
          <w:color w:val="auto"/>
          <w:sz w:val="32"/>
          <w:szCs w:val="32"/>
          <w:highlight w:val="none"/>
          <w:lang w:val="en-US" w:eastAsia="zh-CN"/>
        </w:rPr>
        <w:t>党员干部政治判断力、政治领悟力、政治执行力显著提升。政府系统党风廉政建设和反腐败斗争向纵深推进，廉洁政府建设取得新成效。依法行政水平不断提高，重大行政决策程序制度全面落实，政府涉法事务合法性审查实现100%全覆盖，政务公开规范化水平持续提升。自觉接受人大法律监督、政协民主监督和社会舆论监督，人大代表建议、政协委员提案办复率均达100%。干部作风持续转变，“三公”经费只减不增，基层减负成果不断巩固，风清气正的政治生态进一步形成。</w:t>
      </w:r>
    </w:p>
    <w:p w14:paraId="3109228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十四五”时期是巩留县社会稳定局面持续巩固、民族团结进步事业深入推进的五年，是经济实力显著增强、产业结构持续优化的五年，是城乡面貌焕然一新、基础设施跨越发展的五年，是生态文明建设成效卓著、绿色发展深入人心的五年，是民生保障持续加力、人民生活不断改善的五年，是党的建设全面加强、基层基础更加坚实的五年。这些成就的取得，根本在于习近平总书记的掌舵领航，得益于党中央和自治区、自治州党委的坚强领导，凝聚着全县各族干部群众的智慧与汗水，为巩留县在“十五五”时期乘势而上、奋力谱写中国式现代化新篇章奠定了坚实基础、积蓄了强大动能。</w:t>
      </w:r>
    </w:p>
    <w:p w14:paraId="20F07C90">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2" w:name="_Toc18727"/>
      <w:bookmarkStart w:id="13" w:name="_Toc11900"/>
      <w:bookmarkStart w:id="14" w:name="_Toc24536"/>
      <w:bookmarkStart w:id="15" w:name="_Toc21337"/>
      <w:bookmarkStart w:id="16" w:name="_Toc14761"/>
      <w:r>
        <w:rPr>
          <w:rFonts w:hint="default" w:ascii="Times New Roman" w:hAnsi="Times New Roman" w:eastAsia="楷体_GB2312" w:cs="Times New Roman"/>
          <w:b w:val="0"/>
          <w:color w:val="auto"/>
          <w:sz w:val="32"/>
          <w:szCs w:val="32"/>
          <w:highlight w:val="none"/>
        </w:rPr>
        <w:t>第二节</w:t>
      </w:r>
      <w:bookmarkEnd w:id="12"/>
      <w:bookmarkEnd w:id="13"/>
      <w:bookmarkStart w:id="17" w:name="_Toc1022100652"/>
      <w:bookmarkStart w:id="18" w:name="_Toc506398539"/>
      <w:bookmarkStart w:id="19" w:name="_Toc1219104310"/>
      <w:bookmarkStart w:id="20" w:name="_Toc1417708484"/>
      <w:bookmarkStart w:id="21" w:name="_Toc1079783196"/>
      <w:bookmarkStart w:id="22" w:name="_Toc1361786360"/>
      <w:bookmarkStart w:id="23" w:name="_Toc1784351723"/>
      <w:bookmarkStart w:id="24" w:name="_Toc984630421"/>
      <w:bookmarkStart w:id="25" w:name="_Toc484413175"/>
      <w:bookmarkStart w:id="26" w:name="_Toc807806112"/>
      <w:r>
        <w:rPr>
          <w:rFonts w:hint="default" w:ascii="Times New Roman" w:hAnsi="Times New Roman" w:eastAsia="楷体_GB2312" w:cs="Times New Roman"/>
          <w:b w:val="0"/>
          <w:color w:val="auto"/>
          <w:sz w:val="32"/>
          <w:szCs w:val="32"/>
          <w:highlight w:val="none"/>
          <w:lang w:eastAsia="zh-CN"/>
        </w:rPr>
        <w:t xml:space="preserve"> </w:t>
      </w:r>
      <w:r>
        <w:rPr>
          <w:rFonts w:hint="default" w:ascii="Times New Roman" w:hAnsi="Times New Roman" w:eastAsia="楷体_GB2312" w:cs="Times New Roman"/>
          <w:b w:val="0"/>
          <w:color w:val="auto"/>
          <w:sz w:val="32"/>
          <w:szCs w:val="32"/>
          <w:highlight w:val="none"/>
          <w:lang w:val="en-US" w:eastAsia="zh-CN"/>
        </w:rPr>
        <w:t>“十五五”时期发展</w:t>
      </w:r>
      <w:r>
        <w:rPr>
          <w:rFonts w:hint="default" w:ascii="Times New Roman" w:hAnsi="Times New Roman" w:eastAsia="楷体_GB2312" w:cs="Times New Roman"/>
          <w:b w:val="0"/>
          <w:color w:val="auto"/>
          <w:sz w:val="32"/>
          <w:szCs w:val="32"/>
          <w:highlight w:val="none"/>
          <w:lang w:eastAsia="zh-CN"/>
        </w:rPr>
        <w:t>环境</w:t>
      </w:r>
      <w:r>
        <w:rPr>
          <w:rFonts w:hint="default" w:ascii="Times New Roman" w:hAnsi="Times New Roman" w:eastAsia="楷体_GB2312" w:cs="Times New Roman"/>
          <w:b w:val="0"/>
          <w:color w:val="auto"/>
          <w:sz w:val="32"/>
          <w:szCs w:val="32"/>
          <w:highlight w:val="none"/>
          <w:lang w:val="en-US" w:eastAsia="zh-CN"/>
        </w:rPr>
        <w:t>面临的形势变化</w:t>
      </w:r>
      <w:bookmarkEnd w:id="14"/>
      <w:bookmarkEnd w:id="15"/>
      <w:bookmarkEnd w:id="16"/>
      <w:bookmarkEnd w:id="17"/>
      <w:bookmarkEnd w:id="18"/>
      <w:bookmarkEnd w:id="19"/>
      <w:bookmarkEnd w:id="20"/>
      <w:bookmarkEnd w:id="21"/>
      <w:bookmarkEnd w:id="22"/>
      <w:bookmarkEnd w:id="23"/>
      <w:bookmarkEnd w:id="24"/>
      <w:bookmarkEnd w:id="25"/>
      <w:bookmarkEnd w:id="26"/>
    </w:p>
    <w:p w14:paraId="232E906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“十五五”时期，巩留县发展站在新的历史起点，正处于战略机遇和风险挑战并存的关键阶段，外部环境发生深刻复杂变化，既面临前所未有的发展机遇，也需要应对错综复杂的挑战。</w:t>
      </w:r>
      <w:r>
        <w:rPr>
          <w:rFonts w:hint="default" w:ascii="Times New Roman" w:hAnsi="Times New Roman" w:eastAsia="仿宋_GB2312" w:cs="Times New Roman"/>
          <w:b/>
          <w:bCs/>
          <w:color w:val="auto"/>
          <w:sz w:val="32"/>
          <w:szCs w:val="32"/>
          <w:highlight w:val="none"/>
          <w:lang w:val="en-US" w:eastAsia="zh-CN"/>
        </w:rPr>
        <w:t>从国际环境看，</w:t>
      </w:r>
      <w:r>
        <w:rPr>
          <w:rFonts w:hint="default" w:ascii="Times New Roman" w:hAnsi="Times New Roman" w:eastAsia="仿宋_GB2312" w:cs="Times New Roman"/>
          <w:color w:val="auto"/>
          <w:sz w:val="32"/>
          <w:szCs w:val="32"/>
          <w:highlight w:val="none"/>
          <w:lang w:val="en-US" w:eastAsia="zh-CN"/>
        </w:rPr>
        <w:t>世界百年变局加速演进，新一轮科技革命和产业变革加速突破；世界变乱交织、动荡加剧</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en-US" w:eastAsia="zh-CN"/>
        </w:rPr>
        <w:t>从国内环境看，</w:t>
      </w:r>
      <w:r>
        <w:rPr>
          <w:rFonts w:hint="default" w:ascii="Times New Roman" w:hAnsi="Times New Roman" w:eastAsia="仿宋_GB2312" w:cs="Times New Roman"/>
          <w:color w:val="auto"/>
          <w:sz w:val="32"/>
          <w:szCs w:val="32"/>
          <w:highlight w:val="none"/>
          <w:lang w:val="en-US" w:eastAsia="zh-CN"/>
        </w:rPr>
        <w:t>我国发展战略机遇和风险挑战并存，经济基础稳、优势多、韧性强、潜能大，长期向好的支撑条件和基本趋势没有变，中国特色社会主义制度优势、超大规模市场优势、完整产业体系优势、丰富人才优势更加彰显，新质生产力发展、全方位扩大内需、改革开放全面深化等蕴藏巨大潜力，为巩留县更好依托强大国内市场、实现转型升级创造了有利条件。</w:t>
      </w:r>
      <w:r>
        <w:rPr>
          <w:rFonts w:hint="default" w:ascii="Times New Roman" w:hAnsi="Times New Roman" w:eastAsia="仿宋_GB2312" w:cs="Times New Roman"/>
          <w:b/>
          <w:bCs/>
          <w:color w:val="auto"/>
          <w:kern w:val="0"/>
          <w:sz w:val="32"/>
          <w:szCs w:val="32"/>
          <w:highlight w:val="none"/>
          <w:lang w:val="en-US" w:eastAsia="zh-CN"/>
        </w:rPr>
        <w:t>从疆内自身看，</w:t>
      </w:r>
      <w:r>
        <w:rPr>
          <w:rFonts w:hint="default" w:ascii="Times New Roman" w:hAnsi="Times New Roman" w:eastAsia="仿宋_GB2312" w:cs="Times New Roman"/>
          <w:color w:val="auto"/>
          <w:kern w:val="0"/>
          <w:sz w:val="32"/>
          <w:szCs w:val="32"/>
          <w:highlight w:val="none"/>
          <w:lang w:val="en-US" w:eastAsia="zh-CN"/>
        </w:rPr>
        <w:t>党中央赋予新疆“五大战略定位”，新疆工作站在新的历史起点、迈上高质量发展的轨道，政治优势显著、战略定位重要、能源资源富集、区位优势独特、社会安定和谐、发展空间广阔，正处于工业化、城镇化提升扩张的攻坚时期，将有效助推巩留县充分释放资源优势潜力，全方位扩大对内对外开放，推动经济社会高质量发展。</w:t>
      </w:r>
      <w:r>
        <w:rPr>
          <w:rFonts w:hint="default" w:ascii="Times New Roman" w:hAnsi="Times New Roman" w:eastAsia="仿宋_GB2312" w:cs="Times New Roman"/>
          <w:b/>
          <w:bCs/>
          <w:color w:val="auto"/>
          <w:kern w:val="0"/>
          <w:sz w:val="32"/>
          <w:szCs w:val="32"/>
          <w:highlight w:val="none"/>
          <w:lang w:val="en-US" w:eastAsia="zh-CN"/>
        </w:rPr>
        <w:t>从州直发展看，</w:t>
      </w:r>
      <w:r>
        <w:rPr>
          <w:rFonts w:hint="default" w:ascii="Times New Roman" w:hAnsi="Times New Roman" w:eastAsia="仿宋_GB2312" w:cs="Times New Roman"/>
          <w:color w:val="auto"/>
          <w:kern w:val="0"/>
          <w:sz w:val="32"/>
          <w:szCs w:val="32"/>
          <w:highlight w:val="none"/>
          <w:lang w:val="en-US" w:eastAsia="zh-CN"/>
        </w:rPr>
        <w:t>州直将锚定新疆在国家全局中的“五大战略定位”，以绿色矿业、乡村振兴、旅游产业、口岸经济四大板块为主攻方向，更好履行守护国家地缘安全、推动高水平对外开放、保障关键矿产资源和能源安全、保障粮食安全和重要农产品供给的重大职责使命。</w:t>
      </w:r>
    </w:p>
    <w:p w14:paraId="2645E9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从自身环境看，</w:t>
      </w:r>
      <w:r>
        <w:rPr>
          <w:rFonts w:hint="default" w:ascii="Times New Roman" w:hAnsi="Times New Roman" w:eastAsia="仿宋_GB2312" w:cs="Times New Roman"/>
          <w:color w:val="auto"/>
          <w:sz w:val="32"/>
          <w:szCs w:val="22"/>
          <w:highlight w:val="none"/>
          <w:lang w:val="en-US" w:eastAsia="zh-CN"/>
        </w:rPr>
        <w:t>巩留县借助伊犁河谷整体发展机遇，经济社会发展具有独特的优势和潜力。</w:t>
      </w:r>
      <w:r>
        <w:rPr>
          <w:rFonts w:hint="default" w:ascii="Times New Roman" w:hAnsi="Times New Roman" w:eastAsia="仿宋_GB2312" w:cs="Times New Roman"/>
          <w:b/>
          <w:bCs/>
          <w:color w:val="auto"/>
          <w:sz w:val="32"/>
          <w:szCs w:val="22"/>
          <w:highlight w:val="none"/>
          <w:lang w:val="en-US" w:eastAsia="zh-CN"/>
        </w:rPr>
        <w:t>一是战略地位愈发关键。</w:t>
      </w:r>
      <w:r>
        <w:rPr>
          <w:rFonts w:hint="default" w:ascii="Times New Roman" w:hAnsi="Times New Roman" w:eastAsia="仿宋_GB2312" w:cs="Times New Roman"/>
          <w:color w:val="auto"/>
          <w:sz w:val="32"/>
          <w:szCs w:val="22"/>
          <w:highlight w:val="none"/>
          <w:lang w:val="en-US" w:eastAsia="zh-CN"/>
        </w:rPr>
        <w:t>紧密围绕国家向西开放战略需求，立足巩留县能源、交通及产业基础，在全州“东联西出、连接南北”发展格局中的枢纽功能</w:t>
      </w:r>
      <w:r>
        <w:rPr>
          <w:rFonts w:hint="default" w:ascii="Times New Roman" w:hAnsi="Times New Roman" w:eastAsia="仿宋_GB2312" w:cs="Times New Roman"/>
          <w:color w:val="auto"/>
          <w:sz w:val="32"/>
          <w:szCs w:val="32"/>
          <w:highlight w:val="none"/>
          <w:lang w:val="en-US" w:eastAsia="zh-CN"/>
        </w:rPr>
        <w:t>进一步凸显，加快能源产业优化升级，为区域发展提供可靠能源支撑。</w:t>
      </w:r>
      <w:r>
        <w:rPr>
          <w:rFonts w:hint="default" w:ascii="Times New Roman" w:hAnsi="Times New Roman" w:eastAsia="仿宋_GB2312" w:cs="Times New Roman"/>
          <w:b/>
          <w:bCs/>
          <w:color w:val="auto"/>
          <w:sz w:val="32"/>
          <w:szCs w:val="22"/>
          <w:highlight w:val="none"/>
          <w:lang w:val="en-US" w:eastAsia="zh-CN"/>
        </w:rPr>
        <w:t>二是资源潜力加速转化。</w:t>
      </w:r>
      <w:r>
        <w:rPr>
          <w:rFonts w:hint="default" w:ascii="Times New Roman" w:hAnsi="Times New Roman" w:eastAsia="仿宋_GB2312" w:cs="Times New Roman"/>
          <w:color w:val="auto"/>
          <w:sz w:val="32"/>
          <w:szCs w:val="22"/>
          <w:highlight w:val="none"/>
          <w:lang w:val="en-US" w:eastAsia="zh-CN"/>
        </w:rPr>
        <w:t>巩留县矿产、农牧渔、旅游、水资源禀赋优异，通过科学开发各类优势资源，推动清洁能源、矿产加工、农副产品加工等产业协同发展，加快打造体现巩留特色优势的现代化产业体系。</w:t>
      </w:r>
      <w:r>
        <w:rPr>
          <w:rFonts w:hint="default" w:ascii="Times New Roman" w:hAnsi="Times New Roman" w:eastAsia="仿宋_GB2312" w:cs="Times New Roman"/>
          <w:b/>
          <w:bCs/>
          <w:color w:val="auto"/>
          <w:sz w:val="32"/>
          <w:szCs w:val="22"/>
          <w:highlight w:val="none"/>
          <w:lang w:val="en-US" w:eastAsia="zh-CN"/>
        </w:rPr>
        <w:t>三是生态文旅优势突出。</w:t>
      </w:r>
      <w:r>
        <w:rPr>
          <w:rFonts w:hint="default" w:ascii="Times New Roman" w:hAnsi="Times New Roman" w:eastAsia="仿宋_GB2312" w:cs="Times New Roman"/>
          <w:color w:val="auto"/>
          <w:sz w:val="32"/>
          <w:szCs w:val="22"/>
          <w:highlight w:val="none"/>
          <w:lang w:val="en-US" w:eastAsia="zh-CN"/>
        </w:rPr>
        <w:t>巩留县旅游资源丰富多彩，拥有库尔德宁世界自然遗产、恰西国家森林公园、野核桃沟自治区级自然保护区等优质资源，全域旅游加快推进，巩留县山谷幽深、森林密布、河流交错、风光迤逦，文旅融合发展动能不断增强。</w:t>
      </w:r>
      <w:r>
        <w:rPr>
          <w:rFonts w:hint="default" w:ascii="Times New Roman" w:hAnsi="Times New Roman" w:eastAsia="仿宋_GB2312" w:cs="Times New Roman"/>
          <w:b/>
          <w:bCs/>
          <w:color w:val="auto"/>
          <w:sz w:val="32"/>
          <w:szCs w:val="22"/>
          <w:highlight w:val="none"/>
          <w:lang w:val="en-US" w:eastAsia="zh-CN"/>
        </w:rPr>
        <w:t>四是区域协同发展机遇显现。</w:t>
      </w:r>
      <w:r>
        <w:rPr>
          <w:rFonts w:hint="default" w:ascii="Times New Roman" w:hAnsi="Times New Roman" w:eastAsia="仿宋_GB2312" w:cs="Times New Roman"/>
          <w:color w:val="auto"/>
          <w:sz w:val="32"/>
          <w:szCs w:val="22"/>
          <w:highlight w:val="none"/>
          <w:lang w:val="en-US" w:eastAsia="zh-CN"/>
        </w:rPr>
        <w:t>随着州直“两霍两伊”一体化发展战略纵深推进，为巩留县参与区域协同创造有利条件，与周边县域在交通互联、产业互补、市场互通等方面的合作不断深化，形成资源共享、优势互补的区域发展共同体，为经济高质量发展注入强大合力。</w:t>
      </w:r>
      <w:r>
        <w:rPr>
          <w:rFonts w:hint="default" w:ascii="Times New Roman" w:hAnsi="Times New Roman" w:eastAsia="仿宋_GB2312" w:cs="Times New Roman"/>
          <w:b/>
          <w:bCs/>
          <w:color w:val="auto"/>
          <w:sz w:val="32"/>
          <w:szCs w:val="22"/>
          <w:highlight w:val="none"/>
          <w:lang w:val="en-US" w:eastAsia="zh-CN"/>
        </w:rPr>
        <w:t>五是社会大局和谐稳定。</w:t>
      </w:r>
      <w:r>
        <w:rPr>
          <w:rFonts w:hint="default" w:ascii="Times New Roman" w:hAnsi="Times New Roman" w:eastAsia="仿宋_GB2312" w:cs="Times New Roman"/>
          <w:color w:val="auto"/>
          <w:sz w:val="32"/>
          <w:szCs w:val="22"/>
          <w:highlight w:val="none"/>
          <w:lang w:val="en-US" w:eastAsia="zh-CN"/>
        </w:rPr>
        <w:t>全县各族干部群众团结奋进，社会治理效能提升，群众获得感、幸福感、安全感不断增强，为高质量发展营造了良好环境。</w:t>
      </w:r>
      <w:r>
        <w:rPr>
          <w:rFonts w:hint="default" w:ascii="Times New Roman" w:hAnsi="Times New Roman" w:eastAsia="仿宋_GB2312" w:cs="Times New Roman"/>
          <w:b/>
          <w:bCs/>
          <w:color w:val="auto"/>
          <w:sz w:val="32"/>
          <w:szCs w:val="22"/>
          <w:highlight w:val="none"/>
          <w:lang w:val="en-US" w:eastAsia="zh-CN"/>
        </w:rPr>
        <w:t>同时，</w:t>
      </w:r>
      <w:r>
        <w:rPr>
          <w:rFonts w:hint="default" w:ascii="Times New Roman" w:hAnsi="Times New Roman" w:eastAsia="仿宋_GB2312" w:cs="Times New Roman"/>
          <w:color w:val="auto"/>
          <w:sz w:val="32"/>
          <w:szCs w:val="22"/>
          <w:highlight w:val="none"/>
          <w:lang w:val="en-US" w:eastAsia="zh-CN"/>
        </w:rPr>
        <w:t>也要清醒地认识到改革发展稳定任务依然艰巨，仍面临一些必须加快解决的问题，主要是：现代化产业体系建设尚处于起步阶段，产业链短、缺乏龙头企业带动；基础设施支撑能力较弱，与产业布局、区域发展还不相匹配；民生领域还有很多薄弱环节，基本公共服务均等化水平有待提高；能源资源利用效率不高，全面绿色转型任务紧迫；市场经营主体发展活力不足，改革开放广度深度亟待拓展。</w:t>
      </w:r>
    </w:p>
    <w:p w14:paraId="6AA629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t>总体来看，巩留县经济社会发展面临的发展机遇大于挑战，有利条件强于不利因素，仍处于重要战略机遇期。全县上下需胸怀“两个大局”，坚持底线思维和系统观念，抢抓机遇、主动作为，在危机中育新机、于变局中开新局，坚定不移推动高质量发展。</w:t>
      </w:r>
    </w:p>
    <w:p w14:paraId="36122F32">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rPr>
      </w:pPr>
      <w:bookmarkStart w:id="27" w:name="_Toc19353"/>
      <w:bookmarkStart w:id="28" w:name="_Toc25383"/>
      <w:bookmarkStart w:id="29" w:name="_Toc31134"/>
      <w:bookmarkStart w:id="30" w:name="_Toc28956"/>
      <w:bookmarkStart w:id="31" w:name="_Toc12992"/>
      <w:r>
        <w:rPr>
          <w:rFonts w:hint="default" w:ascii="Times New Roman" w:hAnsi="Times New Roman" w:eastAsia="楷体_GB2312" w:cs="Times New Roman"/>
          <w:b w:val="0"/>
          <w:color w:val="auto"/>
          <w:sz w:val="32"/>
          <w:szCs w:val="32"/>
          <w:highlight w:val="none"/>
        </w:rPr>
        <w:t>第</w:t>
      </w:r>
      <w:r>
        <w:rPr>
          <w:rFonts w:hint="default" w:ascii="Times New Roman" w:hAnsi="Times New Roman" w:eastAsia="楷体_GB2312" w:cs="Times New Roman"/>
          <w:b w:val="0"/>
          <w:color w:val="auto"/>
          <w:sz w:val="32"/>
          <w:szCs w:val="32"/>
          <w:highlight w:val="none"/>
          <w:lang w:val="en-US" w:eastAsia="zh-CN"/>
        </w:rPr>
        <w:t>三</w:t>
      </w:r>
      <w:r>
        <w:rPr>
          <w:rFonts w:hint="default" w:ascii="Times New Roman" w:hAnsi="Times New Roman" w:eastAsia="楷体_GB2312" w:cs="Times New Roman"/>
          <w:b w:val="0"/>
          <w:color w:val="auto"/>
          <w:sz w:val="32"/>
          <w:szCs w:val="32"/>
          <w:highlight w:val="none"/>
        </w:rPr>
        <w:t>节</w:t>
      </w:r>
      <w:r>
        <w:rPr>
          <w:rFonts w:hint="default" w:ascii="Times New Roman" w:hAnsi="Times New Roman" w:eastAsia="楷体_GB2312" w:cs="Times New Roman"/>
          <w:b w:val="0"/>
          <w:color w:val="auto"/>
          <w:sz w:val="32"/>
          <w:szCs w:val="32"/>
          <w:highlight w:val="none"/>
          <w:lang w:val="en-US" w:eastAsia="zh-CN"/>
        </w:rPr>
        <w:t xml:space="preserve"> </w:t>
      </w:r>
      <w:bookmarkEnd w:id="27"/>
      <w:bookmarkEnd w:id="28"/>
      <w:r>
        <w:rPr>
          <w:rFonts w:hint="default" w:ascii="Times New Roman" w:hAnsi="Times New Roman" w:eastAsia="楷体_GB2312" w:cs="Times New Roman"/>
          <w:b w:val="0"/>
          <w:color w:val="auto"/>
          <w:sz w:val="32"/>
          <w:szCs w:val="32"/>
          <w:highlight w:val="none"/>
          <w:lang w:val="en-US" w:eastAsia="zh-CN"/>
        </w:rPr>
        <w:t>“十五五”时期经济社会发展的指导思想</w:t>
      </w:r>
      <w:bookmarkEnd w:id="29"/>
      <w:bookmarkEnd w:id="30"/>
      <w:bookmarkEnd w:id="31"/>
    </w:p>
    <w:p w14:paraId="102564E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马克思列宁主义、毛泽东思想、邓小平理论、“三个代表”重要思想、科学发展观，全面贯彻习近平新时代中国特色社会主义思想，深入贯彻落实党的二十大和二十届历次全会精神，贯彻落实习近平总书记关于新疆工作的重要讲话重要指示批示精神，贯彻落实自治区、自治州党委部署要求，统筹推进“五位一体”总体布局，协调推进“四个全面”战略布局，完整准确全面贯彻新发展理念和新时代党的治疆方略，牢牢扭住社会稳定和长治久安工作总目标，紧紧围绕铸牢中华民族共同体意识、推进中华民族共同体建设，坚持依法治疆、团结稳疆、文化润疆、富民兴疆、长期建疆，主动服务和融入新疆“五大战略定位”，坚持稳中求进工作总基调，坚持统筹发展和安全，坚持以经济建设为中心，以推动高质量发展为主题，以改革创新为根本动力，以满足人民日益增长的美好生活需要为根本目的，以全面从严治党为根本保障，补齐现代化建设短板，实现经济行稳致远、社会和谐稳定，为到2035年与全国同步基本实现社会主义现代化奠定坚实基础。</w:t>
      </w:r>
    </w:p>
    <w:p w14:paraId="7D1BBA1A">
      <w:pPr>
        <w:pStyle w:val="4"/>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rPr>
      </w:pPr>
      <w:bookmarkStart w:id="32" w:name="_Toc22096"/>
      <w:bookmarkStart w:id="33" w:name="_Toc6292"/>
      <w:bookmarkStart w:id="34" w:name="_Toc13593"/>
      <w:bookmarkStart w:id="35" w:name="_Toc2670"/>
      <w:bookmarkStart w:id="36" w:name="_Toc32335"/>
      <w:r>
        <w:rPr>
          <w:rFonts w:hint="default" w:ascii="Times New Roman" w:hAnsi="Times New Roman" w:eastAsia="楷体_GB2312" w:cs="Times New Roman"/>
          <w:b w:val="0"/>
          <w:color w:val="auto"/>
          <w:sz w:val="32"/>
          <w:szCs w:val="32"/>
          <w:highlight w:val="none"/>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rPr>
        <w:t>节</w:t>
      </w:r>
      <w:r>
        <w:rPr>
          <w:rFonts w:hint="default" w:ascii="Times New Roman" w:hAnsi="Times New Roman" w:eastAsia="楷体_GB2312" w:cs="Times New Roman"/>
          <w:b w:val="0"/>
          <w:color w:val="auto"/>
          <w:sz w:val="32"/>
          <w:szCs w:val="32"/>
          <w:highlight w:val="none"/>
          <w:lang w:val="en-US" w:eastAsia="zh-CN"/>
        </w:rPr>
        <w:t xml:space="preserve"> </w:t>
      </w:r>
      <w:bookmarkEnd w:id="32"/>
      <w:bookmarkEnd w:id="33"/>
      <w:r>
        <w:rPr>
          <w:rFonts w:hint="default" w:ascii="Times New Roman" w:hAnsi="Times New Roman" w:eastAsia="楷体_GB2312" w:cs="Times New Roman"/>
          <w:b w:val="0"/>
          <w:color w:val="auto"/>
          <w:sz w:val="32"/>
          <w:szCs w:val="32"/>
          <w:highlight w:val="none"/>
          <w:lang w:val="en-US" w:eastAsia="zh-CN"/>
        </w:rPr>
        <w:t>“十五五”时期经济社会发展</w:t>
      </w:r>
      <w:r>
        <w:rPr>
          <w:rFonts w:hint="default" w:ascii="Times New Roman" w:hAnsi="Times New Roman" w:eastAsia="楷体_GB2312" w:cs="Times New Roman"/>
          <w:b w:val="0"/>
          <w:color w:val="auto"/>
          <w:sz w:val="32"/>
          <w:szCs w:val="32"/>
          <w:highlight w:val="none"/>
          <w:lang w:eastAsia="zh-CN"/>
        </w:rPr>
        <w:t>必须</w:t>
      </w:r>
      <w:r>
        <w:rPr>
          <w:rFonts w:hint="default" w:ascii="Times New Roman" w:hAnsi="Times New Roman" w:eastAsia="楷体_GB2312" w:cs="Times New Roman"/>
          <w:b w:val="0"/>
          <w:color w:val="auto"/>
          <w:sz w:val="32"/>
          <w:szCs w:val="32"/>
          <w:highlight w:val="none"/>
          <w:lang w:val="en-US" w:eastAsia="zh-CN"/>
        </w:rPr>
        <w:t>遵循的原则</w:t>
      </w:r>
      <w:bookmarkEnd w:id="34"/>
      <w:bookmarkEnd w:id="35"/>
      <w:bookmarkEnd w:id="36"/>
    </w:p>
    <w:p w14:paraId="1BE868B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bookmarkStart w:id="37" w:name="_Toc19428"/>
      <w:r>
        <w:rPr>
          <w:rFonts w:hint="default" w:ascii="Times New Roman" w:hAnsi="Times New Roman" w:eastAsia="仿宋_GB2312" w:cs="Times New Roman"/>
          <w:color w:val="auto"/>
          <w:sz w:val="32"/>
          <w:szCs w:val="32"/>
          <w:highlight w:val="none"/>
          <w:lang w:val="en-US" w:eastAsia="zh-CN"/>
        </w:rPr>
        <w:t>推动“十五五”时期经济社会发展，必须牢牢把握党的二十大提出的推进中国式现代化的中国特色、本质要求和重大原则，遵循以下原则。</w:t>
      </w:r>
    </w:p>
    <w:p w14:paraId="406CB6FE">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方正仿宋_GBK" w:cs="Times New Roman"/>
          <w:color w:val="auto"/>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——坚持党的全面领导。</w:t>
      </w:r>
      <w:r>
        <w:rPr>
          <w:rFonts w:hint="default" w:ascii="Times New Roman" w:hAnsi="Times New Roman" w:eastAsia="仿宋_GB2312" w:cs="Times New Roman"/>
          <w:color w:val="auto"/>
          <w:kern w:val="2"/>
          <w:sz w:val="32"/>
          <w:szCs w:val="32"/>
          <w:highlight w:val="none"/>
          <w:lang w:val="en-US" w:eastAsia="zh-CN" w:bidi="ar-SA"/>
        </w:rPr>
        <w:t>坚决维护党中央权威和集中统一领导，提高党把方向、谋大局、定政策、促改革能力，把党的领导贯穿经济社会发展各方面全过程，为建设社会主义现代化巩留提供根本保证。</w:t>
      </w:r>
    </w:p>
    <w:p w14:paraId="155921FC">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方正仿宋_GBK" w:cs="Times New Roman"/>
          <w:color w:val="auto"/>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——坚持铸牢中华民族共同体意识为主线。</w:t>
      </w:r>
      <w:r>
        <w:rPr>
          <w:rFonts w:hint="default" w:ascii="Times New Roman" w:hAnsi="Times New Roman" w:eastAsia="仿宋_GB2312" w:cs="Times New Roman"/>
          <w:color w:val="auto"/>
          <w:kern w:val="2"/>
          <w:sz w:val="32"/>
          <w:szCs w:val="32"/>
          <w:highlight w:val="none"/>
          <w:lang w:val="en-US" w:eastAsia="zh-CN" w:bidi="ar-SA"/>
        </w:rPr>
        <w:t>将铸牢中华民族共同体意识主线贯穿于巩留县工作各方面全过程，在有形有感有效上持续用力，赋予所有改革发展以彰显中华民族共同体意识的意义，以维护统一、反对分裂的意义，以改善民生、凝聚人心的意义，教育引导各族群众牢固树立休戚与共、荣辱与共、生死与共、命运与共的共同体理念，不断增进各族群众“五个认同”，推进中华民族共同体建设。</w:t>
      </w:r>
    </w:p>
    <w:p w14:paraId="56778E57">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——坚持人民至上。</w:t>
      </w:r>
      <w:r>
        <w:rPr>
          <w:rFonts w:hint="default" w:ascii="Times New Roman" w:hAnsi="Times New Roman" w:eastAsia="仿宋_GB2312" w:cs="Times New Roman"/>
          <w:color w:val="auto"/>
          <w:kern w:val="2"/>
          <w:sz w:val="32"/>
          <w:szCs w:val="32"/>
          <w:highlight w:val="none"/>
          <w:lang w:val="en-US" w:eastAsia="zh-CN" w:bidi="ar-SA"/>
        </w:rPr>
        <w:t>尊重人民主体地位，紧紧依靠人民，维护人民根本利益，促进社会公平正义，注重在发展中保障和改善民生，在满足民生需求中拓展发展空间，推动经济和社会协调发展、物质文明和精神文明相得益彰，让现代化建设成果更多更好更公平</w:t>
      </w:r>
      <w:r>
        <w:rPr>
          <w:rFonts w:hint="default" w:ascii="Times New Roman" w:hAnsi="Times New Roman" w:eastAsia="仿宋_GB2312" w:cs="Times New Roman"/>
          <w:color w:val="auto"/>
          <w:sz w:val="32"/>
          <w:szCs w:val="22"/>
          <w:highlight w:val="none"/>
          <w:lang w:val="en-US" w:eastAsia="zh-CN"/>
        </w:rPr>
        <w:t>惠及巩留各族群众</w:t>
      </w:r>
      <w:r>
        <w:rPr>
          <w:rFonts w:hint="default" w:ascii="Times New Roman" w:hAnsi="Times New Roman" w:eastAsia="仿宋_GB2312" w:cs="Times New Roman"/>
          <w:color w:val="auto"/>
          <w:kern w:val="2"/>
          <w:sz w:val="32"/>
          <w:szCs w:val="32"/>
          <w:highlight w:val="none"/>
          <w:lang w:val="en-US" w:eastAsia="zh-CN" w:bidi="ar-SA"/>
        </w:rPr>
        <w:t>。</w:t>
      </w:r>
    </w:p>
    <w:p w14:paraId="1D6841ED">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——坚持统筹发展和安全。</w:t>
      </w:r>
      <w:r>
        <w:rPr>
          <w:rFonts w:hint="default" w:ascii="Times New Roman" w:hAnsi="Times New Roman" w:eastAsia="仿宋_GB2312" w:cs="Times New Roman"/>
          <w:color w:val="auto"/>
          <w:kern w:val="2"/>
          <w:sz w:val="32"/>
          <w:szCs w:val="32"/>
          <w:highlight w:val="none"/>
          <w:lang w:val="en-US" w:eastAsia="zh-CN" w:bidi="ar-SA"/>
        </w:rPr>
        <w:t>牢牢扭住社会稳定和长治久安总目标，强化底线思维、忧患意识，推进治理体系和治理能力现代化，有效防范化解各类风险隐患，全力维护巩留社会大局和谐稳定。增强经济和社会韧性，在发展中固安全、在安全中谋发展，以新安全格局保障新发展格局。</w:t>
      </w:r>
    </w:p>
    <w:p w14:paraId="54EB5073">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——坚持高质量发展。</w:t>
      </w:r>
      <w:r>
        <w:rPr>
          <w:rFonts w:hint="default" w:ascii="Times New Roman" w:hAnsi="Times New Roman" w:eastAsia="仿宋_GB2312" w:cs="Times New Roman"/>
          <w:color w:val="auto"/>
          <w:kern w:val="2"/>
          <w:sz w:val="32"/>
          <w:szCs w:val="32"/>
          <w:highlight w:val="none"/>
          <w:lang w:val="en-US" w:eastAsia="zh-CN" w:bidi="ar-SA"/>
        </w:rPr>
        <w:t>以新发展理念引领高质量发展，主动服务和融入新疆“五大战略定位”，聚焦巩留所能、群众所盼，</w:t>
      </w:r>
      <w:r>
        <w:rPr>
          <w:rFonts w:hint="default" w:ascii="Times New Roman" w:hAnsi="Times New Roman" w:eastAsia="仿宋_GB2312" w:cs="Times New Roman"/>
          <w:color w:val="auto"/>
          <w:sz w:val="32"/>
          <w:szCs w:val="22"/>
          <w:highlight w:val="none"/>
          <w:lang w:val="en-US" w:eastAsia="zh-CN"/>
        </w:rPr>
        <w:t>加快构建体现巩留特色优势的现代化产业体系，</w:t>
      </w:r>
      <w:r>
        <w:rPr>
          <w:rFonts w:hint="default" w:ascii="Times New Roman" w:hAnsi="Times New Roman" w:eastAsia="仿宋_GB2312" w:cs="Times New Roman"/>
          <w:color w:val="auto"/>
          <w:kern w:val="2"/>
          <w:sz w:val="32"/>
          <w:szCs w:val="32"/>
          <w:highlight w:val="none"/>
          <w:lang w:val="en-US" w:eastAsia="zh-CN" w:bidi="ar-SA"/>
        </w:rPr>
        <w:t>统筹扩大内需和深化供给侧结构性改革，巩固壮大实体经济根基，因地制宜发展新质生产力，加快培育发展新动能，做优增量、盘活存量，推动巩留经济持续健康发展和社会全面进步。</w:t>
      </w:r>
    </w:p>
    <w:p w14:paraId="70BFDAB7">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——坚持全面深化改革。</w:t>
      </w:r>
      <w:r>
        <w:rPr>
          <w:rFonts w:hint="default" w:ascii="Times New Roman" w:hAnsi="Times New Roman" w:eastAsia="仿宋_GB2312" w:cs="Times New Roman"/>
          <w:color w:val="auto"/>
          <w:kern w:val="2"/>
          <w:sz w:val="32"/>
          <w:szCs w:val="32"/>
          <w:highlight w:val="none"/>
          <w:lang w:val="en-US" w:eastAsia="zh-CN" w:bidi="ar-SA"/>
        </w:rPr>
        <w:t>聚焦制约巩留高质量发展的体制机制障碍，深化改革攻坚，积极推进重点领域和关键环节改革，持续扩大高水平开放，加快融入丝绸之路经济带核心区建设，稳步推进与周边区域的开放协作，加快产业园区建设，建设更高水平开放型经济新体制，持续增强巩留发展动力和</w:t>
      </w:r>
      <w:r>
        <w:rPr>
          <w:rFonts w:hint="default" w:ascii="Times New Roman" w:hAnsi="Times New Roman" w:eastAsia="仿宋_GB2312" w:cs="Times New Roman"/>
          <w:color w:val="auto"/>
          <w:sz w:val="32"/>
          <w:szCs w:val="22"/>
          <w:highlight w:val="none"/>
          <w:lang w:val="en-US" w:eastAsia="zh-CN"/>
        </w:rPr>
        <w:t>社会活力</w:t>
      </w:r>
      <w:r>
        <w:rPr>
          <w:rFonts w:hint="default" w:ascii="Times New Roman" w:hAnsi="Times New Roman" w:eastAsia="仿宋_GB2312" w:cs="Times New Roman"/>
          <w:color w:val="auto"/>
          <w:kern w:val="2"/>
          <w:sz w:val="32"/>
          <w:szCs w:val="32"/>
          <w:highlight w:val="none"/>
          <w:lang w:val="en-US" w:eastAsia="zh-CN" w:bidi="ar-SA"/>
        </w:rPr>
        <w:t>。</w:t>
      </w:r>
    </w:p>
    <w:p w14:paraId="42612080">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——坚持有效市场和有为政府相结合。</w:t>
      </w:r>
      <w:r>
        <w:rPr>
          <w:rFonts w:hint="default" w:ascii="Times New Roman" w:hAnsi="Times New Roman" w:eastAsia="仿宋_GB2312" w:cs="Times New Roman"/>
          <w:color w:val="auto"/>
          <w:kern w:val="2"/>
          <w:sz w:val="32"/>
          <w:szCs w:val="32"/>
          <w:highlight w:val="none"/>
          <w:lang w:val="en-US" w:eastAsia="zh-CN" w:bidi="ar-SA"/>
        </w:rPr>
        <w:t>充分发挥市场在资源配置中的决定性作用，更好发挥政府作用，构建统一、开放、竞争、有序的市场体系，建设法治经济、信用经济，打造市场化、法治化、国际化一流营商环境，优化政务服务、提升行政效能，推动形成既“放得活”又“管得好”的经济秩序。</w:t>
      </w:r>
    </w:p>
    <w:p w14:paraId="0891F808">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——坚持城乡区域协调发展。</w:t>
      </w:r>
      <w:r>
        <w:rPr>
          <w:rFonts w:hint="default" w:ascii="Times New Roman" w:hAnsi="Times New Roman" w:eastAsia="仿宋_GB2312" w:cs="Times New Roman"/>
          <w:color w:val="auto"/>
          <w:kern w:val="2"/>
          <w:sz w:val="32"/>
          <w:szCs w:val="32"/>
          <w:highlight w:val="none"/>
          <w:lang w:val="en-US" w:eastAsia="zh-CN" w:bidi="ar-SA"/>
        </w:rPr>
        <w:t>统筹县域一体化战略，深化实施和乡镇间联动融合发展，大力培育发展中心城镇和特色乡镇，加快推进新型城镇化和城乡融合发展，因时因地制宜、分区分类施策，优化重大生产力布局，促进人口要素合理流动和高效聚集，加快形成巩留高质量区域发展新格局。</w:t>
      </w:r>
    </w:p>
    <w:p w14:paraId="7346023F">
      <w:pPr>
        <w:pStyle w:val="17"/>
        <w:keepNext w:val="0"/>
        <w:keepLines w:val="0"/>
        <w:pageBreakBefore w:val="0"/>
        <w:widowControl w:val="0"/>
        <w:tabs>
          <w:tab w:val="right" w:leader="dot" w:pos="9072"/>
        </w:tabs>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——坚持生态优先绿色发展。</w:t>
      </w:r>
      <w:r>
        <w:rPr>
          <w:rFonts w:hint="default" w:ascii="Times New Roman" w:hAnsi="Times New Roman" w:eastAsia="仿宋_GB2312" w:cs="Times New Roman"/>
          <w:color w:val="auto"/>
          <w:kern w:val="2"/>
          <w:sz w:val="32"/>
          <w:szCs w:val="32"/>
          <w:highlight w:val="none"/>
          <w:lang w:val="en-US" w:eastAsia="zh-CN" w:bidi="ar-SA"/>
        </w:rPr>
        <w:t>坚决扛起生态文明建设的政治责任，正确处理生态文明建设的“五大关系”，统筹产业结构调整、污染治理、生态保护、应对气候变化，筑牢巩留生态安全重要屏障，加快经济社会发展全面绿色转型，促进人与自然和谐共生。</w:t>
      </w:r>
    </w:p>
    <w:p w14:paraId="400ACDD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楷体_GB2312" w:cs="Times New Roman"/>
          <w:b/>
          <w:bCs/>
          <w:color w:val="auto"/>
          <w:sz w:val="32"/>
          <w:szCs w:val="32"/>
          <w:highlight w:val="none"/>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bidi="ar-SA"/>
        </w:rPr>
        <w:t>——坚持兵地融合发展。</w:t>
      </w:r>
      <w:r>
        <w:rPr>
          <w:rFonts w:hint="default" w:ascii="Times New Roman" w:hAnsi="Times New Roman" w:eastAsia="仿宋_GB2312" w:cs="Times New Roman"/>
          <w:color w:val="auto"/>
          <w:kern w:val="2"/>
          <w:sz w:val="32"/>
          <w:szCs w:val="32"/>
          <w:highlight w:val="none"/>
          <w:lang w:val="en-US" w:eastAsia="zh-CN" w:bidi="ar-SA"/>
        </w:rPr>
        <w:t>以更好履行兵团职责使命为根本，加强与周边兵团团场的协同联动，强化要素资源保障，</w:t>
      </w:r>
      <w:r>
        <w:rPr>
          <w:rFonts w:hint="default" w:ascii="Times New Roman" w:hAnsi="Times New Roman" w:eastAsia="仿宋_GB2312" w:cs="Times New Roman"/>
          <w:color w:val="auto"/>
          <w:sz w:val="32"/>
          <w:szCs w:val="22"/>
          <w:highlight w:val="none"/>
          <w:lang w:val="en-US" w:eastAsia="zh-CN"/>
        </w:rPr>
        <w:t>推动兵地设施共建、资源共享、治理共商、优势互补，</w:t>
      </w:r>
      <w:r>
        <w:rPr>
          <w:rFonts w:hint="default" w:ascii="Times New Roman" w:hAnsi="Times New Roman" w:eastAsia="仿宋_GB2312" w:cs="Times New Roman"/>
          <w:color w:val="auto"/>
          <w:kern w:val="2"/>
          <w:sz w:val="32"/>
          <w:szCs w:val="32"/>
          <w:highlight w:val="none"/>
          <w:lang w:val="en-US" w:eastAsia="zh-CN" w:bidi="ar-SA"/>
        </w:rPr>
        <w:t>实现巩留与73团场深度嵌入、融合发展。</w:t>
      </w:r>
    </w:p>
    <w:bookmarkEnd w:id="37"/>
    <w:p w14:paraId="482CC84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rPr>
      </w:pPr>
      <w:bookmarkStart w:id="38" w:name="_Toc11178"/>
      <w:bookmarkStart w:id="39" w:name="_Toc13920"/>
      <w:bookmarkStart w:id="40" w:name="_Toc17957"/>
      <w:bookmarkStart w:id="41" w:name="_Toc4118"/>
      <w:bookmarkStart w:id="42" w:name="_Toc6496"/>
      <w:r>
        <w:rPr>
          <w:rFonts w:hint="default" w:ascii="Times New Roman" w:hAnsi="Times New Roman" w:eastAsia="楷体_GB2312" w:cs="Times New Roman"/>
          <w:b w:val="0"/>
          <w:color w:val="auto"/>
          <w:sz w:val="32"/>
          <w:szCs w:val="32"/>
          <w:highlight w:val="none"/>
        </w:rPr>
        <w:t>第</w:t>
      </w:r>
      <w:r>
        <w:rPr>
          <w:rFonts w:hint="default" w:ascii="Times New Roman" w:hAnsi="Times New Roman" w:eastAsia="楷体_GB2312" w:cs="Times New Roman"/>
          <w:b w:val="0"/>
          <w:color w:val="auto"/>
          <w:sz w:val="32"/>
          <w:szCs w:val="32"/>
          <w:highlight w:val="none"/>
          <w:lang w:val="en-US" w:eastAsia="zh-CN"/>
        </w:rPr>
        <w:t>五</w:t>
      </w:r>
      <w:r>
        <w:rPr>
          <w:rFonts w:hint="default" w:ascii="Times New Roman" w:hAnsi="Times New Roman" w:eastAsia="楷体_GB2312" w:cs="Times New Roman"/>
          <w:b w:val="0"/>
          <w:color w:val="auto"/>
          <w:sz w:val="32"/>
          <w:szCs w:val="32"/>
          <w:highlight w:val="none"/>
        </w:rPr>
        <w:t>节</w:t>
      </w:r>
      <w:r>
        <w:rPr>
          <w:rFonts w:hint="default" w:ascii="Times New Roman" w:hAnsi="Times New Roman" w:eastAsia="楷体_GB2312" w:cs="Times New Roman"/>
          <w:b w:val="0"/>
          <w:color w:val="auto"/>
          <w:sz w:val="32"/>
          <w:szCs w:val="32"/>
          <w:highlight w:val="none"/>
          <w:lang w:val="en-US" w:eastAsia="zh-CN"/>
        </w:rPr>
        <w:t xml:space="preserve"> </w:t>
      </w:r>
      <w:bookmarkEnd w:id="38"/>
      <w:bookmarkEnd w:id="39"/>
      <w:r>
        <w:rPr>
          <w:rFonts w:hint="default" w:ascii="Times New Roman" w:hAnsi="Times New Roman" w:eastAsia="楷体_GB2312" w:cs="Times New Roman"/>
          <w:b w:val="0"/>
          <w:color w:val="auto"/>
          <w:sz w:val="32"/>
          <w:szCs w:val="32"/>
          <w:highlight w:val="none"/>
          <w:lang w:eastAsia="zh-CN"/>
        </w:rPr>
        <w:t>“十</w:t>
      </w:r>
      <w:r>
        <w:rPr>
          <w:rFonts w:hint="default" w:ascii="Times New Roman" w:hAnsi="Times New Roman" w:eastAsia="楷体_GB2312" w:cs="Times New Roman"/>
          <w:b w:val="0"/>
          <w:color w:val="auto"/>
          <w:sz w:val="32"/>
          <w:szCs w:val="32"/>
          <w:highlight w:val="none"/>
          <w:lang w:val="en-US" w:eastAsia="zh-CN"/>
        </w:rPr>
        <w:t>五</w:t>
      </w:r>
      <w:r>
        <w:rPr>
          <w:rFonts w:hint="default" w:ascii="Times New Roman" w:hAnsi="Times New Roman" w:eastAsia="楷体_GB2312" w:cs="Times New Roman"/>
          <w:b w:val="0"/>
          <w:color w:val="auto"/>
          <w:sz w:val="32"/>
          <w:szCs w:val="32"/>
          <w:highlight w:val="none"/>
          <w:lang w:eastAsia="zh-CN"/>
        </w:rPr>
        <w:t>五”时期经济社会发展主要目标</w:t>
      </w:r>
      <w:bookmarkEnd w:id="40"/>
      <w:bookmarkEnd w:id="41"/>
      <w:bookmarkEnd w:id="42"/>
    </w:p>
    <w:p w14:paraId="4FC1A9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color w:val="auto"/>
          <w:kern w:val="21"/>
          <w:sz w:val="32"/>
          <w:szCs w:val="32"/>
          <w:highlight w:val="none"/>
          <w:u w:val="none" w:color="auto"/>
          <w:lang w:val="en-US" w:eastAsia="zh-CN"/>
        </w:rPr>
      </w:pPr>
      <w:r>
        <w:rPr>
          <w:rFonts w:hint="default" w:ascii="Times New Roman" w:hAnsi="Times New Roman" w:eastAsia="仿宋_GB2312" w:cs="Times New Roman"/>
          <w:color w:val="auto"/>
          <w:sz w:val="32"/>
          <w:szCs w:val="32"/>
          <w:highlight w:val="none"/>
          <w:lang w:val="en-US" w:eastAsia="zh-CN"/>
        </w:rPr>
        <w:t>着眼到2035年与全国同步基本实现社会主义现代化的目标要求，今后五年经济社会发展要努力实现以下主要目标。</w:t>
      </w:r>
    </w:p>
    <w:p w14:paraId="6E9A45AA">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color w:val="auto"/>
          <w:kern w:val="21"/>
          <w:sz w:val="32"/>
          <w:szCs w:val="32"/>
          <w:highlight w:val="none"/>
          <w:u w:val="none" w:color="auto"/>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rPr>
        <w:t>——高质量发展取得显著成效。</w:t>
      </w:r>
      <w:r>
        <w:rPr>
          <w:rFonts w:hint="default" w:ascii="Times New Roman" w:hAnsi="Times New Roman" w:eastAsia="仿宋_GB2312" w:cs="Times New Roman"/>
          <w:color w:val="auto"/>
          <w:kern w:val="2"/>
          <w:sz w:val="32"/>
          <w:szCs w:val="32"/>
          <w:highlight w:val="none"/>
          <w:lang w:val="en-US" w:eastAsia="zh-CN" w:bidi="ar-SA"/>
        </w:rPr>
        <w:t>经济增长保持在合理区间，保持制造业合理比重，全要素生产率稳步提升，居民消费率明显提高，内需拉动经济增长主动力作用持续增强，经济增长潜力得到充分释放，新型工业化、信息化、城镇化、农业现代化进程取得重要进展，特色优势产业集群产业链、供应链规模能级和竞争力显著提升，现代化基础设施支撑能力明显增强，发展新质生产力、建设现代化经济体系建设取得重要突破。</w:t>
      </w:r>
    </w:p>
    <w:p w14:paraId="02E6A1B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rPr>
        <w:t>——深化改革扩大开放取得新突破。</w:t>
      </w:r>
      <w:r>
        <w:rPr>
          <w:rFonts w:hint="default" w:ascii="Times New Roman" w:hAnsi="Times New Roman" w:eastAsia="仿宋_GB2312" w:cs="Times New Roman"/>
          <w:color w:val="auto"/>
          <w:kern w:val="2"/>
          <w:sz w:val="32"/>
          <w:szCs w:val="32"/>
          <w:highlight w:val="none"/>
          <w:lang w:val="en-US" w:eastAsia="zh-CN" w:bidi="ar-SA"/>
        </w:rPr>
        <w:t>重点领域和关键环节改革攻坚取得明显成效，服务和融入全国统一大市场建设纵深推进，营商环境显著改善，全过程人民民主制度化、规范化、程序化水平进一步提高，法治巩留建设开创新局面。对外开放平台功能更加完善，与霍尔果斯自贸试验区联动发展进一步提升。</w:t>
      </w:r>
    </w:p>
    <w:p w14:paraId="4451D68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color w:val="auto"/>
          <w:kern w:val="21"/>
          <w:sz w:val="32"/>
          <w:szCs w:val="32"/>
          <w:highlight w:val="none"/>
          <w:u w:val="none" w:color="auto"/>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rPr>
        <w:t>——社会文明程度明显提升。</w:t>
      </w:r>
      <w:r>
        <w:rPr>
          <w:rFonts w:hint="default" w:ascii="Times New Roman" w:hAnsi="Times New Roman" w:eastAsia="仿宋_GB2312" w:cs="Times New Roman"/>
          <w:color w:val="auto"/>
          <w:kern w:val="2"/>
          <w:sz w:val="32"/>
          <w:szCs w:val="32"/>
          <w:highlight w:val="none"/>
          <w:lang w:val="en-US" w:eastAsia="zh-CN" w:bidi="ar-SA"/>
        </w:rPr>
        <w:t>中华民族共同体建设深入推进，文化自信更加坚定，主流思想舆论不断巩固壮大，社会主义核心价值观广泛践行，文化润疆扎实推进，文化创新创造活力不断激发，各族群众精神文化生活更加丰富，各民族交往交流交融更加广泛深入，民族团结的思想基石更加坚实。</w:t>
      </w:r>
    </w:p>
    <w:p w14:paraId="20525A2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color w:val="auto"/>
          <w:kern w:val="21"/>
          <w:sz w:val="32"/>
          <w:szCs w:val="32"/>
          <w:highlight w:val="none"/>
          <w:u w:val="none" w:color="auto"/>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rPr>
        <w:t>——科技创新实力持续增强。</w:t>
      </w:r>
      <w:r>
        <w:rPr>
          <w:rFonts w:hint="default" w:ascii="Times New Roman" w:hAnsi="Times New Roman" w:eastAsia="仿宋_GB2312" w:cs="Times New Roman"/>
          <w:color w:val="auto"/>
          <w:kern w:val="2"/>
          <w:sz w:val="32"/>
          <w:szCs w:val="32"/>
          <w:highlight w:val="none"/>
          <w:lang w:val="en-US" w:eastAsia="zh-CN" w:bidi="ar-SA"/>
        </w:rPr>
        <w:t>科技强县建设迈上新台阶，创新体系整体效能显著提升，全社会研发经费投入持续增长，县级科创平台实现突破，高新技术企业量质齐增，特色优势产业关键核心技术攻关和应用示范成果显著，科技创新和产业创新深度融合，教育科技人才一体发展格局基本形成。</w:t>
      </w:r>
    </w:p>
    <w:p w14:paraId="6919C4C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color w:val="auto"/>
          <w:kern w:val="21"/>
          <w:sz w:val="32"/>
          <w:szCs w:val="32"/>
          <w:highlight w:val="none"/>
          <w:u w:val="none" w:color="auto"/>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rPr>
        <w:t>——各族群众生活品质不断提高。</w:t>
      </w:r>
      <w:r>
        <w:rPr>
          <w:rFonts w:hint="default" w:ascii="Times New Roman" w:hAnsi="Times New Roman" w:eastAsia="仿宋_GB2312" w:cs="Times New Roman"/>
          <w:color w:val="auto"/>
          <w:kern w:val="2"/>
          <w:sz w:val="32"/>
          <w:szCs w:val="32"/>
          <w:highlight w:val="none"/>
          <w:lang w:val="en-US" w:eastAsia="zh-CN" w:bidi="ar-SA"/>
        </w:rPr>
        <w:t>高质量充分就业取得新进展，居民收入增长和经济增长同步、劳动报酬提高与劳动生产率提高基本同步，分配结构得到优化，中等收入群体持续扩大，高质量教育体系初步建成，医疗卫生健康服务体系更加完善，多层次社会保障制度更加优化更可持续，巩留各族群众养老托育服务需求得到更好满足，基本公共服务均等化水平明显提升。</w:t>
      </w:r>
    </w:p>
    <w:p w14:paraId="17916BA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b/>
          <w:bCs/>
          <w:color w:val="auto"/>
          <w:kern w:val="21"/>
          <w:sz w:val="32"/>
          <w:szCs w:val="32"/>
          <w:highlight w:val="none"/>
          <w:u w:val="none" w:color="auto"/>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rPr>
        <w:t>——区域城乡协调发展取得重大进展。</w:t>
      </w:r>
      <w:r>
        <w:rPr>
          <w:rFonts w:hint="default" w:ascii="Times New Roman" w:hAnsi="Times New Roman" w:eastAsia="仿宋_GB2312" w:cs="Times New Roman"/>
          <w:color w:val="auto"/>
          <w:kern w:val="2"/>
          <w:sz w:val="32"/>
          <w:szCs w:val="32"/>
          <w:highlight w:val="none"/>
          <w:lang w:val="en-US" w:eastAsia="zh-CN" w:bidi="ar-SA"/>
        </w:rPr>
        <w:t>巩留县城镇功能品质活力明显增强，人口集聚效应持续提升，城乡融合发展质量更高，农村生活条件明显改善，脱贫攻坚成果持续巩固拓展，乡村全面振兴扎实推进。县域内各乡镇协同发展和一体化取得积极成效，空间布局更趋优化合理，产业分工协作格局加快形成。</w:t>
      </w:r>
    </w:p>
    <w:p w14:paraId="6D40341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color w:val="auto"/>
          <w:kern w:val="21"/>
          <w:sz w:val="32"/>
          <w:szCs w:val="32"/>
          <w:highlight w:val="none"/>
          <w:u w:val="none" w:color="auto"/>
          <w:lang w:val="en-US" w:eastAsia="zh-CN"/>
        </w:rPr>
      </w:pPr>
      <w:r>
        <w:rPr>
          <w:rFonts w:hint="default" w:ascii="Times New Roman" w:hAnsi="Times New Roman" w:eastAsia="仿宋_GB2312" w:cs="Times New Roman"/>
          <w:b/>
          <w:bCs/>
          <w:color w:val="auto"/>
          <w:kern w:val="21"/>
          <w:sz w:val="32"/>
          <w:szCs w:val="32"/>
          <w:highlight w:val="none"/>
          <w:u w:val="none" w:color="auto"/>
          <w:lang w:val="en-US" w:eastAsia="zh-CN"/>
        </w:rPr>
        <w:t>——美丽巩留建设取得新的重大进展。</w:t>
      </w:r>
      <w:r>
        <w:rPr>
          <w:rFonts w:hint="default" w:ascii="Times New Roman" w:hAnsi="Times New Roman" w:eastAsia="仿宋_GB2312" w:cs="Times New Roman"/>
          <w:color w:val="auto"/>
          <w:kern w:val="2"/>
          <w:sz w:val="32"/>
          <w:szCs w:val="32"/>
          <w:highlight w:val="none"/>
          <w:lang w:val="en-US" w:eastAsia="zh-CN" w:bidi="ar-SA"/>
        </w:rPr>
        <w:t>绿色生产生活方式基本形成，碳达峰目标加快实现，清洁低碳安全高效的新型能源体系初步形成，能源资源利用效率进一步提升，主要污染物排放总量持续减少，县域空气质量明显改善，生态安全屏障更加牢固，生态系统多样性稳定性持续性不断提升。</w:t>
      </w:r>
    </w:p>
    <w:p w14:paraId="78E7236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1"/>
          <w:sz w:val="32"/>
          <w:szCs w:val="32"/>
          <w:highlight w:val="none"/>
          <w:u w:val="none" w:color="auto"/>
          <w:lang w:val="en-US" w:eastAsia="zh-CN" w:bidi="ar-SA"/>
        </w:rPr>
      </w:pPr>
      <w:r>
        <w:rPr>
          <w:rFonts w:hint="default" w:ascii="Times New Roman" w:hAnsi="Times New Roman" w:eastAsia="仿宋_GB2312" w:cs="Times New Roman"/>
          <w:b/>
          <w:bCs/>
          <w:color w:val="auto"/>
          <w:kern w:val="21"/>
          <w:sz w:val="32"/>
          <w:szCs w:val="32"/>
          <w:highlight w:val="none"/>
          <w:u w:val="none" w:color="auto"/>
          <w:lang w:val="en-US" w:eastAsia="zh-CN"/>
        </w:rPr>
        <w:t>——兵地融合发展取得新成效。</w:t>
      </w:r>
      <w:r>
        <w:rPr>
          <w:rFonts w:hint="default" w:ascii="Times New Roman" w:hAnsi="Times New Roman" w:eastAsia="仿宋_GB2312" w:cs="Times New Roman"/>
          <w:color w:val="auto"/>
          <w:kern w:val="2"/>
          <w:sz w:val="32"/>
          <w:szCs w:val="32"/>
          <w:highlight w:val="none"/>
          <w:lang w:val="en-US" w:eastAsia="zh-CN" w:bidi="ar-SA"/>
        </w:rPr>
        <w:t>兵地融合发展体制机制更加健全，生产要素、优势资源实现优化整合，互联互通、错位发展格局基本形成，积极支持73团</w:t>
      </w:r>
      <w:r>
        <w:rPr>
          <w:rFonts w:hint="default" w:ascii="Times New Roman" w:hAnsi="Times New Roman" w:eastAsia="仿宋_GB2312" w:cs="Times New Roman"/>
          <w:color w:val="auto"/>
          <w:sz w:val="32"/>
          <w:szCs w:val="32"/>
          <w:highlight w:val="none"/>
          <w:lang w:eastAsia="zh-CN"/>
        </w:rPr>
        <w:t>深化改革，</w:t>
      </w:r>
      <w:r>
        <w:rPr>
          <w:rFonts w:hint="default" w:ascii="Times New Roman" w:hAnsi="Times New Roman" w:eastAsia="仿宋_GB2312" w:cs="Times New Roman"/>
          <w:color w:val="auto"/>
          <w:kern w:val="2"/>
          <w:sz w:val="32"/>
          <w:szCs w:val="32"/>
          <w:highlight w:val="none"/>
          <w:lang w:val="en-US" w:eastAsia="zh-CN" w:bidi="ar-SA"/>
        </w:rPr>
        <w:t>共同推动兵地</w:t>
      </w:r>
      <w:r>
        <w:rPr>
          <w:rFonts w:hint="default" w:ascii="Times New Roman" w:hAnsi="Times New Roman" w:eastAsia="仿宋_GB2312" w:cs="Times New Roman"/>
          <w:color w:val="auto"/>
          <w:sz w:val="32"/>
          <w:szCs w:val="22"/>
          <w:highlight w:val="none"/>
          <w:lang w:val="en-US" w:eastAsia="zh-CN"/>
        </w:rPr>
        <w:t>“三大功能”“四大作用”更好发挥。</w:t>
      </w:r>
    </w:p>
    <w:p w14:paraId="2F54BC7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1"/>
          <w:sz w:val="32"/>
          <w:szCs w:val="32"/>
          <w:highlight w:val="none"/>
          <w:u w:val="none" w:color="auto"/>
          <w:lang w:val="en-US" w:eastAsia="zh-CN" w:bidi="ar-SA"/>
        </w:rPr>
      </w:pPr>
      <w:r>
        <w:rPr>
          <w:rFonts w:hint="default" w:ascii="Times New Roman" w:hAnsi="Times New Roman" w:eastAsia="仿宋_GB2312" w:cs="Times New Roman"/>
          <w:color w:val="auto"/>
          <w:sz w:val="32"/>
          <w:szCs w:val="22"/>
          <w:highlight w:val="none"/>
          <w:lang w:val="en-US" w:eastAsia="zh-CN"/>
        </w:rPr>
        <w:t>在此基础上再奋斗五年，到二〇三五年中华民族共同体意识深入人心，</w:t>
      </w:r>
      <w:r>
        <w:rPr>
          <w:rFonts w:hint="default" w:ascii="Times New Roman" w:hAnsi="Times New Roman" w:eastAsia="仿宋_GB2312" w:cs="Times New Roman"/>
          <w:color w:val="auto"/>
          <w:kern w:val="2"/>
          <w:sz w:val="32"/>
          <w:szCs w:val="32"/>
          <w:highlight w:val="none"/>
          <w:lang w:val="en-US" w:eastAsia="zh-CN" w:bidi="ar-SA"/>
        </w:rPr>
        <w:t>中华民族共同体建设成效显著，</w:t>
      </w:r>
      <w:r>
        <w:rPr>
          <w:rFonts w:hint="default" w:ascii="Times New Roman" w:hAnsi="Times New Roman" w:eastAsia="仿宋_GB2312" w:cs="Times New Roman"/>
          <w:color w:val="auto"/>
          <w:sz w:val="32"/>
          <w:szCs w:val="22"/>
          <w:highlight w:val="none"/>
          <w:lang w:val="en-US" w:eastAsia="zh-CN"/>
        </w:rPr>
        <w:t>社会大局持续稳定长期稳定，巩留县综合实力和人民生活水平大幅跃升，基本实现新型工业化、信息化、城镇化、农业现代化，人民生活更加幸福美好，长治久安的思想基础和物质基础更加坚实，与全国全疆同步基本实现社会主义现代化。</w:t>
      </w:r>
    </w:p>
    <w:p w14:paraId="7AD87675">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423B38EE">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43" w:name="_Toc11658"/>
      <w:bookmarkStart w:id="44" w:name="_Toc18355"/>
      <w:bookmarkStart w:id="45" w:name="_Toc19973"/>
      <w:bookmarkStart w:id="46" w:name="_Toc18710"/>
      <w:bookmarkStart w:id="47" w:name="_Toc19957"/>
      <w:bookmarkStart w:id="48" w:name="_Toc21551"/>
      <w:bookmarkStart w:id="49" w:name="_Toc454"/>
      <w:r>
        <w:rPr>
          <w:rFonts w:hint="default" w:ascii="Times New Roman" w:hAnsi="Times New Roman" w:eastAsia="黑体" w:cs="Times New Roman"/>
          <w:bCs/>
          <w:color w:val="auto"/>
          <w:kern w:val="44"/>
          <w:sz w:val="36"/>
          <w:szCs w:val="36"/>
          <w:highlight w:val="none"/>
          <w:lang w:val="en-US" w:eastAsia="zh-CN" w:bidi="ar"/>
        </w:rPr>
        <w:t xml:space="preserve">第二章  </w:t>
      </w:r>
      <w:bookmarkEnd w:id="43"/>
      <w:bookmarkEnd w:id="44"/>
      <w:r>
        <w:rPr>
          <w:rFonts w:hint="default" w:ascii="Times New Roman" w:hAnsi="Times New Roman" w:eastAsia="黑体" w:cs="Times New Roman"/>
          <w:bCs/>
          <w:color w:val="auto"/>
          <w:kern w:val="44"/>
          <w:sz w:val="36"/>
          <w:szCs w:val="36"/>
          <w:highlight w:val="none"/>
          <w:lang w:val="en-US" w:eastAsia="zh-CN" w:bidi="ar"/>
        </w:rPr>
        <w:t>围绕服务打造全国能源资源的战略保障基地，加快建设具有巩留县特色和优势的现代化产业体系</w:t>
      </w:r>
      <w:bookmarkEnd w:id="45"/>
      <w:bookmarkEnd w:id="46"/>
      <w:bookmarkEnd w:id="47"/>
    </w:p>
    <w:p w14:paraId="74CC19BA">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color w:val="auto"/>
          <w:sz w:val="32"/>
          <w:szCs w:val="22"/>
          <w:highlight w:val="none"/>
        </w:rPr>
        <w:t>坚持把发展经济的着力点放在实体经济上，立足资源禀赋，</w:t>
      </w:r>
      <w:r>
        <w:rPr>
          <w:rFonts w:hint="default" w:ascii="Times New Roman" w:hAnsi="Times New Roman" w:eastAsia="仿宋_GB2312" w:cs="Times New Roman"/>
          <w:color w:val="auto"/>
          <w:sz w:val="32"/>
          <w:szCs w:val="22"/>
          <w:highlight w:val="none"/>
          <w:lang w:val="en-US" w:eastAsia="zh-CN"/>
        </w:rPr>
        <w:t>加快推动产业链条化延伸、要素市场化配置、企业园区化集聚、集群数字化赋能，</w:t>
      </w:r>
      <w:r>
        <w:rPr>
          <w:rFonts w:hint="default" w:ascii="Times New Roman" w:hAnsi="Times New Roman" w:eastAsia="仿宋_GB2312" w:cs="Times New Roman"/>
          <w:color w:val="auto"/>
          <w:sz w:val="32"/>
          <w:szCs w:val="22"/>
          <w:highlight w:val="none"/>
        </w:rPr>
        <w:t>构建特色鲜明、绿色低碳的</w:t>
      </w:r>
      <w:r>
        <w:rPr>
          <w:rFonts w:hint="default" w:ascii="Times New Roman" w:hAnsi="Times New Roman" w:cs="Times New Roman"/>
          <w:color w:val="auto"/>
          <w:sz w:val="32"/>
          <w:szCs w:val="22"/>
          <w:highlight w:val="none"/>
          <w:lang w:eastAsia="zh-CN"/>
        </w:rPr>
        <w:t>现代化产业体系</w:t>
      </w:r>
      <w:r>
        <w:rPr>
          <w:rFonts w:hint="default" w:ascii="Times New Roman" w:hAnsi="Times New Roman" w:eastAsia="仿宋_GB2312" w:cs="Times New Roman"/>
          <w:color w:val="auto"/>
          <w:sz w:val="32"/>
          <w:szCs w:val="22"/>
          <w:highlight w:val="none"/>
        </w:rPr>
        <w:t>，为高质量发展提供坚实支撑。</w:t>
      </w:r>
    </w:p>
    <w:p w14:paraId="73E69C22">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50" w:name="_Toc21737"/>
      <w:bookmarkStart w:id="51" w:name="_Toc1323"/>
      <w:bookmarkStart w:id="52" w:name="_Toc23639"/>
      <w:bookmarkStart w:id="53" w:name="_Toc24921"/>
      <w:bookmarkStart w:id="54" w:name="_Toc7359"/>
      <w:bookmarkStart w:id="55" w:name="_Toc18247"/>
      <w:bookmarkStart w:id="56" w:name="_Toc3730"/>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50"/>
      <w:bookmarkEnd w:id="51"/>
      <w:r>
        <w:rPr>
          <w:rFonts w:hint="default" w:ascii="Times New Roman" w:hAnsi="Times New Roman" w:eastAsia="楷体_GB2312" w:cs="Times New Roman"/>
          <w:b w:val="0"/>
          <w:color w:val="auto"/>
          <w:sz w:val="32"/>
          <w:szCs w:val="32"/>
          <w:highlight w:val="none"/>
          <w:lang w:eastAsia="zh-CN"/>
        </w:rPr>
        <w:t>优化提升传统产业</w:t>
      </w:r>
      <w:bookmarkEnd w:id="52"/>
      <w:bookmarkEnd w:id="53"/>
      <w:bookmarkEnd w:id="54"/>
    </w:p>
    <w:p w14:paraId="5231F6D8">
      <w:pPr>
        <w:pStyle w:val="14"/>
        <w:widowControl/>
        <w:jc w:val="both"/>
        <w:rPr>
          <w:rFonts w:hint="default" w:ascii="Times New Roman" w:hAnsi="Times New Roman" w:eastAsia="仿宋_GB2312" w:cs="Times New Roman"/>
          <w:color w:val="auto"/>
          <w:highlight w:val="none"/>
          <w:lang w:val="en-US" w:eastAsia="zh-CN"/>
        </w:rPr>
      </w:pPr>
      <w:bookmarkStart w:id="57" w:name="_Toc15842"/>
      <w:bookmarkStart w:id="58" w:name="_Toc31144"/>
      <w:r>
        <w:rPr>
          <w:rFonts w:hint="default" w:ascii="Times New Roman" w:hAnsi="Times New Roman" w:eastAsia="仿宋_GB2312" w:cs="Times New Roman"/>
          <w:color w:val="auto"/>
          <w:highlight w:val="none"/>
        </w:rPr>
        <w:t>实施制造业技术改造升级工程，推进建材、纺织、农产品加工等重点行业提质升级，实现由</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原料级</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向</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材料级</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转变，培育产业链核心企业，提高产业链供应链稳定性和现代化水平。</w:t>
      </w:r>
      <w:bookmarkEnd w:id="57"/>
      <w:bookmarkEnd w:id="58"/>
      <w:r>
        <w:rPr>
          <w:rFonts w:hint="default" w:ascii="Times New Roman" w:hAnsi="Times New Roman" w:cs="Times New Roman"/>
          <w:color w:val="auto"/>
          <w:highlight w:val="none"/>
          <w:lang w:val="en-US" w:eastAsia="zh-CN"/>
        </w:rPr>
        <w:t>严格行业规范管理，加快传统产业转型升级，推动传统产业向产业链高端迈进，提高传统产业的附加值和竞争力。</w:t>
      </w:r>
      <w:r>
        <w:rPr>
          <w:rFonts w:hint="default" w:ascii="Times New Roman" w:hAnsi="Times New Roman" w:eastAsia="仿宋_GB2312" w:cs="Times New Roman"/>
          <w:color w:val="auto"/>
          <w:highlight w:val="none"/>
        </w:rPr>
        <w:t>深入实施产业链链长制，健全县领导联系重点产业</w:t>
      </w:r>
      <w:r>
        <w:rPr>
          <w:rFonts w:hint="default" w:ascii="Times New Roman" w:hAnsi="Times New Roman" w:cs="Times New Roman"/>
          <w:color w:val="auto"/>
          <w:highlight w:val="none"/>
          <w:lang w:eastAsia="zh-CN"/>
        </w:rPr>
        <w:t>、企业</w:t>
      </w:r>
      <w:r>
        <w:rPr>
          <w:rFonts w:hint="default" w:ascii="Times New Roman" w:hAnsi="Times New Roman" w:eastAsia="仿宋_GB2312" w:cs="Times New Roman"/>
          <w:color w:val="auto"/>
          <w:highlight w:val="none"/>
        </w:rPr>
        <w:t>工作机制，统筹推进补链、延链、强链工程，构建创新链共享、供应链协同、数据链联动、产业链协作的融通发展格局。实施产业链链主企业培育计划，打造一批具有核心竞争力的龙头企业，带动上下游企业协同发展。推动中小企业高质量成长，实施“个转企、小升规、规改股、股上市”梯度培育行动，壮大专精特新企业群体。深入实施制造业技术改造升级工程和大规模设备更新行动，推动传统产业工艺升级、数字赋能、绿色转型。实施产业基础再造工程，聚焦</w:t>
      </w:r>
      <w:r>
        <w:rPr>
          <w:rFonts w:hint="default" w:ascii="Times New Roman" w:hAnsi="Times New Roman" w:cs="Times New Roman"/>
          <w:color w:val="auto"/>
          <w:highlight w:val="none"/>
          <w:lang w:val="en-US" w:eastAsia="zh-CN"/>
        </w:rPr>
        <w:t>生物医药</w:t>
      </w:r>
      <w:r>
        <w:rPr>
          <w:rFonts w:hint="default" w:ascii="Times New Roman" w:hAnsi="Times New Roman" w:eastAsia="仿宋_GB2312" w:cs="Times New Roman"/>
          <w:color w:val="auto"/>
          <w:highlight w:val="none"/>
        </w:rPr>
        <w:t>、精细化工、新能源、新材料等重点领域，突破关键基础材料、先进基础工艺、产业技术基础等瓶颈。健全产业链质量管理体系，推进首席质量官制度，加强质量品牌标准建设。完善承接东中部产业链转移的协调机制和配套政策，吸引内地企业来巩投资兴业，促进产业协同发展。</w:t>
      </w:r>
      <w:r>
        <w:rPr>
          <w:rFonts w:hint="default" w:ascii="Times New Roman" w:hAnsi="Times New Roman" w:eastAsia="仿宋_GB2312" w:cs="Times New Roman"/>
          <w:color w:val="auto"/>
          <w:highlight w:val="none"/>
          <w:lang w:val="en-US" w:eastAsia="zh-CN"/>
        </w:rPr>
        <w:t>加快“质量三强一基”建设，系统推进强企强链强县培育和高水平质量基础设施建设，提升产品质量、工程质量、服务质量。加快推进质量强企建设，实施小微企业质量管理能力提升。加快推进质量强链建设，因地制宜推进质量强链重点项目。加快推进质量强县建设，优化质量强县培育建设指标体系和工作措施。加快质量</w:t>
      </w:r>
      <w:r>
        <w:rPr>
          <w:rFonts w:hint="default" w:ascii="Times New Roman" w:hAnsi="Times New Roman" w:cs="Times New Roman"/>
          <w:color w:val="auto"/>
          <w:highlight w:val="none"/>
          <w:lang w:val="en-US" w:eastAsia="zh-CN"/>
        </w:rPr>
        <w:t>基础设施</w:t>
      </w:r>
      <w:r>
        <w:rPr>
          <w:rFonts w:hint="default" w:ascii="Times New Roman" w:hAnsi="Times New Roman" w:eastAsia="仿宋_GB2312" w:cs="Times New Roman"/>
          <w:color w:val="auto"/>
          <w:highlight w:val="none"/>
          <w:lang w:val="en-US" w:eastAsia="zh-CN"/>
        </w:rPr>
        <w:t>建设，健全质量标准体系，建设高水平的检验检测中心，提升计量、标准、检验检测、认证认可、知识产权等一体化服务能力。到2030年，主要工业产品质量抽检合格率提升至98%以上。</w:t>
      </w:r>
    </w:p>
    <w:p w14:paraId="09CE86A2">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59" w:name="_Toc3080"/>
      <w:bookmarkStart w:id="60" w:name="_Toc21125"/>
      <w:bookmarkStart w:id="61" w:name="_Toc30814"/>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二</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加快发展绿色矿业产业</w:t>
      </w:r>
      <w:bookmarkEnd w:id="55"/>
      <w:bookmarkEnd w:id="56"/>
      <w:bookmarkEnd w:id="59"/>
      <w:bookmarkEnd w:id="60"/>
      <w:bookmarkEnd w:id="61"/>
    </w:p>
    <w:p w14:paraId="5C41C271">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color w:val="auto"/>
          <w:sz w:val="32"/>
          <w:szCs w:val="22"/>
          <w:highlight w:val="none"/>
          <w:lang w:val="en-US" w:eastAsia="zh-CN"/>
        </w:rPr>
        <w:t>统筹矿产资源勘查、开发与保护，推进矿业资源绿色高效开发利用，健全集矿产勘查、开采、冶炼、加工、销售为一体的全产业链体系。</w:t>
      </w:r>
    </w:p>
    <w:p w14:paraId="22C6A21D">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color w:val="auto"/>
          <w:sz w:val="32"/>
          <w:szCs w:val="22"/>
          <w:highlight w:val="none"/>
          <w:lang w:val="en-US" w:eastAsia="zh-CN"/>
        </w:rPr>
      </w:pPr>
      <w:bookmarkStart w:id="62" w:name="_Toc15970"/>
      <w:r>
        <w:rPr>
          <w:rFonts w:hint="default" w:ascii="Times New Roman" w:hAnsi="Times New Roman" w:eastAsia="仿宋_GB2312" w:cs="Times New Roman"/>
          <w:b/>
          <w:bCs/>
          <w:color w:val="auto"/>
          <w:sz w:val="32"/>
          <w:szCs w:val="22"/>
          <w:highlight w:val="none"/>
          <w:lang w:val="en-US" w:eastAsia="zh-CN"/>
        </w:rPr>
        <w:t>加快矿产资源勘探开发。</w:t>
      </w:r>
      <w:r>
        <w:rPr>
          <w:rFonts w:hint="default" w:ascii="Times New Roman" w:hAnsi="Times New Roman" w:eastAsia="仿宋_GB2312" w:cs="Times New Roman"/>
          <w:color w:val="auto"/>
          <w:sz w:val="32"/>
          <w:szCs w:val="22"/>
          <w:highlight w:val="none"/>
          <w:lang w:val="en-US" w:eastAsia="zh-CN"/>
        </w:rPr>
        <w:t>落实自治区新一轮找矿突破战略行动，全面开展县域内矿产资源潜力调查与勘查工作，重点推进金、银、铜、铅锌等金属矿以及玄武岩、石英砂等非金属矿的资源摸底，建立动态更新的矿产资源数据库，夯实资源家底。</w:t>
      </w:r>
      <w:r>
        <w:rPr>
          <w:rFonts w:hint="default" w:ascii="Times New Roman" w:hAnsi="Times New Roman" w:cs="Times New Roman"/>
          <w:color w:val="auto"/>
          <w:sz w:val="32"/>
          <w:szCs w:val="22"/>
          <w:highlight w:val="none"/>
          <w:lang w:val="en-US" w:eastAsia="zh-CN"/>
        </w:rPr>
        <w:t>加强中低品位石灰岩资源的分选，引进先进浮选与提纯工艺。</w:t>
      </w:r>
      <w:r>
        <w:rPr>
          <w:rFonts w:hint="default" w:ascii="Times New Roman" w:hAnsi="Times New Roman" w:eastAsia="仿宋_GB2312" w:cs="Times New Roman"/>
          <w:color w:val="auto"/>
          <w:sz w:val="32"/>
          <w:szCs w:val="22"/>
          <w:highlight w:val="none"/>
          <w:lang w:val="en-US" w:eastAsia="zh-CN"/>
        </w:rPr>
        <w:t>强化矿产资源开发统筹管理，加快重点探矿权和采矿权的挂牌出让，推动已有探矿权探转采</w:t>
      </w:r>
      <w:r>
        <w:rPr>
          <w:rFonts w:hint="default" w:ascii="Times New Roman" w:hAnsi="Times New Roman" w:cs="Times New Roman"/>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推动具备条件的项目尽快落地实施。</w:t>
      </w:r>
    </w:p>
    <w:p w14:paraId="6E2246EE">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推进矿产资源精深加工。</w:t>
      </w:r>
      <w:r>
        <w:rPr>
          <w:rFonts w:hint="default" w:ascii="Times New Roman" w:hAnsi="Times New Roman" w:eastAsia="仿宋_GB2312" w:cs="Times New Roman"/>
          <w:color w:val="auto"/>
          <w:sz w:val="32"/>
          <w:szCs w:val="22"/>
          <w:highlight w:val="none"/>
          <w:lang w:val="en-US" w:eastAsia="zh-CN"/>
        </w:rPr>
        <w:t>加强中低品位石灰岩资源的梯级高值利用技术研发，引进先进浮选与提纯工艺，发展水泥建材、冶金熔剂等深加工产业链条。</w:t>
      </w:r>
      <w:r>
        <w:rPr>
          <w:rFonts w:hint="default" w:ascii="Times New Roman" w:hAnsi="Times New Roman" w:cs="Times New Roman"/>
          <w:color w:val="auto"/>
          <w:sz w:val="32"/>
          <w:szCs w:val="22"/>
          <w:highlight w:val="none"/>
          <w:lang w:val="en-US" w:eastAsia="zh-CN"/>
        </w:rPr>
        <w:t>推进以煤基化学品为原料，生产高技术含量、高附加值的化工新材料和精细化学品的项目，积极推进下游及高端产品聚乙烯、聚丙烯、精细化学品（苯酚、己二酸等）、碳材料等建设。</w:t>
      </w:r>
      <w:r>
        <w:rPr>
          <w:rFonts w:hint="default" w:ascii="Times New Roman" w:hAnsi="Times New Roman" w:eastAsia="仿宋_GB2312" w:cs="Times New Roman"/>
          <w:color w:val="auto"/>
          <w:sz w:val="32"/>
          <w:szCs w:val="22"/>
          <w:highlight w:val="none"/>
          <w:lang w:val="en-US" w:eastAsia="zh-CN"/>
        </w:rPr>
        <w:t>依托巩留工业园区，培育集矿产勘查、采选、综合利用、冶炼及深加工于一体的绿色矿业全产业链，推动资源优势加快向产业优势、经济优势转化。</w:t>
      </w:r>
    </w:p>
    <w:p w14:paraId="19C4A4D3">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63" w:name="_Toc18311"/>
      <w:bookmarkStart w:id="64" w:name="_Toc187"/>
      <w:bookmarkStart w:id="65" w:name="_Toc22736"/>
      <w:bookmarkStart w:id="66" w:name="_Toc10748"/>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62"/>
      <w:r>
        <w:rPr>
          <w:rFonts w:hint="default" w:ascii="Times New Roman" w:hAnsi="Times New Roman" w:eastAsia="楷体_GB2312" w:cs="Times New Roman"/>
          <w:b w:val="0"/>
          <w:color w:val="auto"/>
          <w:sz w:val="32"/>
          <w:szCs w:val="32"/>
          <w:highlight w:val="none"/>
          <w:lang w:eastAsia="zh-CN"/>
        </w:rPr>
        <w:t>提质升级新能源产业</w:t>
      </w:r>
      <w:bookmarkEnd w:id="63"/>
      <w:bookmarkEnd w:id="64"/>
      <w:bookmarkEnd w:id="65"/>
      <w:bookmarkEnd w:id="66"/>
    </w:p>
    <w:p w14:paraId="71462B93">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充分发挥巩留县风光资源丰富、水资源充足的优势，加快推进新能源产业规模化、集约化发展。</w:t>
      </w:r>
    </w:p>
    <w:p w14:paraId="11AFDB5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实施</w:t>
      </w:r>
      <w:r>
        <w:rPr>
          <w:rFonts w:hint="default" w:ascii="Times New Roman" w:hAnsi="Times New Roman" w:cs="Times New Roman"/>
          <w:b/>
          <w:bCs/>
          <w:color w:val="auto"/>
          <w:highlight w:val="none"/>
          <w:lang w:val="en-US" w:eastAsia="zh-CN"/>
        </w:rPr>
        <w:t>清洁</w:t>
      </w:r>
      <w:r>
        <w:rPr>
          <w:rFonts w:hint="default" w:ascii="Times New Roman" w:hAnsi="Times New Roman" w:eastAsia="仿宋_GB2312" w:cs="Times New Roman"/>
          <w:b/>
          <w:bCs/>
          <w:color w:val="auto"/>
          <w:highlight w:val="none"/>
          <w:lang w:val="en-US" w:eastAsia="zh-CN"/>
        </w:rPr>
        <w:t>能源开发倍增提质行动。</w:t>
      </w:r>
      <w:r>
        <w:rPr>
          <w:rFonts w:hint="default" w:ascii="Times New Roman" w:hAnsi="Times New Roman" w:eastAsia="仿宋_GB2312" w:cs="Times New Roman"/>
          <w:color w:val="auto"/>
          <w:highlight w:val="none"/>
          <w:lang w:val="en-US" w:eastAsia="zh-CN"/>
        </w:rPr>
        <w:t>充分发挥巩留县风光资源丰富、水资源充足的优势，加快推进新能源产业规模化、集约化发展。巩固提升现有水电产业基础，有序推进中小流域水电站优化升级。</w:t>
      </w:r>
      <w:r>
        <w:rPr>
          <w:rFonts w:hint="default" w:ascii="Times New Roman" w:hAnsi="Times New Roman" w:cs="Times New Roman"/>
          <w:color w:val="auto"/>
          <w:highlight w:val="none"/>
          <w:lang w:val="en-US" w:eastAsia="zh-CN"/>
        </w:rPr>
        <w:t>合理布局集中式和分布式新能源项目，</w:t>
      </w:r>
      <w:r>
        <w:rPr>
          <w:rFonts w:hint="default" w:ascii="Times New Roman" w:hAnsi="Times New Roman" w:eastAsia="仿宋_GB2312" w:cs="Times New Roman"/>
          <w:color w:val="auto"/>
          <w:highlight w:val="none"/>
          <w:lang w:val="en-US" w:eastAsia="zh-CN"/>
        </w:rPr>
        <w:t>打造区域清洁能源供应基地。积极对接国家氢能产业发展战略，探索“绿电—绿氢—绿氨”产业链布局，推动氢能在化工、交通等领域的示范应用。推广“草光互补”“农光互补”等融合发展模式，实现新能源开发与生态保护、乡村振兴协同推进。优化新能源项目审批服务机制，强化用地、电网接入等要素保障，推动新能源产业高质量发展。</w:t>
      </w:r>
    </w:p>
    <w:p w14:paraId="77687116">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color w:val="auto"/>
          <w:sz w:val="32"/>
          <w:szCs w:val="22"/>
          <w:highlight w:val="none"/>
        </w:rPr>
      </w:pPr>
      <w:bookmarkStart w:id="67" w:name="_Toc24046"/>
      <w:bookmarkStart w:id="68" w:name="_Toc12947"/>
      <w:r>
        <w:rPr>
          <w:rFonts w:hint="default" w:ascii="Times New Roman" w:hAnsi="Times New Roman" w:eastAsia="仿宋_GB2312" w:cs="Times New Roman"/>
          <w:b/>
          <w:bCs/>
          <w:color w:val="auto"/>
          <w:sz w:val="32"/>
          <w:szCs w:val="22"/>
          <w:highlight w:val="none"/>
          <w:lang w:val="en-US" w:eastAsia="zh-CN"/>
        </w:rPr>
        <w:t>提升新能源就地消纳能力。</w:t>
      </w:r>
      <w:r>
        <w:rPr>
          <w:rFonts w:hint="default" w:ascii="Times New Roman" w:hAnsi="Times New Roman" w:eastAsia="仿宋_GB2312" w:cs="Times New Roman"/>
          <w:color w:val="auto"/>
          <w:sz w:val="32"/>
          <w:szCs w:val="22"/>
          <w:highlight w:val="none"/>
          <w:lang w:val="en-US" w:eastAsia="zh-CN"/>
        </w:rPr>
        <w:t>以“</w:t>
      </w:r>
      <w:r>
        <w:rPr>
          <w:rFonts w:hint="default" w:ascii="Times New Roman" w:hAnsi="Times New Roman" w:cs="Times New Roman"/>
          <w:color w:val="auto"/>
          <w:sz w:val="32"/>
          <w:szCs w:val="22"/>
          <w:highlight w:val="none"/>
          <w:lang w:val="en-US" w:eastAsia="zh-CN"/>
        </w:rPr>
        <w:t>绿电直连</w:t>
      </w:r>
      <w:r>
        <w:rPr>
          <w:rFonts w:hint="default" w:ascii="Times New Roman" w:hAnsi="Times New Roman" w:eastAsia="仿宋_GB2312" w:cs="Times New Roman"/>
          <w:color w:val="auto"/>
          <w:sz w:val="32"/>
          <w:szCs w:val="22"/>
          <w:highlight w:val="none"/>
          <w:lang w:val="en-US" w:eastAsia="zh-CN"/>
        </w:rPr>
        <w:t>”和多能互补为支撑，规划建设配套储能设施。聚焦工业、农业、居民等多元场景需求，推广分布式光伏、用户侧储能及微电网技术，支持园区、企业建设绿电直供系统，推动新能源与特色产业深度融合。建设智能电网调度平台，优化电化学储能、共享储能站等设施布局，提高新能源消纳灵活性。</w:t>
      </w:r>
    </w:p>
    <w:bookmarkEnd w:id="67"/>
    <w:bookmarkEnd w:id="68"/>
    <w:p w14:paraId="45177783">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69" w:name="_Toc10071"/>
      <w:bookmarkStart w:id="70" w:name="_Toc24709"/>
      <w:bookmarkStart w:id="71" w:name="_Toc12899"/>
      <w:bookmarkStart w:id="72" w:name="_Toc31604"/>
      <w:bookmarkStart w:id="73" w:name="_Toc31904"/>
      <w:bookmarkStart w:id="74" w:name="_Toc15168"/>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加快推进</w:t>
      </w:r>
      <w:r>
        <w:rPr>
          <w:rFonts w:hint="default" w:ascii="Times New Roman" w:hAnsi="Times New Roman" w:eastAsia="楷体_GB2312" w:cs="Times New Roman"/>
          <w:b w:val="0"/>
          <w:color w:val="auto"/>
          <w:sz w:val="32"/>
          <w:szCs w:val="32"/>
          <w:highlight w:val="none"/>
          <w:lang w:eastAsia="zh-CN"/>
        </w:rPr>
        <w:t>新材料产业</w:t>
      </w:r>
      <w:bookmarkEnd w:id="69"/>
      <w:bookmarkEnd w:id="70"/>
      <w:bookmarkEnd w:id="71"/>
    </w:p>
    <w:p w14:paraId="795399E1">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lang w:val="en-US" w:eastAsia="zh-CN"/>
        </w:rPr>
        <w:t>立足</w:t>
      </w:r>
      <w:r>
        <w:rPr>
          <w:rFonts w:hint="default" w:ascii="Times New Roman" w:hAnsi="Times New Roman" w:eastAsia="仿宋_GB2312" w:cs="Times New Roman"/>
          <w:color w:val="auto"/>
          <w:highlight w:val="none"/>
        </w:rPr>
        <w:t>铝基、硅基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钙基</w:t>
      </w:r>
      <w:r>
        <w:rPr>
          <w:rFonts w:hint="default" w:ascii="Times New Roman" w:hAnsi="Times New Roman" w:eastAsia="仿宋_GB2312" w:cs="Times New Roman"/>
          <w:color w:val="auto"/>
          <w:highlight w:val="none"/>
        </w:rPr>
        <w:t>等</w:t>
      </w:r>
      <w:r>
        <w:rPr>
          <w:rFonts w:hint="default" w:ascii="Times New Roman" w:hAnsi="Times New Roman" w:eastAsia="仿宋_GB2312" w:cs="Times New Roman"/>
          <w:color w:val="auto"/>
          <w:sz w:val="32"/>
          <w:szCs w:val="22"/>
          <w:highlight w:val="none"/>
          <w:lang w:val="en-US" w:eastAsia="zh-CN"/>
        </w:rPr>
        <w:t>资源禀赋与现有产业基础，抢抓新材料产业发展机遇，全力推动产业向绿色化、高端化、集群化方向跃升。</w:t>
      </w:r>
    </w:p>
    <w:p w14:paraId="73F57262">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推进铝基新材料产业延链补链强链</w:t>
      </w:r>
      <w:r>
        <w:rPr>
          <w:rFonts w:hint="default" w:ascii="Times New Roman" w:hAnsi="Times New Roman" w:cs="Times New Roman"/>
          <w:b/>
          <w:bCs/>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加快国容电子二期项目建</w:t>
      </w:r>
      <w:r>
        <w:rPr>
          <w:rFonts w:hint="default" w:ascii="Times New Roman" w:hAnsi="Times New Roman" w:cs="Times New Roman"/>
          <w:color w:val="auto"/>
          <w:sz w:val="32"/>
          <w:szCs w:val="22"/>
          <w:highlight w:val="none"/>
          <w:lang w:val="en-US" w:eastAsia="zh-CN"/>
        </w:rPr>
        <w:t>设</w:t>
      </w:r>
      <w:r>
        <w:rPr>
          <w:rFonts w:hint="default" w:ascii="Times New Roman" w:hAnsi="Times New Roman" w:eastAsia="仿宋_GB2312" w:cs="Times New Roman"/>
          <w:color w:val="auto"/>
          <w:sz w:val="32"/>
          <w:szCs w:val="22"/>
          <w:highlight w:val="none"/>
          <w:lang w:val="en-US" w:eastAsia="zh-CN"/>
        </w:rPr>
        <w:t>，确保化成箔生产线稳定高效运行，延伸下游电子元器件等产业链条。鼓励企业与绿电企业深度合作，推动铝基材料生产环节绿电消纳，建设绿色低碳铝基新材料示范生产线。加强与行业龙头企业对接，引进铝精深加工项目，提升产品附加值，打造区域铝基新材料产业高地。</w:t>
      </w:r>
    </w:p>
    <w:p w14:paraId="408BEA42">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开展硅基与钙基新材料协同创新发展</w:t>
      </w:r>
      <w:r>
        <w:rPr>
          <w:rFonts w:hint="default" w:ascii="Times New Roman" w:hAnsi="Times New Roman" w:cs="Times New Roman"/>
          <w:b/>
          <w:bCs/>
          <w:color w:val="auto"/>
          <w:sz w:val="32"/>
          <w:szCs w:val="22"/>
          <w:highlight w:val="none"/>
          <w:lang w:val="en-US" w:eastAsia="zh-CN"/>
        </w:rPr>
        <w:t>。</w:t>
      </w:r>
      <w:r>
        <w:rPr>
          <w:rFonts w:hint="default" w:ascii="Times New Roman" w:hAnsi="Times New Roman" w:eastAsia="仿宋_GB2312" w:cs="Times New Roman"/>
          <w:b w:val="0"/>
          <w:bCs w:val="0"/>
          <w:color w:val="auto"/>
          <w:sz w:val="32"/>
          <w:szCs w:val="22"/>
          <w:highlight w:val="none"/>
          <w:lang w:val="en-US" w:eastAsia="zh-CN"/>
        </w:rPr>
        <w:t>推动硅基产业</w:t>
      </w:r>
      <w:r>
        <w:rPr>
          <w:rFonts w:hint="default" w:ascii="Times New Roman" w:hAnsi="Times New Roman" w:eastAsia="仿宋_GB2312" w:cs="Times New Roman"/>
          <w:color w:val="auto"/>
          <w:sz w:val="32"/>
          <w:szCs w:val="22"/>
          <w:highlight w:val="none"/>
          <w:lang w:val="en-US" w:eastAsia="zh-CN"/>
        </w:rPr>
        <w:t>技术改造升级，</w:t>
      </w:r>
      <w:r>
        <w:rPr>
          <w:rFonts w:hint="default" w:ascii="Times New Roman" w:hAnsi="Times New Roman" w:cs="Times New Roman"/>
          <w:b w:val="0"/>
          <w:bCs w:val="0"/>
          <w:color w:val="auto"/>
          <w:sz w:val="32"/>
          <w:szCs w:val="22"/>
          <w:highlight w:val="none"/>
          <w:lang w:val="en-US" w:eastAsia="zh-CN"/>
        </w:rPr>
        <w:t>实施晶维克技改项目，推进工业硅生产线复工增产。</w:t>
      </w:r>
      <w:r>
        <w:rPr>
          <w:rFonts w:hint="default" w:ascii="Times New Roman" w:hAnsi="Times New Roman" w:eastAsia="仿宋_GB2312" w:cs="Times New Roman"/>
          <w:color w:val="auto"/>
          <w:sz w:val="32"/>
          <w:szCs w:val="22"/>
          <w:highlight w:val="none"/>
          <w:lang w:val="en-US" w:eastAsia="zh-CN"/>
        </w:rPr>
        <w:t>提升高纯石英砂提纯工艺水平，拓展光伏玻璃、锂电池负极材料等下游应用领域。依托本地钙资源优势，培育新型环保钙基材料产业，开发新型建材、水处理剂等产品。加强与区内外科研院所合作，共建新材料研发中心，开展高性能复合材料、纳米材料等前沿技术研发，推动成果转化应用，增强产业核心竞争力。</w:t>
      </w:r>
    </w:p>
    <w:p w14:paraId="55AA1090">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75" w:name="_Toc16736"/>
      <w:bookmarkStart w:id="76" w:name="_Toc29061"/>
      <w:bookmarkStart w:id="77" w:name="_Toc15478"/>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五</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72"/>
      <w:r>
        <w:rPr>
          <w:rFonts w:hint="default" w:ascii="Times New Roman" w:hAnsi="Times New Roman" w:eastAsia="楷体_GB2312" w:cs="Times New Roman"/>
          <w:b w:val="0"/>
          <w:color w:val="auto"/>
          <w:sz w:val="32"/>
          <w:szCs w:val="32"/>
          <w:highlight w:val="none"/>
          <w:lang w:val="en-US" w:eastAsia="zh-CN"/>
        </w:rPr>
        <w:t>提速发展生物医药产业</w:t>
      </w:r>
      <w:bookmarkEnd w:id="73"/>
      <w:bookmarkEnd w:id="75"/>
      <w:bookmarkEnd w:id="76"/>
      <w:bookmarkEnd w:id="77"/>
    </w:p>
    <w:p w14:paraId="699FF468">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 w:val="0"/>
          <w:bCs w:val="0"/>
          <w:color w:val="auto"/>
          <w:sz w:val="32"/>
          <w:szCs w:val="22"/>
          <w:highlight w:val="none"/>
        </w:rPr>
      </w:pPr>
      <w:bookmarkStart w:id="78" w:name="_Toc20774"/>
      <w:r>
        <w:rPr>
          <w:rFonts w:hint="default" w:ascii="Times New Roman" w:hAnsi="Times New Roman" w:eastAsia="仿宋_GB2312" w:cs="Times New Roman"/>
          <w:color w:val="auto"/>
          <w:sz w:val="32"/>
          <w:szCs w:val="22"/>
          <w:highlight w:val="none"/>
        </w:rPr>
        <w:t>聚焦生物制药与中药两大领域，</w:t>
      </w:r>
      <w:r>
        <w:rPr>
          <w:rFonts w:hint="default" w:ascii="Times New Roman" w:hAnsi="Times New Roman" w:eastAsia="仿宋_GB2312" w:cs="Times New Roman"/>
          <w:color w:val="auto"/>
          <w:sz w:val="32"/>
          <w:szCs w:val="22"/>
          <w:highlight w:val="none"/>
          <w:lang w:val="en-US" w:eastAsia="zh-CN"/>
        </w:rPr>
        <w:t>建立健全生物医药全产业链创新发展体系，</w:t>
      </w:r>
      <w:r>
        <w:rPr>
          <w:rFonts w:hint="default" w:ascii="Times New Roman" w:hAnsi="Times New Roman" w:eastAsia="仿宋_GB2312" w:cs="Times New Roman"/>
          <w:color w:val="auto"/>
          <w:sz w:val="32"/>
          <w:szCs w:val="22"/>
          <w:highlight w:val="none"/>
        </w:rPr>
        <w:t>推动产业规模化、高端化发展。</w:t>
      </w:r>
    </w:p>
    <w:p w14:paraId="30878662">
      <w:pPr>
        <w:pStyle w:val="14"/>
        <w:keepNext w:val="0"/>
        <w:keepLines w:val="0"/>
        <w:pageBreakBefore w:val="0"/>
        <w:widowControl/>
        <w:kinsoku/>
        <w:wordWrap/>
        <w:overflowPunct/>
        <w:topLinePunct w:val="0"/>
        <w:autoSpaceDE/>
        <w:autoSpaceDN/>
        <w:bidi w:val="0"/>
        <w:adjustRightInd/>
        <w:snapToGrid/>
        <w:spacing w:line="560" w:lineRule="exact"/>
        <w:ind w:right="0" w:rightChars="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b/>
          <w:bCs/>
          <w:color w:val="auto"/>
          <w:sz w:val="32"/>
          <w:szCs w:val="22"/>
          <w:highlight w:val="none"/>
        </w:rPr>
        <w:t>积极推进中药产业。</w:t>
      </w:r>
      <w:r>
        <w:rPr>
          <w:rFonts w:hint="default" w:ascii="Times New Roman" w:hAnsi="Times New Roman" w:eastAsia="仿宋_GB2312" w:cs="Times New Roman"/>
          <w:color w:val="auto"/>
          <w:sz w:val="32"/>
          <w:szCs w:val="22"/>
          <w:highlight w:val="none"/>
          <w:lang w:val="en-US" w:eastAsia="zh-CN"/>
        </w:rPr>
        <w:t>稳定贝母、黄芪、甘草、甜叶菊、艾草等中草药种植规模，对雪莲进行保护性开发</w:t>
      </w:r>
      <w:r>
        <w:rPr>
          <w:rFonts w:hint="default" w:ascii="Times New Roman" w:hAnsi="Times New Roman" w:eastAsia="仿宋_GB2312" w:cs="Times New Roman"/>
          <w:color w:val="auto"/>
          <w:sz w:val="32"/>
          <w:szCs w:val="22"/>
          <w:highlight w:val="none"/>
        </w:rPr>
        <w:t>，建设规范化、标准化中药材种植基地，推广绿色生态种植模式，提升药材品质和产量</w:t>
      </w:r>
      <w:r>
        <w:rPr>
          <w:rFonts w:hint="default" w:ascii="Times New Roman" w:hAnsi="Times New Roman"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lang w:val="en-US" w:eastAsia="zh-CN"/>
        </w:rPr>
        <w:t>规范发展特色中药材提取物系列产业</w:t>
      </w:r>
      <w:r>
        <w:rPr>
          <w:rFonts w:hint="default" w:ascii="Times New Roman" w:hAnsi="Times New Roman" w:cs="Times New Roman"/>
          <w:color w:val="auto"/>
          <w:sz w:val="32"/>
          <w:szCs w:val="22"/>
          <w:highlight w:val="none"/>
          <w:lang w:val="en-US" w:eastAsia="zh-CN"/>
        </w:rPr>
        <w:t>。推进</w:t>
      </w:r>
      <w:r>
        <w:rPr>
          <w:rFonts w:hint="default" w:ascii="Times New Roman" w:hAnsi="Times New Roman" w:cs="Times New Roman"/>
          <w:color w:val="auto"/>
          <w:highlight w:val="none"/>
          <w:lang w:eastAsia="zh-CN"/>
        </w:rPr>
        <w:t>中药材产地趁鲜切制加工项目</w:t>
      </w:r>
      <w:r>
        <w:rPr>
          <w:rFonts w:hint="default" w:ascii="Times New Roman" w:hAnsi="Times New Roman" w:cs="Times New Roman"/>
          <w:color w:val="auto"/>
          <w:highlight w:val="none"/>
          <w:lang w:val="en-US" w:eastAsia="zh-CN"/>
        </w:rPr>
        <w:t>建设</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sz w:val="32"/>
          <w:szCs w:val="22"/>
          <w:highlight w:val="none"/>
        </w:rPr>
        <w:t>开发中药配方颗粒、保健品、功能性食品等精深加工产品，推动中药材由初级加工向高附加值产品延伸。加强与科研机构合作，开展中药材有效成分提取、药理研究和新药研发，提升产业科技含量</w:t>
      </w:r>
      <w:r>
        <w:rPr>
          <w:rFonts w:hint="default" w:ascii="Times New Roman" w:hAnsi="Times New Roman" w:eastAsia="仿宋_GB2312"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lang w:val="en-US" w:eastAsia="zh-CN"/>
        </w:rPr>
        <w:t>加大开发中药民族药古代经典名方、缓控释口服制剂、化学制剂等</w:t>
      </w:r>
      <w:r>
        <w:rPr>
          <w:rFonts w:hint="default" w:ascii="Times New Roman" w:hAnsi="Times New Roman" w:eastAsia="仿宋_GB2312" w:cs="Times New Roman"/>
          <w:color w:val="auto"/>
          <w:sz w:val="32"/>
          <w:szCs w:val="22"/>
          <w:highlight w:val="none"/>
        </w:rPr>
        <w:t>。</w:t>
      </w:r>
    </w:p>
    <w:p w14:paraId="4E8A7AD9">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79" w:name="_Toc19509"/>
      <w:bookmarkStart w:id="80" w:name="_Toc12106"/>
      <w:bookmarkStart w:id="81" w:name="_Toc23553"/>
    </w:p>
    <w:p w14:paraId="06010BFF">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r>
        <w:rPr>
          <w:rFonts w:hint="default" w:ascii="Times New Roman" w:hAnsi="Times New Roman" w:eastAsia="楷体_GB2312" w:cs="Times New Roman"/>
          <w:b w:val="0"/>
          <w:color w:val="auto"/>
          <w:sz w:val="32"/>
          <w:szCs w:val="32"/>
          <w:highlight w:val="none"/>
          <w:lang w:val="en-US" w:eastAsia="zh-CN"/>
        </w:rPr>
        <w:t>第</w:t>
      </w:r>
      <w:r>
        <w:rPr>
          <w:rFonts w:hint="default" w:cs="Times New Roman"/>
          <w:b w:val="0"/>
          <w:color w:val="auto"/>
          <w:sz w:val="32"/>
          <w:szCs w:val="32"/>
          <w:highlight w:val="none"/>
          <w:lang w:eastAsia="zh-CN"/>
        </w:rPr>
        <w:t>六</w:t>
      </w:r>
      <w:r>
        <w:rPr>
          <w:rFonts w:hint="default" w:ascii="Times New Roman" w:hAnsi="Times New Roman" w:eastAsia="楷体_GB2312" w:cs="Times New Roman"/>
          <w:b w:val="0"/>
          <w:color w:val="auto"/>
          <w:sz w:val="32"/>
          <w:szCs w:val="32"/>
          <w:highlight w:val="none"/>
          <w:lang w:val="en-US" w:eastAsia="zh-CN"/>
        </w:rPr>
        <w:t>节 推进农副产品精深加工</w:t>
      </w:r>
      <w:bookmarkEnd w:id="79"/>
      <w:bookmarkEnd w:id="80"/>
      <w:bookmarkEnd w:id="81"/>
    </w:p>
    <w:p w14:paraId="4BF26BD9">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抓好“粮头食尾、畜头肉尾、农头工尾”，深入实施促进农产品加工业高质量发展三年行动，着力打造农牧产品精深加工基地。</w:t>
      </w:r>
    </w:p>
    <w:p w14:paraId="3F24ECBA">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全面提升农产品加工业发展能级</w:t>
      </w:r>
      <w:r>
        <w:rPr>
          <w:rFonts w:hint="default" w:ascii="Times New Roman" w:hAnsi="Times New Roman" w:cs="Times New Roman"/>
          <w:b/>
          <w:bCs/>
          <w:color w:val="auto"/>
          <w:highlight w:val="none"/>
          <w:lang w:val="en-US" w:eastAsia="zh-CN"/>
        </w:rPr>
        <w:t>。</w:t>
      </w:r>
      <w:r>
        <w:rPr>
          <w:rFonts w:hint="default" w:ascii="Times New Roman" w:hAnsi="Times New Roman" w:eastAsia="仿宋_GB2312" w:cs="Times New Roman"/>
          <w:color w:val="auto"/>
          <w:highlight w:val="none"/>
          <w:lang w:val="en-US" w:eastAsia="zh-CN"/>
        </w:rPr>
        <w:t>重点扶持以创锦佳禾为龙头的粮油加工产业，以登海种业、疆宁生物、九河谷食品、嘉克斯商贸为龙头的玉米加工产业，以欣嘉药业为龙头的中药材产业，以华凌农牧为龙头的肉牛肉羊产业，以那拉乳业、本源乳业、佳和乳业、阿斯迈乳业为龙头的乳制品产业，以伊犁农投、瑧疆伊品为龙头的特色林果产业，以天蕴渔业、伊河鲟业为龙头的冷水鱼产业</w:t>
      </w:r>
      <w:r>
        <w:rPr>
          <w:rFonts w:hint="default" w:ascii="Times New Roman" w:hAnsi="Times New Roman" w:cs="Times New Roman"/>
          <w:color w:val="auto"/>
          <w:highlight w:val="none"/>
          <w:lang w:val="en-US" w:eastAsia="zh-CN"/>
        </w:rPr>
        <w:t>等农业产业化重点龙头企业扩大生产规模，建设和完善农产品加工技术研发体系，支持农产品加工企业装备设备更新，推动农产品加工业向高端化、智能化、绿色化升级。</w:t>
      </w:r>
    </w:p>
    <w:p w14:paraId="1C14E99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加快农产品市场开拓</w:t>
      </w:r>
      <w:r>
        <w:rPr>
          <w:rFonts w:hint="default" w:ascii="Times New Roman" w:hAnsi="Times New Roman" w:cs="Times New Roman"/>
          <w:b/>
          <w:bCs/>
          <w:color w:val="auto"/>
          <w:highlight w:val="none"/>
          <w:lang w:val="en-US" w:eastAsia="zh-CN"/>
        </w:rPr>
        <w:t>。</w:t>
      </w:r>
      <w:r>
        <w:rPr>
          <w:rFonts w:hint="default" w:ascii="Times New Roman" w:hAnsi="Times New Roman" w:eastAsia="仿宋_GB2312" w:cs="Times New Roman"/>
          <w:color w:val="auto"/>
          <w:highlight w:val="none"/>
          <w:lang w:val="en-US" w:eastAsia="zh-CN"/>
        </w:rPr>
        <w:t>扎实推进产销对接，充分用好张家港援巩机制，加强农产品县内收购和县外销售“两张网”建设，依托供销系统企业、农产品电商展销中心在内地中心城市设立直销店、前置仓和办事处，积极组织县城涉农企业参加各类农展会、农交会和农洽会，打造“润疆好物”“恰西郡主”等巩留特色农副产品品牌，加大线上线下农产品营销推介、网红直播带货等活动力度，着力推进巩留农副产品走向全国。</w:t>
      </w:r>
    </w:p>
    <w:p w14:paraId="300C6BD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82" w:name="_Toc21919"/>
      <w:bookmarkStart w:id="83" w:name="_Toc12759"/>
      <w:bookmarkStart w:id="84" w:name="_Toc13507"/>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七</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74"/>
      <w:bookmarkEnd w:id="78"/>
      <w:r>
        <w:rPr>
          <w:rFonts w:hint="default" w:ascii="Times New Roman" w:hAnsi="Times New Roman" w:cs="Times New Roman"/>
          <w:b w:val="0"/>
          <w:color w:val="auto"/>
          <w:sz w:val="32"/>
          <w:szCs w:val="32"/>
          <w:highlight w:val="none"/>
          <w:lang w:val="en-US" w:eastAsia="zh-CN"/>
        </w:rPr>
        <w:t>培育壮大新兴产业</w:t>
      </w:r>
      <w:r>
        <w:rPr>
          <w:rFonts w:hint="default" w:ascii="Times New Roman" w:hAnsi="Times New Roman" w:eastAsia="楷体_GB2312" w:cs="Times New Roman"/>
          <w:b w:val="0"/>
          <w:color w:val="auto"/>
          <w:sz w:val="32"/>
          <w:szCs w:val="32"/>
          <w:highlight w:val="none"/>
          <w:lang w:eastAsia="zh-CN"/>
        </w:rPr>
        <w:t>新赛道</w:t>
      </w:r>
      <w:bookmarkEnd w:id="82"/>
      <w:bookmarkEnd w:id="83"/>
      <w:bookmarkEnd w:id="84"/>
    </w:p>
    <w:p w14:paraId="480D1E5A">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bookmarkStart w:id="85" w:name="_Toc21652"/>
      <w:r>
        <w:rPr>
          <w:rFonts w:hint="default" w:ascii="Times New Roman" w:hAnsi="Times New Roman" w:eastAsia="仿宋_GB2312" w:cs="Times New Roman"/>
          <w:color w:val="auto"/>
          <w:highlight w:val="none"/>
          <w:lang w:val="en-US" w:eastAsia="zh-CN"/>
        </w:rPr>
        <w:t>强化新兴产业和未来产业前瞻战略谋划、应用场景拓展，加快培育氢能、绿色算力、低空经济等一批具有核心竞争力的新兴产业。</w:t>
      </w:r>
    </w:p>
    <w:p w14:paraId="7A27DC1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提速发展氢能产业。</w:t>
      </w:r>
      <w:r>
        <w:rPr>
          <w:rFonts w:hint="default" w:ascii="Times New Roman" w:hAnsi="Times New Roman" w:eastAsia="仿宋_GB2312" w:cs="Times New Roman"/>
          <w:color w:val="auto"/>
          <w:highlight w:val="none"/>
          <w:lang w:val="en-US" w:eastAsia="zh-CN"/>
        </w:rPr>
        <w:t>加快氢能产业示范区建设，促进“绿电+氢能+多产业”耦合发展，完善氢能“制—储—运—加—用”全产业链生态体系。加快制氢关键技术及装备研发，打造集绿氢制备、燃料电池生产、氢能应用于一体的产业集群。有序构建氢储运体系，适时推进地面储氢设施建设，探索高压大型储氢罐、固态储氢系统等多种储氢方式，有序推进加氢站建设。</w:t>
      </w:r>
    </w:p>
    <w:p w14:paraId="5135D0D3">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突破发展绿色算力产业。</w:t>
      </w:r>
      <w:r>
        <w:rPr>
          <w:rFonts w:hint="default" w:ascii="Times New Roman" w:hAnsi="Times New Roman" w:eastAsia="仿宋_GB2312" w:cs="Times New Roman"/>
          <w:color w:val="auto"/>
          <w:highlight w:val="none"/>
          <w:lang w:val="en-US" w:eastAsia="zh-CN"/>
        </w:rPr>
        <w:t>积极融入自治区绿色算力先导区建设和全国一体化算力网，承接东部非实时算力服务，积极布局建设绿色智算中心、数据中心建设。</w:t>
      </w:r>
      <w:r>
        <w:rPr>
          <w:rFonts w:hint="default" w:ascii="Times New Roman" w:hAnsi="Times New Roman" w:cs="Times New Roman"/>
          <w:color w:val="auto"/>
          <w:highlight w:val="none"/>
          <w:lang w:val="en-US" w:eastAsia="zh-CN"/>
        </w:rPr>
        <w:t>积极推进</w:t>
      </w:r>
      <w:r>
        <w:rPr>
          <w:rFonts w:hint="default" w:ascii="Times New Roman" w:hAnsi="Times New Roman" w:cs="Times New Roman"/>
          <w:color w:val="auto"/>
          <w:highlight w:val="none"/>
        </w:rPr>
        <w:t>巩留县算力中心项目</w:t>
      </w:r>
      <w:r>
        <w:rPr>
          <w:rFonts w:hint="default" w:ascii="Times New Roman" w:hAnsi="Times New Roman" w:cs="Times New Roman"/>
          <w:color w:val="auto"/>
          <w:highlight w:val="none"/>
          <w:lang w:val="en-US" w:eastAsia="zh-CN"/>
        </w:rPr>
        <w:t>建设，</w:t>
      </w:r>
      <w:r>
        <w:rPr>
          <w:rFonts w:hint="default" w:ascii="Times New Roman" w:hAnsi="Times New Roman" w:eastAsia="仿宋_GB2312" w:cs="Times New Roman"/>
          <w:color w:val="auto"/>
          <w:highlight w:val="none"/>
          <w:lang w:val="en-US" w:eastAsia="zh-CN"/>
        </w:rPr>
        <w:t>探索建立算网电网联动建设、算电协同运行机制，推进新能源与绿色算力融合发展。</w:t>
      </w:r>
    </w:p>
    <w:p w14:paraId="1BF1AEEE">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 w:eastAsia="zh-CN"/>
        </w:rPr>
      </w:pPr>
      <w:r>
        <w:rPr>
          <w:rFonts w:hint="default" w:ascii="Times New Roman" w:hAnsi="Times New Roman" w:eastAsia="仿宋_GB2312" w:cs="Times New Roman"/>
          <w:b/>
          <w:bCs/>
          <w:color w:val="auto"/>
          <w:highlight w:val="none"/>
          <w:lang w:val="en-US" w:eastAsia="zh-CN"/>
        </w:rPr>
        <w:t>规范发展低空经济。</w:t>
      </w:r>
      <w:r>
        <w:rPr>
          <w:rFonts w:hint="default" w:ascii="Times New Roman" w:hAnsi="Times New Roman" w:eastAsia="仿宋_GB2312" w:cs="Times New Roman"/>
          <w:color w:val="auto"/>
          <w:highlight w:val="none"/>
          <w:lang w:val="en-US" w:eastAsia="zh-CN"/>
        </w:rPr>
        <w:t>研究制定低空经济高质量发展实施方案，推动低空经济规范有序发展。前瞻性布设各类站点、起（备）降场（点）等基础设施建设</w:t>
      </w:r>
      <w:r>
        <w:rPr>
          <w:rFonts w:hint="default" w:ascii="Times New Roman" w:hAnsi="Times New Roman" w:cs="Times New Roman"/>
          <w:color w:val="auto"/>
          <w:highlight w:val="none"/>
          <w:lang w:val="en-US" w:eastAsia="zh-CN"/>
        </w:rPr>
        <w:t>，加快“一点七星”空中摆渡停机坪建设，打造“低空游览走廊”</w:t>
      </w:r>
      <w:r>
        <w:rPr>
          <w:rFonts w:hint="default" w:ascii="Times New Roman" w:hAnsi="Times New Roman" w:eastAsia="仿宋_GB2312" w:cs="Times New Roman"/>
          <w:color w:val="auto"/>
          <w:highlight w:val="none"/>
          <w:lang w:val="en-US" w:eastAsia="zh-CN"/>
        </w:rPr>
        <w:t>。探索多元化场景应用，拓展“低空+”产业跨界融合发展，打造一批低空旅游景区和线路，拓展以无人机为主的低空配送场景，开发农林植保、市政管理、医疗救护、应急救援等公共服务领域</w:t>
      </w:r>
      <w:r>
        <w:rPr>
          <w:rFonts w:hint="default" w:ascii="Times New Roman" w:hAnsi="Times New Roman" w:eastAsia="仿宋_GB2312" w:cs="Times New Roman"/>
          <w:color w:val="auto"/>
          <w:highlight w:val="none"/>
          <w:lang w:val="en" w:eastAsia="zh-CN"/>
        </w:rPr>
        <w:t>。</w:t>
      </w:r>
    </w:p>
    <w:p w14:paraId="40322A98">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lang w:val="en-US" w:eastAsia="zh-CN"/>
        </w:rPr>
      </w:pPr>
      <w:bookmarkStart w:id="86" w:name="_Toc29245"/>
      <w:bookmarkStart w:id="87" w:name="_Toc28129"/>
      <w:bookmarkStart w:id="88" w:name="_Toc31681"/>
      <w:bookmarkStart w:id="89" w:name="_Toc26037"/>
      <w:bookmarkStart w:id="90" w:name="_Toc12206"/>
      <w:r>
        <w:rPr>
          <w:rFonts w:hint="default" w:ascii="Times New Roman" w:hAnsi="Times New Roman" w:eastAsia="楷体_GB2312" w:cs="Times New Roman"/>
          <w:b w:val="0"/>
          <w:color w:val="auto"/>
          <w:sz w:val="32"/>
          <w:szCs w:val="32"/>
          <w:lang w:val="en-US" w:eastAsia="zh-CN"/>
        </w:rPr>
        <w:t>第</w:t>
      </w:r>
      <w:r>
        <w:rPr>
          <w:rFonts w:hint="default" w:cs="Times New Roman"/>
          <w:b w:val="0"/>
          <w:color w:val="auto"/>
          <w:sz w:val="32"/>
          <w:szCs w:val="32"/>
          <w:lang w:eastAsia="zh-CN"/>
        </w:rPr>
        <w:t>八</w:t>
      </w:r>
      <w:r>
        <w:rPr>
          <w:rFonts w:hint="default" w:ascii="Times New Roman" w:hAnsi="Times New Roman" w:eastAsia="楷体_GB2312" w:cs="Times New Roman"/>
          <w:b w:val="0"/>
          <w:color w:val="auto"/>
          <w:sz w:val="32"/>
          <w:szCs w:val="32"/>
          <w:lang w:val="en-US" w:eastAsia="zh-CN"/>
        </w:rPr>
        <w:t>节 促进服务业优质高效发展</w:t>
      </w:r>
      <w:bookmarkEnd w:id="86"/>
      <w:bookmarkEnd w:id="87"/>
      <w:bookmarkEnd w:id="88"/>
    </w:p>
    <w:p w14:paraId="71C6796B">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坚持服务实体经济、满足人民美好生活，实施服务业扩能提质行动，完善支持政策体系，扩大优质经营主体，扩大服务业开放，提高现代服务业与先进制造业、现代农业融合发展水平，</w:t>
      </w:r>
      <w:r>
        <w:rPr>
          <w:rFonts w:hint="default" w:ascii="Times New Roman" w:hAnsi="Times New Roman" w:eastAsia="仿宋_GB2312" w:cs="Times New Roman"/>
          <w:color w:val="auto"/>
          <w:highlight w:val="none"/>
          <w:lang w:val="en" w:eastAsia="zh-CN"/>
        </w:rPr>
        <w:t>大幅增强新兴服务业引领力和驱动力，增强全产业链竞争优势。</w:t>
      </w:r>
    </w:p>
    <w:p w14:paraId="1582A175">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推动生产性服务业专业化高端化发展</w:t>
      </w:r>
      <w:bookmarkEnd w:id="89"/>
      <w:bookmarkEnd w:id="90"/>
      <w:r>
        <w:rPr>
          <w:rFonts w:hint="default" w:ascii="Times New Roman" w:hAnsi="Times New Roman" w:eastAsia="仿宋_GB2312" w:cs="Times New Roman"/>
          <w:b/>
          <w:bCs/>
          <w:color w:val="auto"/>
          <w:highlight w:val="none"/>
          <w:lang w:val="en-US" w:eastAsia="zh-CN"/>
        </w:rPr>
        <w:t>。</w:t>
      </w:r>
      <w:r>
        <w:rPr>
          <w:rFonts w:hint="default" w:ascii="Times New Roman" w:hAnsi="Times New Roman" w:eastAsia="仿宋_GB2312" w:cs="Times New Roman"/>
          <w:color w:val="auto"/>
          <w:highlight w:val="none"/>
          <w:lang w:val="en-US" w:eastAsia="zh-CN"/>
        </w:rPr>
        <w:t>主动适应产业转型升级新趋势，推动生产服务专业化发展、向价值链高端延伸，提升产业配套服务能力和整体竞争力。提升现代金融服务能力，积极发展普惠金融、绿色金融、科创金融等金融业态，不断健全政策性信用担保体系，增强服务实体经济质效。积极发展技术设计、技术转移、检验检测、创业孵化、知识产权、科技咨询及评估等科技服务。推动电子商务高质量发展，建设高水平电子商务聚集区，培育农村电子商务经营主体，加快电子商务进农村综合示范项目建设，培育本土电商主体和直播带货团队。支持云计算、大数据、区块链、人工智能等新一代信息技术与实体经济融合发展，在制造业、物流、公共安全、医疗健康等多领域开展应用示范。</w:t>
      </w:r>
    </w:p>
    <w:p w14:paraId="57D5140D">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bCs/>
          <w:color w:val="auto"/>
          <w:kern w:val="44"/>
          <w:sz w:val="36"/>
          <w:szCs w:val="36"/>
          <w:highlight w:val="none"/>
          <w:lang w:val="en-US" w:eastAsia="zh-CN" w:bidi="ar"/>
        </w:rPr>
      </w:pPr>
      <w:bookmarkStart w:id="91" w:name="_Toc3661"/>
      <w:bookmarkStart w:id="92" w:name="_Toc4215"/>
      <w:r>
        <w:rPr>
          <w:rFonts w:hint="default" w:ascii="Times New Roman" w:hAnsi="Times New Roman" w:eastAsia="仿宋_GB2312" w:cs="Times New Roman"/>
          <w:b/>
          <w:bCs/>
          <w:color w:val="auto"/>
          <w:highlight w:val="none"/>
          <w:lang w:val="en-US" w:eastAsia="zh-CN"/>
        </w:rPr>
        <w:t>促进生活性服务业高品质多样化升级</w:t>
      </w:r>
      <w:bookmarkEnd w:id="91"/>
      <w:bookmarkEnd w:id="92"/>
      <w:r>
        <w:rPr>
          <w:rFonts w:hint="default" w:ascii="Times New Roman" w:hAnsi="Times New Roman" w:eastAsia="仿宋_GB2312" w:cs="Times New Roman"/>
          <w:b/>
          <w:bCs/>
          <w:color w:val="auto"/>
          <w:highlight w:val="none"/>
          <w:lang w:val="en-US" w:eastAsia="zh-CN"/>
        </w:rPr>
        <w:t>。</w:t>
      </w:r>
      <w:r>
        <w:rPr>
          <w:rFonts w:hint="default" w:ascii="Times New Roman" w:hAnsi="Times New Roman" w:eastAsia="仿宋_GB2312" w:cs="Times New Roman"/>
          <w:color w:val="auto"/>
          <w:highlight w:val="none"/>
          <w:lang w:val="en-US" w:eastAsia="zh-CN"/>
        </w:rPr>
        <w:t>积极适应居民消费升级和就业需要，深化生活性服务供给侧改革，构建功能完善、布局合理、创新活跃的现代生活性服务体系，扩大发展型消费服务供给。完善社区便民消费网络，构建“县城—乡镇—村队”三级商业体系。构建安全、有效、方便的医养健康服务网络，提升健康养老服务质量。推动医养康养融合发展，</w:t>
      </w:r>
      <w:r>
        <w:rPr>
          <w:rFonts w:hint="default" w:ascii="Times New Roman" w:hAnsi="Times New Roman" w:eastAsia="仿宋_GB2312" w:cs="Times New Roman"/>
          <w:color w:val="auto"/>
          <w:highlight w:val="none"/>
          <w:lang w:val="en" w:eastAsia="zh-CN"/>
        </w:rPr>
        <w:t>培育“康养+文旅”“康养+养老旅居”“康养+民族医药”等多元融合产业发展模式，</w:t>
      </w:r>
      <w:r>
        <w:rPr>
          <w:rFonts w:hint="default" w:ascii="Times New Roman" w:hAnsi="Times New Roman" w:eastAsia="仿宋_GB2312" w:cs="Times New Roman"/>
          <w:color w:val="auto"/>
          <w:highlight w:val="none"/>
          <w:lang w:val="zh-CN" w:eastAsia="zh-CN"/>
        </w:rPr>
        <w:t>重点打造库尔德宁康养旅游示范基地。</w:t>
      </w:r>
      <w:r>
        <w:rPr>
          <w:rFonts w:hint="default" w:ascii="Times New Roman" w:hAnsi="Times New Roman" w:eastAsia="仿宋_GB2312" w:cs="Times New Roman"/>
          <w:color w:val="auto"/>
          <w:highlight w:val="none"/>
          <w:lang w:val="en-US" w:eastAsia="zh-CN"/>
        </w:rPr>
        <w:t>积极发展住宿餐饮服务，培育一批中高端酒店品牌和民宿品牌，壮大餐饮“老字号”品牌。培育壮大家政、育幼、物业、教育培训、体育休闲等服务业，推动家政服务业提质扩容。</w:t>
      </w:r>
      <w:r>
        <w:rPr>
          <w:rFonts w:hint="default" w:ascii="Times New Roman" w:hAnsi="Times New Roman" w:eastAsia="仿宋_GB2312" w:cs="Times New Roman"/>
          <w:b/>
          <w:bCs/>
          <w:color w:val="auto"/>
          <w:sz w:val="32"/>
          <w:szCs w:val="32"/>
          <w:highlight w:val="none"/>
        </w:rPr>
        <w:br w:type="page"/>
      </w:r>
      <w:bookmarkEnd w:id="85"/>
      <w:bookmarkStart w:id="93" w:name="_Toc20867"/>
      <w:bookmarkStart w:id="94" w:name="_Toc16546"/>
      <w:bookmarkStart w:id="95" w:name="_Toc26791"/>
      <w:bookmarkStart w:id="96" w:name="_Toc17380"/>
    </w:p>
    <w:p w14:paraId="1CD3B028">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spacing w:val="-17"/>
          <w:kern w:val="44"/>
          <w:sz w:val="36"/>
          <w:szCs w:val="36"/>
          <w:highlight w:val="none"/>
          <w:lang w:val="en-US" w:eastAsia="zh-CN" w:bidi="ar"/>
        </w:rPr>
      </w:pPr>
      <w:bookmarkStart w:id="97" w:name="_Toc13491"/>
      <w:bookmarkStart w:id="98" w:name="_Toc23930"/>
      <w:bookmarkStart w:id="99" w:name="_Toc16703"/>
      <w:bookmarkStart w:id="100" w:name="_Toc17607"/>
      <w:r>
        <w:rPr>
          <w:rFonts w:hint="default" w:ascii="Times New Roman" w:hAnsi="Times New Roman" w:eastAsia="黑体" w:cs="Times New Roman"/>
          <w:bCs/>
          <w:color w:val="auto"/>
          <w:kern w:val="44"/>
          <w:sz w:val="36"/>
          <w:szCs w:val="36"/>
          <w:highlight w:val="none"/>
          <w:lang w:val="en-US" w:eastAsia="zh-CN" w:bidi="ar"/>
        </w:rPr>
        <w:t xml:space="preserve">第三章  </w:t>
      </w:r>
      <w:bookmarkEnd w:id="97"/>
      <w:r>
        <w:rPr>
          <w:rFonts w:hint="default" w:ascii="Times New Roman" w:hAnsi="Times New Roman" w:eastAsia="黑体" w:cs="Times New Roman"/>
          <w:bCs/>
          <w:color w:val="auto"/>
          <w:spacing w:val="-17"/>
          <w:kern w:val="44"/>
          <w:sz w:val="36"/>
          <w:szCs w:val="36"/>
          <w:highlight w:val="none"/>
          <w:lang w:val="en-US" w:eastAsia="zh-CN" w:bidi="ar"/>
        </w:rPr>
        <w:t>大力提升文化旅游产业，擦亮“世界遗产·康养巩留”品牌</w:t>
      </w:r>
      <w:bookmarkEnd w:id="98"/>
      <w:bookmarkEnd w:id="99"/>
      <w:bookmarkEnd w:id="100"/>
    </w:p>
    <w:p w14:paraId="68602910">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bookmarkStart w:id="101" w:name="_Toc23450"/>
      <w:bookmarkStart w:id="102" w:name="_Toc20756"/>
      <w:r>
        <w:rPr>
          <w:rFonts w:hint="default" w:ascii="Times New Roman" w:hAnsi="Times New Roman" w:eastAsia="仿宋_GB2312" w:cs="Times New Roman"/>
          <w:color w:val="auto"/>
          <w:highlight w:val="none"/>
          <w:lang w:val="en-US" w:eastAsia="zh-CN"/>
        </w:rPr>
        <w:t>深入推进文旅兴县建设，推动文化和旅游深度融合发展，使文旅产业成为战略性支柱产业和具有新时代特征的民生产业、幸福产业。</w:t>
      </w:r>
    </w:p>
    <w:p w14:paraId="3CB31A15">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强化规划引领。</w:t>
      </w:r>
      <w:r>
        <w:rPr>
          <w:rFonts w:hint="default" w:ascii="Times New Roman" w:hAnsi="Times New Roman" w:eastAsia="仿宋_GB2312" w:cs="Times New Roman"/>
          <w:color w:val="auto"/>
          <w:highlight w:val="none"/>
        </w:rPr>
        <w:t>开展巩留旅游资源普查</w:t>
      </w:r>
      <w:r>
        <w:rPr>
          <w:rFonts w:hint="default" w:ascii="Times New Roman" w:hAnsi="Times New Roman" w:cs="Times New Roman"/>
          <w:color w:val="auto"/>
          <w:highlight w:val="none"/>
          <w:lang w:val="en-US" w:eastAsia="zh-CN"/>
        </w:rPr>
        <w:t>行动，</w:t>
      </w:r>
      <w:r>
        <w:rPr>
          <w:rFonts w:hint="default" w:ascii="Times New Roman" w:hAnsi="Times New Roman" w:eastAsia="仿宋_GB2312" w:cs="Times New Roman"/>
          <w:color w:val="auto"/>
          <w:highlight w:val="none"/>
        </w:rPr>
        <w:t>摸清</w:t>
      </w:r>
      <w:r>
        <w:rPr>
          <w:rFonts w:hint="default" w:ascii="Times New Roman" w:hAnsi="Times New Roman" w:cs="Times New Roman"/>
          <w:color w:val="auto"/>
          <w:highlight w:val="none"/>
          <w:lang w:val="en-US" w:eastAsia="zh-CN"/>
        </w:rPr>
        <w:t>旅游资源</w:t>
      </w:r>
      <w:r>
        <w:rPr>
          <w:rFonts w:hint="default" w:ascii="Times New Roman" w:hAnsi="Times New Roman" w:eastAsia="仿宋_GB2312" w:cs="Times New Roman"/>
          <w:color w:val="auto"/>
          <w:highlight w:val="none"/>
        </w:rPr>
        <w:t>家底，编制《天山遗产风景廊道巩留片区修建性详规》《恰西大平台概念规划及启动区城市设计》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强化规划对旅游业的指导和约束作用，积极适应旅游新热点、新业态的发展需求，以全域旅游、全民兴旅为发展核心策略，持续提升旅游品质，实现旅游业持续繁荣。</w:t>
      </w:r>
    </w:p>
    <w:p w14:paraId="6112C5AA">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b/>
          <w:bCs/>
          <w:color w:val="auto"/>
          <w:highlight w:val="none"/>
        </w:rPr>
        <w:t>加快精品景区建设</w:t>
      </w:r>
      <w:r>
        <w:rPr>
          <w:rFonts w:hint="default" w:ascii="Times New Roman" w:hAnsi="Times New Roman" w:cs="Times New Roman"/>
          <w:b/>
          <w:bCs/>
          <w:color w:val="auto"/>
          <w:highlight w:val="none"/>
          <w:lang w:eastAsia="zh-CN"/>
        </w:rPr>
        <w:t>。</w:t>
      </w:r>
      <w:r>
        <w:rPr>
          <w:rFonts w:hint="default" w:ascii="Times New Roman" w:hAnsi="Times New Roman" w:eastAsia="仿宋_GB2312" w:cs="Times New Roman"/>
          <w:color w:val="auto"/>
          <w:highlight w:val="none"/>
        </w:rPr>
        <w:t>对标国家5A级旅游景区和旅游度假区，统筹推进库尔德宁景区基础设施提档升级</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智慧旅游系统建设与生态承载能力评估，全面提升景区服务品质与管理水平。加快恰西景区创建国家4A级旅游景区步伐，完善生态步道、游客服务中心、生态停车场等配套设施，推动景区环境与服务功能系统化提升。重点打造库尔德宁</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恰西</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塔里木世界自然遗产景观廊道，争创自治区旅游风景道。推动野核桃沟自治区研学基地提档升级，优化改造伊勒格代滑雪场设施设备，</w:t>
      </w:r>
      <w:r>
        <w:rPr>
          <w:rFonts w:hint="default" w:ascii="Times New Roman" w:hAnsi="Times New Roman" w:eastAsia="仿宋_GB2312" w:cs="Times New Roman"/>
          <w:color w:val="auto"/>
          <w:highlight w:val="none"/>
          <w:lang w:val="en-US" w:eastAsia="zh-CN"/>
        </w:rPr>
        <w:t>加快高水平冰雪训练基地和滑雪场建设，</w:t>
      </w:r>
      <w:r>
        <w:rPr>
          <w:rFonts w:hint="default" w:ascii="Times New Roman" w:hAnsi="Times New Roman" w:eastAsia="仿宋_GB2312" w:cs="Times New Roman"/>
          <w:color w:val="auto"/>
          <w:highlight w:val="none"/>
        </w:rPr>
        <w:t>强化科普功能与生态体验，打造集自然观察、生态研学于一体的特色。</w:t>
      </w:r>
    </w:p>
    <w:p w14:paraId="02FA3DA0">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b/>
          <w:bCs/>
          <w:color w:val="auto"/>
          <w:highlight w:val="none"/>
        </w:rPr>
        <w:t>创新完善旅游产品体系</w:t>
      </w:r>
      <w:r>
        <w:rPr>
          <w:rFonts w:hint="default" w:ascii="Times New Roman" w:hAnsi="Times New Roman" w:cs="Times New Roman"/>
          <w:b/>
          <w:bCs/>
          <w:color w:val="auto"/>
          <w:highlight w:val="none"/>
          <w:lang w:eastAsia="zh-CN"/>
        </w:rPr>
        <w:t>。</w:t>
      </w:r>
      <w:r>
        <w:rPr>
          <w:rFonts w:hint="default" w:ascii="Times New Roman" w:hAnsi="Times New Roman" w:eastAsia="仿宋_GB2312" w:cs="Times New Roman"/>
          <w:color w:val="auto"/>
          <w:highlight w:val="none"/>
        </w:rPr>
        <w:t>依托天山世界遗产廊道核心资源，加快构建“全域+全季+全时+全龄+全业”旅游发展新格局。优化旅游产品体系，积极引进森系康养、低空飞行、冰雪运动等新业态，培育一批具有辨识度的网红打卡点和沉浸式消费场景。积极链接体验互动类文旅产品，</w:t>
      </w:r>
      <w:r>
        <w:rPr>
          <w:rFonts w:hint="default" w:ascii="Times New Roman" w:hAnsi="Times New Roman" w:eastAsia="仿宋_GB2312" w:cs="Times New Roman"/>
          <w:color w:val="auto"/>
          <w:highlight w:val="none"/>
          <w:lang w:val="en-US" w:eastAsia="zh-CN"/>
        </w:rPr>
        <w:t>培育夜间旅游产品和支撑体系，推动餐饮美食与文化体验融合创新发展，大力发展线上演播、沉浸式体验等新型文化业态，</w:t>
      </w:r>
      <w:r>
        <w:rPr>
          <w:rFonts w:hint="default" w:ascii="Times New Roman" w:hAnsi="Times New Roman" w:eastAsia="仿宋_GB2312" w:cs="Times New Roman"/>
          <w:color w:val="auto"/>
          <w:highlight w:val="none"/>
          <w:lang w:eastAsia="zh-CN"/>
        </w:rPr>
        <w:t>丰富四季旅游产品业态，创新产旅、文旅融合新体系，</w:t>
      </w:r>
      <w:r>
        <w:rPr>
          <w:rFonts w:hint="default" w:ascii="Times New Roman" w:hAnsi="Times New Roman" w:eastAsia="仿宋_GB2312" w:cs="Times New Roman"/>
          <w:color w:val="auto"/>
          <w:highlight w:val="none"/>
          <w:lang w:val="zh-TW" w:eastAsia="zh-CN"/>
        </w:rPr>
        <w:t>提升旅游商品创意研发能力，加大旅游商品销</w:t>
      </w:r>
      <w:r>
        <w:rPr>
          <w:rFonts w:hint="default" w:ascii="Times New Roman" w:hAnsi="Times New Roman" w:cs="Times New Roman"/>
          <w:color w:val="auto"/>
          <w:highlight w:val="none"/>
          <w:lang w:val="zh-TW" w:eastAsia="zh-CN"/>
        </w:rPr>
        <w:t>售和</w:t>
      </w:r>
      <w:r>
        <w:rPr>
          <w:rFonts w:hint="default" w:ascii="Times New Roman" w:hAnsi="Times New Roman" w:eastAsia="仿宋_GB2312" w:cs="Times New Roman"/>
          <w:color w:val="auto"/>
          <w:highlight w:val="none"/>
          <w:lang w:val="zh-TW" w:eastAsia="zh-CN"/>
        </w:rPr>
        <w:t>线上线下购物体系建设</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依托库尔德宁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恰西、野核桃沟</w:t>
      </w:r>
      <w:r>
        <w:rPr>
          <w:rFonts w:hint="default" w:ascii="Times New Roman" w:hAnsi="Times New Roman" w:eastAsia="仿宋_GB2312" w:cs="Times New Roman"/>
          <w:color w:val="auto"/>
          <w:highlight w:val="none"/>
        </w:rPr>
        <w:t>生态资源，规划建设医养结合型康养度假区，开发森林疗愈、中医药膳、温泉养生等特色服务项目。重点培育蝶湖夜间文化和旅游消费集聚区、野核桃沟研学旅游基地、同干买里特色街区、伊勒格代滑雪场等旅游增长点。</w:t>
      </w:r>
    </w:p>
    <w:p w14:paraId="689CA3BB">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b/>
          <w:bCs/>
          <w:color w:val="auto"/>
          <w:highlight w:val="none"/>
        </w:rPr>
        <w:t>扩大旅游品牌效应</w:t>
      </w:r>
      <w:r>
        <w:rPr>
          <w:rFonts w:hint="default" w:ascii="Times New Roman" w:hAnsi="Times New Roman" w:eastAsia="仿宋_GB2312" w:cs="Times New Roman"/>
          <w:b/>
          <w:bCs/>
          <w:color w:val="auto"/>
          <w:highlight w:val="none"/>
          <w:lang w:eastAsia="zh-CN"/>
        </w:rPr>
        <w:t>。</w:t>
      </w:r>
      <w:r>
        <w:rPr>
          <w:rFonts w:hint="default" w:ascii="Times New Roman" w:hAnsi="Times New Roman" w:eastAsia="仿宋_GB2312" w:cs="Times New Roman"/>
          <w:color w:val="auto"/>
          <w:highlight w:val="none"/>
        </w:rPr>
        <w:t>加快构建“早知库尔德宁・何必阿尔卑斯”“历经山河・恰西值得”“世界罕见・</w:t>
      </w:r>
      <w:r>
        <w:rPr>
          <w:rFonts w:hint="default" w:ascii="Times New Roman" w:hAnsi="Times New Roman" w:cs="Times New Roman"/>
          <w:color w:val="auto"/>
          <w:highlight w:val="none"/>
          <w:lang w:eastAsia="zh-CN"/>
        </w:rPr>
        <w:t>中</w:t>
      </w:r>
      <w:r>
        <w:rPr>
          <w:rFonts w:hint="default" w:ascii="Times New Roman" w:hAnsi="Times New Roman" w:eastAsia="仿宋_GB2312" w:cs="Times New Roman"/>
          <w:color w:val="auto"/>
          <w:highlight w:val="none"/>
        </w:rPr>
        <w:t>国独有”等系列旅游宣传品牌，提升巩留文旅品牌影响力与市场吸引力。围绕“世界遗产·康养巩留”品牌，通过“英卡尔工作室”、微短剧、体育赛事、文旅活动等方式构建流量矩阵，助力打造旅游品牌。持续办好森林文化旅游季、冰雪嘉年华、</w:t>
      </w:r>
      <w:r>
        <w:rPr>
          <w:rFonts w:hint="default" w:ascii="Times New Roman" w:hAnsi="Times New Roman" w:cs="Times New Roman"/>
          <w:color w:val="auto"/>
          <w:highlight w:val="none"/>
          <w:lang w:eastAsia="zh-CN"/>
        </w:rPr>
        <w:t>中国小铁人系列赛</w:t>
      </w:r>
      <w:r>
        <w:rPr>
          <w:rFonts w:hint="default" w:ascii="Times New Roman" w:hAnsi="Times New Roman" w:eastAsia="仿宋_GB2312" w:cs="Times New Roman"/>
          <w:color w:val="auto"/>
          <w:highlight w:val="none"/>
        </w:rPr>
        <w:t>等文旅与体育赛事活动</w:t>
      </w:r>
      <w:r>
        <w:rPr>
          <w:rFonts w:hint="default" w:ascii="Times New Roman" w:hAnsi="Times New Roman" w:cs="Times New Roman"/>
          <w:color w:val="auto"/>
          <w:highlight w:val="none"/>
          <w:lang w:val="en-US" w:eastAsia="zh-CN"/>
        </w:rPr>
        <w:t>，‌深化“旅游+”融合模式，推进蝶湖旅游特色发展，</w:t>
      </w:r>
      <w:r>
        <w:rPr>
          <w:rFonts w:hint="default" w:ascii="Times New Roman" w:hAnsi="Times New Roman" w:eastAsia="仿宋_GB2312" w:cs="Times New Roman"/>
          <w:color w:val="auto"/>
          <w:highlight w:val="none"/>
        </w:rPr>
        <w:t>扩大蝶湖自治区级夜间文化和旅游消费集聚区品牌效应，推动文化、旅游、消费深度融合。</w:t>
      </w:r>
    </w:p>
    <w:p w14:paraId="1F72F678">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b/>
          <w:bCs/>
          <w:color w:val="auto"/>
          <w:highlight w:val="none"/>
        </w:rPr>
        <w:t>提升服务支撑能力</w:t>
      </w:r>
      <w:r>
        <w:rPr>
          <w:rFonts w:hint="default" w:ascii="Times New Roman" w:hAnsi="Times New Roman" w:cs="Times New Roman"/>
          <w:b/>
          <w:bCs/>
          <w:color w:val="auto"/>
          <w:highlight w:val="none"/>
          <w:lang w:eastAsia="zh-CN"/>
        </w:rPr>
        <w:t>。</w:t>
      </w:r>
      <w:r>
        <w:rPr>
          <w:rFonts w:hint="default" w:ascii="Times New Roman" w:hAnsi="Times New Roman" w:eastAsia="仿宋_GB2312" w:cs="Times New Roman"/>
          <w:color w:val="auto"/>
          <w:highlight w:val="none"/>
        </w:rPr>
        <w:t>完善旅游公共服务体系，适度扩大旅游产业用地保障</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加快旅游厕所、停车场、加油站、通信基站建设步伐，进一步解决制约旅游发展“三难一不畅”</w:t>
      </w:r>
      <w:r>
        <w:rPr>
          <w:rFonts w:hint="default" w:ascii="Times New Roman" w:hAnsi="Times New Roman" w:cs="Times New Roman"/>
          <w:color w:val="auto"/>
          <w:highlight w:val="none"/>
          <w:lang w:val="en-US" w:eastAsia="zh-CN"/>
        </w:rPr>
        <w:t>问题</w:t>
      </w:r>
      <w:r>
        <w:rPr>
          <w:rFonts w:hint="default" w:ascii="Times New Roman" w:hAnsi="Times New Roman" w:eastAsia="仿宋_GB2312" w:cs="Times New Roman"/>
          <w:color w:val="auto"/>
          <w:highlight w:val="none"/>
        </w:rPr>
        <w:t>。健全智慧导览、预约导览、多语种服务等智慧旅游服务体系。升级旅游安全管理，构建旅游安全保障体系，</w:t>
      </w:r>
      <w:r>
        <w:rPr>
          <w:rFonts w:hint="default" w:ascii="Times New Roman" w:hAnsi="Times New Roman" w:cs="Times New Roman"/>
          <w:color w:val="auto"/>
          <w:highlight w:val="none"/>
          <w:lang w:eastAsia="zh-CN"/>
        </w:rPr>
        <w:t>加大</w:t>
      </w:r>
      <w:r>
        <w:rPr>
          <w:rFonts w:hint="default" w:ascii="Times New Roman" w:hAnsi="Times New Roman" w:eastAsia="仿宋_GB2312" w:cs="Times New Roman"/>
          <w:color w:val="auto"/>
          <w:highlight w:val="none"/>
        </w:rPr>
        <w:t>旅游安全监管力度，保障来巩游客安心舒心的旅游体验。</w:t>
      </w:r>
      <w:r>
        <w:rPr>
          <w:rFonts w:hint="default" w:ascii="Times New Roman" w:hAnsi="Times New Roman" w:eastAsia="仿宋_GB2312" w:cs="Times New Roman"/>
          <w:color w:val="auto"/>
          <w:highlight w:val="none"/>
          <w:lang w:val="en-US" w:eastAsia="zh-CN"/>
        </w:rPr>
        <w:t>做好旅游产业用地保障，适度增加用地规模</w:t>
      </w:r>
      <w:r>
        <w:rPr>
          <w:rFonts w:hint="default" w:ascii="Times New Roman" w:hAnsi="Times New Roman" w:eastAsia="仿宋_GB2312" w:cs="Times New Roman"/>
          <w:color w:val="auto"/>
          <w:highlight w:val="none"/>
        </w:rPr>
        <w:t>，全力推动旅游提质升级实现高质量发展。</w:t>
      </w:r>
    </w:p>
    <w:p w14:paraId="7DE147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b/>
          <w:bCs/>
          <w:color w:val="auto"/>
          <w:sz w:val="32"/>
          <w:szCs w:val="22"/>
          <w:highlight w:val="none"/>
          <w:lang w:val="en-US" w:eastAsia="zh-CN"/>
        </w:rPr>
        <w:t>加大旅游宣传推介。</w:t>
      </w:r>
      <w:r>
        <w:rPr>
          <w:rFonts w:hint="default" w:ascii="Times New Roman" w:hAnsi="Times New Roman" w:eastAsia="仿宋_GB2312" w:cs="Times New Roman"/>
          <w:color w:val="auto"/>
          <w:sz w:val="32"/>
          <w:szCs w:val="22"/>
          <w:highlight w:val="none"/>
          <w:lang w:val="en-US" w:eastAsia="zh-CN"/>
        </w:rPr>
        <w:t>创新旅游宣传营销模式，利用线上线下全方位做好春节、元宵节等节日巩留冬季旅游产品和民俗文化活动宣传，</w:t>
      </w:r>
      <w:r>
        <w:rPr>
          <w:rFonts w:hint="default" w:ascii="Times New Roman" w:hAnsi="Times New Roman" w:eastAsia="仿宋_GB2312" w:cs="Times New Roman"/>
          <w:color w:val="auto"/>
          <w:sz w:val="32"/>
          <w:szCs w:val="22"/>
          <w:highlight w:val="none"/>
          <w:rtl w:val="0"/>
          <w:lang w:val="en-US" w:eastAsia="zh-CN"/>
        </w:rPr>
        <w:t>推进“两微一抖”平台刊发一系列旅游宣传稿件、短视频，</w:t>
      </w:r>
      <w:r>
        <w:rPr>
          <w:rFonts w:hint="default" w:ascii="Times New Roman" w:hAnsi="Times New Roman" w:eastAsia="仿宋_GB2312" w:cs="Times New Roman"/>
          <w:color w:val="auto"/>
          <w:sz w:val="32"/>
          <w:szCs w:val="22"/>
          <w:highlight w:val="none"/>
          <w:lang w:val="en-US" w:eastAsia="zh-CN"/>
        </w:rPr>
        <w:t>着力提升巩留旅游的知名度、美誉度。</w:t>
      </w:r>
      <w:r>
        <w:rPr>
          <w:rFonts w:hint="default" w:ascii="Times New Roman" w:hAnsi="Times New Roman" w:eastAsia="仿宋_GB2312" w:cs="Times New Roman"/>
          <w:color w:val="auto"/>
          <w:sz w:val="32"/>
          <w:szCs w:val="22"/>
          <w:highlight w:val="none"/>
          <w:rtl w:val="0"/>
          <w:lang w:val="en-US" w:eastAsia="zh-CN"/>
        </w:rPr>
        <w:t>支持举办巩留森林文化旅游节、跨年在巩留、冬季冰雪嘉年华等旅游节庆和文化体育赛事活动，推动更多文旅节庆活动、赛事落地。实施旅游服务提质行动，严厉打击旅游违法违规行为。</w:t>
      </w:r>
      <w:r>
        <w:rPr>
          <w:rFonts w:hint="default" w:ascii="Times New Roman" w:hAnsi="Times New Roman" w:eastAsia="仿宋_GB2312" w:cs="Times New Roman"/>
          <w:color w:val="auto"/>
          <w:sz w:val="32"/>
          <w:szCs w:val="22"/>
          <w:highlight w:val="none"/>
          <w:lang w:eastAsia="zh-CN"/>
        </w:rPr>
        <w:t>扎实做好</w:t>
      </w:r>
      <w:r>
        <w:rPr>
          <w:rFonts w:hint="default" w:ascii="Times New Roman" w:hAnsi="Times New Roman" w:eastAsia="仿宋_GB2312" w:cs="Times New Roman"/>
          <w:color w:val="auto"/>
          <w:sz w:val="32"/>
          <w:szCs w:val="22"/>
          <w:highlight w:val="none"/>
          <w:rtl w:val="0"/>
          <w:lang w:val="en-US" w:eastAsia="zh-CN"/>
        </w:rPr>
        <w:t>涉旅安全工作，严格落实景区承载量预报预警机制，开展旅游行业安全生产专项整治</w:t>
      </w:r>
      <w:r>
        <w:rPr>
          <w:rFonts w:hint="default" w:ascii="Times New Roman" w:hAnsi="Times New Roman" w:eastAsia="仿宋_GB2312" w:cs="Times New Roman"/>
          <w:color w:val="auto"/>
          <w:sz w:val="32"/>
          <w:szCs w:val="22"/>
          <w:highlight w:val="none"/>
          <w:lang w:eastAsia="zh-CN"/>
        </w:rPr>
        <w:t>，筑牢文旅产业高质量发展基础。</w:t>
      </w:r>
    </w:p>
    <w:p w14:paraId="1B846F63">
      <w:pPr>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黑体" w:cs="Times New Roman"/>
          <w:bCs/>
          <w:color w:val="auto"/>
          <w:kern w:val="44"/>
          <w:sz w:val="36"/>
          <w:szCs w:val="36"/>
          <w:highlight w:val="none"/>
          <w:lang w:val="en-US" w:eastAsia="zh-CN" w:bidi="ar"/>
        </w:rPr>
        <w:br w:type="page"/>
      </w:r>
    </w:p>
    <w:bookmarkEnd w:id="101"/>
    <w:bookmarkEnd w:id="102"/>
    <w:p w14:paraId="747A5E43">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103" w:name="_Toc3073"/>
      <w:bookmarkStart w:id="104" w:name="_Toc23748"/>
      <w:bookmarkStart w:id="105" w:name="_Toc32759"/>
      <w:r>
        <w:rPr>
          <w:rFonts w:hint="default" w:ascii="Times New Roman" w:hAnsi="Times New Roman" w:eastAsia="黑体" w:cs="Times New Roman"/>
          <w:bCs/>
          <w:color w:val="auto"/>
          <w:kern w:val="44"/>
          <w:sz w:val="36"/>
          <w:szCs w:val="36"/>
          <w:highlight w:val="none"/>
          <w:lang w:val="en-US" w:eastAsia="zh-CN" w:bidi="ar"/>
        </w:rPr>
        <w:t>第四章  围绕服务打造新疆优质农牧产品的重要供给基地，高水平建设新时代农业强县</w:t>
      </w:r>
      <w:bookmarkEnd w:id="103"/>
      <w:bookmarkEnd w:id="104"/>
      <w:bookmarkEnd w:id="105"/>
    </w:p>
    <w:p w14:paraId="6EE07F77">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cs="Times New Roman"/>
          <w:color w:val="auto"/>
          <w:sz w:val="32"/>
          <w:szCs w:val="22"/>
          <w:highlight w:val="none"/>
          <w:lang w:eastAsia="zh-CN"/>
        </w:rPr>
        <w:t>依托巩留好山好水好牧场等优势资源，</w:t>
      </w:r>
      <w:r>
        <w:rPr>
          <w:rFonts w:hint="default" w:ascii="Times New Roman" w:hAnsi="Times New Roman" w:eastAsia="仿宋_GB2312" w:cs="Times New Roman"/>
          <w:color w:val="auto"/>
          <w:sz w:val="32"/>
          <w:szCs w:val="22"/>
          <w:highlight w:val="none"/>
        </w:rPr>
        <w:t>聚焦粮食、畜牧、特色种植等重点领域，强化科技支撑与设施建设，提升农牧产品供给质量和保障能力，推动农业产业高质量发展。</w:t>
      </w:r>
    </w:p>
    <w:p w14:paraId="00C04162">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06" w:name="_Toc8631_ai"/>
      <w:bookmarkStart w:id="107" w:name="_Toc22776_ai"/>
      <w:bookmarkStart w:id="108" w:name="_Toc32754_ai"/>
      <w:bookmarkStart w:id="109" w:name="_Toc2995"/>
      <w:bookmarkStart w:id="110" w:name="_Toc15962"/>
      <w:bookmarkStart w:id="111" w:name="_Toc2876"/>
      <w:r>
        <w:rPr>
          <w:rFonts w:hint="default" w:ascii="Times New Roman" w:hAnsi="Times New Roman" w:eastAsia="楷体_GB2312" w:cs="Times New Roman"/>
          <w:b w:val="0"/>
          <w:color w:val="auto"/>
          <w:sz w:val="32"/>
          <w:szCs w:val="32"/>
          <w:highlight w:val="none"/>
          <w:lang w:eastAsia="zh-CN"/>
        </w:rPr>
        <w:t xml:space="preserve">第一节 </w:t>
      </w:r>
      <w:bookmarkEnd w:id="106"/>
      <w:bookmarkEnd w:id="107"/>
      <w:bookmarkEnd w:id="108"/>
      <w:r>
        <w:rPr>
          <w:rFonts w:hint="default" w:ascii="Times New Roman" w:hAnsi="Times New Roman" w:eastAsia="楷体_GB2312" w:cs="Times New Roman"/>
          <w:b w:val="0"/>
          <w:color w:val="auto"/>
          <w:sz w:val="32"/>
          <w:szCs w:val="32"/>
          <w:highlight w:val="none"/>
          <w:lang w:val="en-US" w:eastAsia="zh-CN"/>
        </w:rPr>
        <w:t>推动</w:t>
      </w:r>
      <w:r>
        <w:rPr>
          <w:rFonts w:hint="default" w:ascii="Times New Roman" w:hAnsi="Times New Roman" w:eastAsia="楷体_GB2312" w:cs="Times New Roman"/>
          <w:b w:val="0"/>
          <w:color w:val="auto"/>
          <w:sz w:val="32"/>
          <w:szCs w:val="32"/>
          <w:highlight w:val="none"/>
          <w:lang w:eastAsia="zh-CN"/>
        </w:rPr>
        <w:t>特色优势种植业</w:t>
      </w:r>
      <w:r>
        <w:rPr>
          <w:rFonts w:hint="default" w:ascii="Times New Roman" w:hAnsi="Times New Roman" w:eastAsia="楷体_GB2312" w:cs="Times New Roman"/>
          <w:b w:val="0"/>
          <w:color w:val="auto"/>
          <w:sz w:val="32"/>
          <w:szCs w:val="32"/>
          <w:highlight w:val="none"/>
          <w:lang w:val="en-US" w:eastAsia="zh-CN"/>
        </w:rPr>
        <w:t>做大做强</w:t>
      </w:r>
      <w:bookmarkEnd w:id="109"/>
      <w:bookmarkEnd w:id="110"/>
      <w:bookmarkEnd w:id="111"/>
    </w:p>
    <w:p w14:paraId="4BD29C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22"/>
          <w:highlight w:val="none"/>
          <w:lang w:val="en-US" w:eastAsia="zh-CN"/>
        </w:rPr>
      </w:pPr>
      <w:bookmarkStart w:id="112" w:name="_Toc9060"/>
      <w:bookmarkStart w:id="113" w:name="_Toc7035"/>
      <w:r>
        <w:rPr>
          <w:rFonts w:hint="default" w:ascii="Times New Roman" w:hAnsi="Times New Roman" w:eastAsia="仿宋_GB2312" w:cs="Times New Roman"/>
          <w:color w:val="auto"/>
          <w:sz w:val="32"/>
          <w:szCs w:val="22"/>
          <w:highlight w:val="none"/>
          <w:lang w:val="en-US" w:eastAsia="zh-CN"/>
        </w:rPr>
        <w:t>立足农业资源优势，以保障粮食安全为基础，以延伸产业链、提升附加值为核心，深入构建更高水平粮食产业链供应链保障体系。严守耕地红线，稳定粮食种植面积，优化种植结构，坚持扩产能、优结构、攻单产、重加工、提效益，重点提升玉米、小麦等主要粮食作物单产水平，积极推广高产优质品种和先进适用技术，加快推动小田并大田、漫灌改滴灌、碎片化经营向规模化集约化转变。加快推进以创锦佳禾为链主企业的有机粮油产业链，形成“大粮油、大产业、大市场、大流通”的新发展格局。推进种业振兴，重点支持登海、中繁、金源等种业企业、发展“繁育推一体化”制种产业，推动玉米制种产业聚集化发展。强化耕地质量保护与提升，统筹推进盐碱地综合治理和宜农荒地开发利用，切实提升耕地综合生产能力。加强农田水利基础设施配套，完善农业机械化服务体系，全面提升粮食综合生产能力和抗风险能力。</w:t>
      </w:r>
    </w:p>
    <w:p w14:paraId="0C90105E">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14" w:name="_Toc23120"/>
      <w:bookmarkStart w:id="115" w:name="_Toc7034"/>
      <w:bookmarkStart w:id="116" w:name="_Toc29544"/>
    </w:p>
    <w:p w14:paraId="3BC64C29">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二</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推进</w:t>
      </w:r>
      <w:r>
        <w:rPr>
          <w:rFonts w:hint="default" w:ascii="Times New Roman" w:hAnsi="Times New Roman" w:eastAsia="楷体_GB2312" w:cs="Times New Roman"/>
          <w:b w:val="0"/>
          <w:color w:val="auto"/>
          <w:sz w:val="32"/>
          <w:szCs w:val="32"/>
          <w:highlight w:val="none"/>
          <w:lang w:val="en-US" w:eastAsia="zh-CN"/>
        </w:rPr>
        <w:t>畜</w:t>
      </w:r>
      <w:r>
        <w:rPr>
          <w:rFonts w:hint="default" w:ascii="Times New Roman" w:hAnsi="Times New Roman" w:eastAsia="楷体_GB2312" w:cs="Times New Roman"/>
          <w:b w:val="0"/>
          <w:color w:val="auto"/>
          <w:sz w:val="32"/>
          <w:szCs w:val="32"/>
          <w:highlight w:val="none"/>
          <w:lang w:eastAsia="zh-CN"/>
        </w:rPr>
        <w:t>牧</w:t>
      </w:r>
      <w:r>
        <w:rPr>
          <w:rFonts w:hint="default" w:ascii="Times New Roman" w:hAnsi="Times New Roman" w:eastAsia="楷体_GB2312" w:cs="Times New Roman"/>
          <w:b w:val="0"/>
          <w:color w:val="auto"/>
          <w:sz w:val="32"/>
          <w:szCs w:val="32"/>
          <w:highlight w:val="none"/>
          <w:lang w:val="en-US" w:eastAsia="zh-CN"/>
        </w:rPr>
        <w:t>渔业</w:t>
      </w:r>
      <w:r>
        <w:rPr>
          <w:rFonts w:hint="default" w:ascii="Times New Roman" w:hAnsi="Times New Roman" w:eastAsia="楷体_GB2312" w:cs="Times New Roman"/>
          <w:b w:val="0"/>
          <w:color w:val="auto"/>
          <w:sz w:val="32"/>
          <w:szCs w:val="32"/>
          <w:highlight w:val="none"/>
          <w:lang w:eastAsia="zh-CN"/>
        </w:rPr>
        <w:t>提质增效</w:t>
      </w:r>
      <w:bookmarkEnd w:id="112"/>
      <w:bookmarkEnd w:id="113"/>
      <w:bookmarkEnd w:id="114"/>
      <w:bookmarkEnd w:id="115"/>
      <w:bookmarkEnd w:id="116"/>
    </w:p>
    <w:p w14:paraId="28CEBAD8">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0" w:firstLineChars="0"/>
        <w:jc w:val="both"/>
        <w:textAlignment w:val="auto"/>
        <w:rPr>
          <w:rFonts w:hint="default" w:ascii="Times New Roman" w:hAnsi="Times New Roman" w:eastAsia="仿宋_GB2312" w:cs="Times New Roman"/>
          <w:color w:val="auto"/>
          <w:sz w:val="32"/>
          <w:szCs w:val="22"/>
          <w:highlight w:val="none"/>
          <w:lang w:val="en-US" w:eastAsia="zh-CN"/>
        </w:rPr>
      </w:pPr>
      <w:bookmarkStart w:id="117" w:name="_Toc20374"/>
      <w:bookmarkStart w:id="118" w:name="_Toc90"/>
      <w:r>
        <w:rPr>
          <w:rFonts w:hint="default" w:ascii="Times New Roman" w:hAnsi="Times New Roman" w:eastAsia="仿宋_GB2312" w:cs="Times New Roman"/>
          <w:color w:val="auto"/>
          <w:sz w:val="32"/>
          <w:szCs w:val="22"/>
          <w:highlight w:val="none"/>
          <w:lang w:val="en-US" w:eastAsia="zh-CN"/>
        </w:rPr>
        <w:t>以绿色发展为导向，推动畜牧业向生态化、集约化、品牌化转型，构建“养殖</w:t>
      </w:r>
      <w:r>
        <w:rPr>
          <w:rFonts w:hint="default" w:ascii="Times New Roman" w:hAnsi="Times New Roman" w:cs="Times New Roman"/>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加工</w:t>
      </w:r>
      <w:r>
        <w:rPr>
          <w:rFonts w:hint="default" w:ascii="Times New Roman" w:hAnsi="Times New Roman" w:cs="Times New Roman"/>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销售”全链条体系，助力乡村振兴与牧民增收。</w:t>
      </w:r>
    </w:p>
    <w:p w14:paraId="51B3243D">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做精现代畜牧业。</w:t>
      </w:r>
      <w:r>
        <w:rPr>
          <w:rFonts w:hint="default" w:ascii="Times New Roman" w:hAnsi="Times New Roman" w:eastAsia="仿宋_GB2312" w:cs="Times New Roman"/>
          <w:color w:val="auto"/>
          <w:sz w:val="32"/>
          <w:szCs w:val="22"/>
          <w:highlight w:val="none"/>
          <w:lang w:val="en-US" w:eastAsia="zh-CN"/>
        </w:rPr>
        <w:t>实施畜牧业振兴行动计划，统筹推进传统畜牧业改造提升和现代畜牧业开拓创新，全面提升畜牧业生产质量效益水平。实施肉牛肉羊增产行动、奶业振兴行动，推进家禽业规模化、标准化转型。建设天山牧道生态养殖基地，推广“夏放冬饲”科学养殖模式，发展西门塔尔牛、新疆褐牛、库尔德宁肉羊等优质畜种，提升良种覆盖率和养殖效益。加强畜产品质量安全监管，建立健全从牧场到餐桌的全过程质量追溯体系。培育“巩留褐牛肉”“库尔德宁羊肉”等地理标志产品品牌，提升产品市场竞争力。</w:t>
      </w:r>
    </w:p>
    <w:p w14:paraId="29CEB312">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Times New Roman" w:hAnsi="Times New Roman" w:eastAsia="仿宋_GB2312" w:cs="Times New Roman"/>
          <w:color w:val="auto"/>
          <w:kern w:val="0"/>
          <w:sz w:val="32"/>
          <w:szCs w:val="22"/>
          <w:highlight w:val="none"/>
          <w:lang w:val="en-US" w:eastAsia="zh-CN"/>
        </w:rPr>
      </w:pPr>
      <w:r>
        <w:rPr>
          <w:rFonts w:hint="default" w:ascii="Times New Roman" w:hAnsi="Times New Roman" w:eastAsia="仿宋_GB2312" w:cs="Times New Roman"/>
          <w:b/>
          <w:bCs/>
          <w:color w:val="auto"/>
          <w:kern w:val="0"/>
          <w:sz w:val="32"/>
          <w:szCs w:val="22"/>
          <w:highlight w:val="none"/>
          <w:lang w:val="en-US" w:eastAsia="zh-CN"/>
        </w:rPr>
        <w:t>积极发展特色渔业。</w:t>
      </w:r>
      <w:r>
        <w:rPr>
          <w:rFonts w:hint="default" w:ascii="Times New Roman" w:hAnsi="Times New Roman" w:eastAsia="仿宋_GB2312" w:cs="Times New Roman"/>
          <w:color w:val="auto"/>
          <w:kern w:val="0"/>
          <w:sz w:val="32"/>
          <w:szCs w:val="22"/>
          <w:highlight w:val="none"/>
          <w:lang w:val="en-US" w:eastAsia="zh-CN"/>
        </w:rPr>
        <w:t>聚焦生态养殖与产业升级，重点推进冷水鱼标准化养殖基地建设，扩大鲟鱼养殖面积，推广循环水养殖技术，提升鲟鱼、三文鱼等高端水产品产能。依托天蕴渔业、伊河鲟鱼等龙头企业，做大做强冷水鱼和生态鱼产品深加工产业，延伸产业链条，打造“巩留冷水鱼”区域品牌，逐步形成“养殖基地+加工基地”的发展模式，完善冷链物流体系。</w:t>
      </w:r>
    </w:p>
    <w:p w14:paraId="7858E4FF">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19" w:name="_Toc26363"/>
      <w:bookmarkStart w:id="120" w:name="_Toc31651"/>
      <w:bookmarkStart w:id="121" w:name="_Toc4914"/>
    </w:p>
    <w:p w14:paraId="7DF2F163">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p>
    <w:p w14:paraId="3E7D5E5B">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推动特色</w:t>
      </w:r>
      <w:r>
        <w:rPr>
          <w:rFonts w:hint="default" w:ascii="Times New Roman" w:hAnsi="Times New Roman" w:eastAsia="楷体_GB2312" w:cs="Times New Roman"/>
          <w:b w:val="0"/>
          <w:color w:val="auto"/>
          <w:sz w:val="32"/>
          <w:szCs w:val="32"/>
          <w:highlight w:val="none"/>
          <w:lang w:val="en-US" w:eastAsia="zh-CN"/>
        </w:rPr>
        <w:t>果蔬产业</w:t>
      </w:r>
      <w:r>
        <w:rPr>
          <w:rFonts w:hint="default" w:ascii="Times New Roman" w:hAnsi="Times New Roman" w:eastAsia="楷体_GB2312" w:cs="Times New Roman"/>
          <w:b w:val="0"/>
          <w:color w:val="auto"/>
          <w:sz w:val="32"/>
          <w:szCs w:val="32"/>
          <w:highlight w:val="none"/>
          <w:lang w:eastAsia="zh-CN"/>
        </w:rPr>
        <w:t>规模化发展</w:t>
      </w:r>
      <w:bookmarkEnd w:id="117"/>
      <w:bookmarkEnd w:id="118"/>
      <w:bookmarkEnd w:id="119"/>
      <w:bookmarkEnd w:id="120"/>
      <w:bookmarkEnd w:id="121"/>
    </w:p>
    <w:p w14:paraId="6451BA2B">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lang w:val="en-US" w:eastAsia="zh-CN"/>
        </w:rPr>
      </w:pPr>
      <w:bookmarkStart w:id="122" w:name="_Toc9665"/>
      <w:r>
        <w:rPr>
          <w:rFonts w:hint="default" w:ascii="Times New Roman" w:hAnsi="Times New Roman" w:eastAsia="仿宋_GB2312" w:cs="Times New Roman"/>
          <w:color w:val="auto"/>
          <w:sz w:val="32"/>
          <w:szCs w:val="22"/>
          <w:highlight w:val="none"/>
          <w:lang w:val="en-US" w:eastAsia="zh-CN"/>
        </w:rPr>
        <w:t>立足林果资源禀赋，推动特色林果业向规模化、标准化、品牌化转型，构建特色</w:t>
      </w:r>
      <w:r>
        <w:rPr>
          <w:rFonts w:hint="default" w:ascii="Times New Roman" w:hAnsi="Times New Roman" w:cs="Times New Roman"/>
          <w:color w:val="auto"/>
          <w:sz w:val="32"/>
          <w:szCs w:val="22"/>
          <w:highlight w:val="none"/>
          <w:lang w:val="en-US" w:eastAsia="zh-CN"/>
        </w:rPr>
        <w:t>果蔬</w:t>
      </w:r>
      <w:r>
        <w:rPr>
          <w:rFonts w:hint="default" w:ascii="Times New Roman" w:hAnsi="Times New Roman" w:eastAsia="仿宋_GB2312" w:cs="Times New Roman"/>
          <w:color w:val="auto"/>
          <w:sz w:val="32"/>
          <w:szCs w:val="22"/>
          <w:highlight w:val="none"/>
          <w:lang w:val="en-US" w:eastAsia="zh-CN"/>
        </w:rPr>
        <w:t>全链条发展体系。</w:t>
      </w:r>
    </w:p>
    <w:p w14:paraId="6CC7ACF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kern w:val="2"/>
          <w:sz w:val="32"/>
          <w:szCs w:val="32"/>
          <w:highlight w:val="none"/>
          <w:lang w:val="en-US" w:eastAsia="zh-CN" w:bidi="ar-SA"/>
        </w:rPr>
        <w:t>优化发展现代林果业</w:t>
      </w:r>
      <w:r>
        <w:rPr>
          <w:rFonts w:hint="default" w:ascii="Times New Roman" w:hAnsi="Times New Roman" w:eastAsia="仿宋_GB2312" w:cs="Times New Roman"/>
          <w:b/>
          <w:bCs/>
          <w:color w:val="auto"/>
          <w:sz w:val="32"/>
          <w:szCs w:val="22"/>
          <w:highlight w:val="none"/>
          <w:lang w:val="en-US" w:eastAsia="zh-CN"/>
        </w:rPr>
        <w:t>。</w:t>
      </w:r>
      <w:r>
        <w:rPr>
          <w:rFonts w:hint="default" w:ascii="Times New Roman" w:hAnsi="Times New Roman" w:eastAsia="仿宋_GB2312" w:cs="Times New Roman"/>
          <w:color w:val="auto"/>
          <w:sz w:val="32"/>
          <w:szCs w:val="22"/>
          <w:highlight w:val="none"/>
          <w:lang w:val="en-US" w:eastAsia="zh-CN"/>
        </w:rPr>
        <w:t>坚持“稳面积、调结构、提品质、强品牌、延链条”发展路径，稳定苹果、核桃、树上干杏、新梅等主要林果种植面积，推进矮化密植、水肥一体化等现代栽培技术应用。鼓励龙头企业强链延链，抓好明珠矮化密植苹果基地、鲜然林果合作社特色林果标准化生产示范基地建设。延伸发展林下经济，建立林果病虫害统防统治体系，推广绿色防控技术，保障果品质量安全。完善林果产品冷链物流和电商平台建设，拓宽线上线下销售渠道，提升市场竞争力。</w:t>
      </w:r>
    </w:p>
    <w:p w14:paraId="7D6F5FE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方正楷体_GBK" w:cs="Times New Roman"/>
          <w:b/>
          <w:bCs/>
          <w:color w:val="auto"/>
          <w:kern w:val="0"/>
          <w:sz w:val="32"/>
          <w:szCs w:val="32"/>
          <w:highlight w:val="none"/>
          <w:lang w:val="en-US" w:eastAsia="zh-CN"/>
        </w:rPr>
        <w:t>持续</w:t>
      </w:r>
      <w:r>
        <w:rPr>
          <w:rFonts w:hint="default" w:ascii="Times New Roman" w:hAnsi="Times New Roman" w:eastAsia="方正楷体_GBK" w:cs="Times New Roman"/>
          <w:b/>
          <w:bCs/>
          <w:color w:val="auto"/>
          <w:kern w:val="0"/>
          <w:sz w:val="32"/>
          <w:szCs w:val="32"/>
          <w:highlight w:val="none"/>
          <w:lang w:val="zh-CN" w:eastAsia="zh-CN"/>
        </w:rPr>
        <w:t>做强蔬菜产业。</w:t>
      </w:r>
      <w:r>
        <w:rPr>
          <w:rFonts w:hint="default" w:ascii="Times New Roman" w:hAnsi="Times New Roman" w:eastAsia="仿宋_GB2312" w:cs="Times New Roman"/>
          <w:color w:val="auto"/>
          <w:sz w:val="32"/>
          <w:szCs w:val="32"/>
          <w:highlight w:val="none"/>
          <w:lang w:val="en-US" w:eastAsia="zh-CN"/>
        </w:rPr>
        <w:t>巩固露地蔬菜生产规模，稳步扩大种植面积，引进推广优良蔬菜品种，‌发展设施农业与多元化种植‌，推行“一年多熟制”种植模式。因地制宜发展高效日光温室、高标准拱棚，完善蔬菜产供储运销体系，加大蔬菜加工产业发展，促进“蔬菜产业+乡村旅游”融合发展。</w:t>
      </w:r>
    </w:p>
    <w:p w14:paraId="70D8D05B">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23" w:name="_Toc20937"/>
      <w:bookmarkStart w:id="124" w:name="_Toc14446"/>
      <w:bookmarkStart w:id="125" w:name="_Toc11649"/>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完善现代农业生产体系</w:t>
      </w:r>
      <w:bookmarkEnd w:id="122"/>
      <w:bookmarkEnd w:id="123"/>
      <w:bookmarkEnd w:id="124"/>
      <w:bookmarkEnd w:id="125"/>
    </w:p>
    <w:p w14:paraId="0ADFD49F">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深入落实藏粮于地、藏粮于技战略，全面落实最严格的耕地保护制度，提升农业节水和农田基础设施水平。培育粮食加工、制种玉米、中草药、畜牧业、现代林果、冷水鱼等六大全产业链，全方位服务、全链条保障，持续推动农业产业链升级晋位</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推进以高效节水增产为核心的高标准农田建设，逐步把具备条件的永久基本农田建成高标准农田。加强农业科技推广应用，健全县乡村三级农</w:t>
      </w:r>
      <w:r>
        <w:rPr>
          <w:rFonts w:hint="default" w:ascii="Times New Roman" w:hAnsi="Times New Roman" w:cs="Times New Roman"/>
          <w:color w:val="auto"/>
          <w:highlight w:val="none"/>
          <w:lang w:val="en-US" w:eastAsia="zh-CN"/>
        </w:rPr>
        <w:t>业技术</w:t>
      </w:r>
      <w:r>
        <w:rPr>
          <w:rFonts w:hint="default" w:ascii="Times New Roman" w:hAnsi="Times New Roman" w:eastAsia="仿宋_GB2312" w:cs="Times New Roman"/>
          <w:color w:val="auto"/>
          <w:highlight w:val="none"/>
          <w:lang w:val="en-US" w:eastAsia="zh-CN"/>
        </w:rPr>
        <w:t>推广服务体系，提升基层农技服务能力。大力发展智慧农业，加强智慧农（牧、渔）场建设，加大数字农业工厂培育，发展智能化、高端化现代加工仓储模式，加大“互联网+农机作业”“互联网+水肥一体化”推广力度，推进农业全产业链数字化。加快农业绿色低碳发展，推进病虫害绿色防控与统防统治融合，鼓励测土配方施肥和增施有机肥，完善农膜回收处置利用体系，推进秸秆综合利用重点县建设，推广免耕少耕播种技术。健全农业防灾减灾救灾体系，加强农业气象灾害监测预警防控</w:t>
      </w:r>
      <w:r>
        <w:rPr>
          <w:rFonts w:hint="default" w:ascii="Times New Roman" w:hAnsi="Times New Roman" w:cs="Times New Roman"/>
          <w:color w:val="auto"/>
          <w:highlight w:val="none"/>
          <w:lang w:val="en-US" w:eastAsia="zh-CN"/>
        </w:rPr>
        <w:t>，提升农产品质量安全监测能力建设，加大承诺达标合格追溯推广应用力度，实施农产品质量安全全链条监管。</w:t>
      </w:r>
    </w:p>
    <w:p w14:paraId="45C74008">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126" w:name="_Toc5140"/>
      <w:bookmarkStart w:id="127" w:name="_Toc1973"/>
      <w:bookmarkStart w:id="128" w:name="_Toc11289"/>
      <w:bookmarkStart w:id="129" w:name="_Toc10699"/>
      <w:bookmarkStart w:id="130" w:name="_Toc31338"/>
      <w:r>
        <w:rPr>
          <w:rFonts w:hint="default" w:ascii="Times New Roman" w:hAnsi="Times New Roman" w:eastAsia="楷体_GB2312" w:cs="Times New Roman"/>
          <w:b w:val="0"/>
          <w:color w:val="auto"/>
          <w:sz w:val="32"/>
          <w:szCs w:val="32"/>
          <w:lang w:val="en-US" w:eastAsia="zh-CN"/>
        </w:rPr>
        <w:t>第五节</w:t>
      </w:r>
      <w:r>
        <w:rPr>
          <w:rFonts w:hint="default" w:ascii="Times New Roman" w:hAnsi="Times New Roman" w:cs="Times New Roman"/>
          <w:b w:val="0"/>
          <w:color w:val="auto"/>
          <w:sz w:val="32"/>
          <w:szCs w:val="32"/>
          <w:lang w:val="en-US" w:eastAsia="zh-CN"/>
        </w:rPr>
        <w:t xml:space="preserve"> </w:t>
      </w:r>
      <w:r>
        <w:rPr>
          <w:rFonts w:hint="default" w:ascii="Times New Roman" w:hAnsi="Times New Roman" w:eastAsia="楷体_GB2312" w:cs="Times New Roman"/>
          <w:b w:val="0"/>
          <w:color w:val="auto"/>
          <w:sz w:val="32"/>
          <w:szCs w:val="32"/>
          <w:highlight w:val="none"/>
          <w:lang w:val="en-US" w:eastAsia="zh-CN"/>
        </w:rPr>
        <w:t>健全现代农业经营体系</w:t>
      </w:r>
      <w:bookmarkEnd w:id="126"/>
      <w:bookmarkEnd w:id="127"/>
      <w:bookmarkEnd w:id="128"/>
      <w:bookmarkEnd w:id="129"/>
      <w:bookmarkEnd w:id="130"/>
    </w:p>
    <w:p w14:paraId="04D46257">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培育壮大新型农业经营主体，支持家庭农场、农民专业合作社、农业产业化龙头企业等多元主体发展。鼓励土地经营权有序流转，发展多种形式的适度规模经营。推进农业社会化服务体系建设，支持供销社、农技推广机构、专业服务公司等主体开展代耕代种、统防统治、烘干收储、冷链物流等全程社会化服务，提升小农户组织化程度和对接市场能力。支持供销社恢复新建基层供销社，搭建为农综合服务平台，完善农村经营服务网络体系建设。深化农村集体产权制度改革，完善农村产权流转交易市场建设，规范集体资产资源管理。健全农业保险体系，扩大政策性农业保险覆盖面，探索开展特色农产品保险、收入保险等创新险种，增强农业抗风险能力。积极发挥新型经营主体示范引领作用，通过土地流转方式，将零散土地进行集中管理，形成支部引领、合作社推动、大户带头、贫困群体参与的紧密联合体，完善利益联结机制，推广“龙头企业+合作社+农户”等模式，让农民更多分享产业链增值收益。</w:t>
      </w:r>
    </w:p>
    <w:p w14:paraId="1BFFEB3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31" w:name="_Toc16554"/>
      <w:bookmarkStart w:id="132" w:name="_Toc17673"/>
      <w:bookmarkStart w:id="133" w:name="_Toc23245"/>
      <w:bookmarkStart w:id="134" w:name="_Toc2864"/>
      <w:bookmarkStart w:id="135" w:name="_Toc12356"/>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六</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构建现代农业产业体系</w:t>
      </w:r>
      <w:bookmarkEnd w:id="131"/>
      <w:bookmarkEnd w:id="132"/>
      <w:bookmarkEnd w:id="133"/>
      <w:bookmarkEnd w:id="134"/>
    </w:p>
    <w:bookmarkEnd w:id="135"/>
    <w:p w14:paraId="2749138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highlight w:val="none"/>
          <w:lang w:val="en-US" w:eastAsia="zh-CN"/>
        </w:rPr>
        <w:t>围绕现代产业体系布局，加快构建以粮食生产为基础、特色林果为优势、生态畜牧为支撑、农产品加工为延伸、休闲农业和乡村旅游为拓展的现代农业产业体系</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统筹实施一批农业产业融合发展项目，推动一二三产业融合发展。优化农业产业结构，推动粮经</w:t>
      </w:r>
      <w:r>
        <w:rPr>
          <w:rFonts w:hint="default" w:ascii="Times New Roman" w:hAnsi="Times New Roman" w:cs="Times New Roman"/>
          <w:color w:val="auto"/>
          <w:highlight w:val="none"/>
          <w:lang w:val="en-US" w:eastAsia="zh-CN"/>
        </w:rPr>
        <w:t xml:space="preserve"> </w:t>
      </w:r>
      <w:r>
        <w:rPr>
          <w:rFonts w:hint="default" w:ascii="Times New Roman" w:hAnsi="Times New Roman" w:eastAsia="仿宋_GB2312" w:cs="Times New Roman"/>
          <w:color w:val="auto"/>
          <w:highlight w:val="none"/>
          <w:lang w:val="en-US" w:eastAsia="zh-CN"/>
        </w:rPr>
        <w:t>饲统筹、种养加一体、农文旅融合。支持建设现代农业产业园、农业产业强镇、优势特色产业集群，打造一批产业融合发展平台。大力发展休闲农业和乡村旅游，依托库尔德宁镇云杉小镇、吉尔格</w:t>
      </w:r>
      <w:r>
        <w:rPr>
          <w:rFonts w:hint="default" w:ascii="Times New Roman" w:hAnsi="Times New Roman" w:cs="Times New Roman"/>
          <w:color w:val="auto"/>
          <w:highlight w:val="none"/>
          <w:lang w:val="en-US" w:eastAsia="zh-CN"/>
        </w:rPr>
        <w:t>朗</w:t>
      </w:r>
      <w:r>
        <w:rPr>
          <w:rFonts w:hint="default" w:ascii="Times New Roman" w:hAnsi="Times New Roman" w:eastAsia="仿宋_GB2312" w:cs="Times New Roman"/>
          <w:color w:val="auto"/>
          <w:highlight w:val="none"/>
          <w:lang w:val="en-US" w:eastAsia="zh-CN"/>
        </w:rPr>
        <w:t>乡天山渔村等优质资源，激发乡村旅游村镇消费活力。支持建设休闲农庄、精品民宿、乡村旅游重点村，打造精品旅游线路。推动农业与文化、教育、康养、体育等产业深度融合，拓展农业多种功能，提升乡村产业附加值，构建全产业链发展格局。</w:t>
      </w:r>
    </w:p>
    <w:p w14:paraId="64926929">
      <w:pPr>
        <w:pStyle w:val="14"/>
        <w:widowControl/>
        <w:jc w:val="both"/>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49A450AC">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136" w:name="_Toc22602"/>
      <w:bookmarkStart w:id="137" w:name="_Toc1006"/>
      <w:bookmarkStart w:id="138" w:name="_Toc848"/>
      <w:r>
        <w:rPr>
          <w:rFonts w:hint="default" w:ascii="Times New Roman" w:hAnsi="Times New Roman" w:eastAsia="黑体" w:cs="Times New Roman"/>
          <w:bCs/>
          <w:color w:val="auto"/>
          <w:kern w:val="44"/>
          <w:sz w:val="36"/>
          <w:szCs w:val="36"/>
          <w:highlight w:val="none"/>
          <w:lang w:val="en-US" w:eastAsia="zh-CN" w:bidi="ar"/>
        </w:rPr>
        <w:t>第五章  围绕服务打造亚欧黄金通道和向西开放的桥头堡，加速构建外向型发展新格局</w:t>
      </w:r>
      <w:bookmarkEnd w:id="136"/>
      <w:bookmarkEnd w:id="137"/>
      <w:bookmarkEnd w:id="138"/>
    </w:p>
    <w:p w14:paraId="5BDEE37E">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color w:val="auto"/>
          <w:sz w:val="32"/>
          <w:szCs w:val="22"/>
          <w:highlight w:val="none"/>
          <w:lang w:val="en-US" w:eastAsia="zh-CN"/>
        </w:rPr>
        <w:t>抢抓共建“一带一路”机遇，立足</w:t>
      </w:r>
      <w:r>
        <w:rPr>
          <w:rFonts w:hint="default" w:ascii="Times New Roman" w:hAnsi="Times New Roman" w:cs="Times New Roman"/>
          <w:color w:val="auto"/>
          <w:sz w:val="32"/>
          <w:szCs w:val="22"/>
          <w:highlight w:val="none"/>
          <w:lang w:val="en-US" w:eastAsia="zh-CN"/>
        </w:rPr>
        <w:t>巩留</w:t>
      </w:r>
      <w:r>
        <w:rPr>
          <w:rFonts w:hint="default" w:ascii="Times New Roman" w:hAnsi="Times New Roman" w:eastAsia="仿宋_GB2312" w:cs="Times New Roman"/>
          <w:color w:val="auto"/>
          <w:sz w:val="32"/>
          <w:szCs w:val="22"/>
          <w:highlight w:val="none"/>
          <w:lang w:val="en-US" w:eastAsia="zh-CN"/>
        </w:rPr>
        <w:t>区位优势，深度融入国家向西开放总体布局，加快构建全方位、多层次、宽领域的对外开放新格局。</w:t>
      </w:r>
    </w:p>
    <w:p w14:paraId="6278EA0C">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39" w:name="_Toc3794"/>
      <w:bookmarkStart w:id="140" w:name="_Toc31816"/>
      <w:bookmarkStart w:id="141" w:name="_Toc6712_ai"/>
      <w:bookmarkStart w:id="142" w:name="_Toc4758"/>
      <w:bookmarkStart w:id="143" w:name="_Toc21406"/>
      <w:bookmarkStart w:id="144" w:name="_Toc16221"/>
      <w:r>
        <w:rPr>
          <w:rFonts w:hint="default" w:ascii="Times New Roman" w:hAnsi="Times New Roman" w:eastAsia="楷体_GB2312" w:cs="Times New Roman"/>
          <w:b w:val="0"/>
          <w:color w:val="auto"/>
          <w:sz w:val="32"/>
          <w:szCs w:val="32"/>
          <w:highlight w:val="none"/>
          <w:lang w:val="en-US" w:eastAsia="zh-CN"/>
        </w:rPr>
        <w:t>第一节 深化与霍尔果斯自贸区联动发展</w:t>
      </w:r>
      <w:bookmarkEnd w:id="139"/>
      <w:bookmarkEnd w:id="140"/>
      <w:bookmarkEnd w:id="141"/>
      <w:bookmarkEnd w:id="142"/>
    </w:p>
    <w:p w14:paraId="6F0D46F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highlight w:val="none"/>
          <w:lang w:val="en-US" w:eastAsia="zh-CN"/>
        </w:rPr>
      </w:pPr>
      <w:bookmarkStart w:id="145" w:name="_Toc2654"/>
      <w:r>
        <w:rPr>
          <w:rFonts w:hint="default" w:ascii="Times New Roman" w:hAnsi="Times New Roman" w:eastAsia="仿宋_GB2312" w:cs="Times New Roman"/>
          <w:color w:val="auto"/>
          <w:sz w:val="32"/>
          <w:szCs w:val="22"/>
          <w:highlight w:val="none"/>
          <w:lang w:val="en-US" w:eastAsia="zh-CN"/>
        </w:rPr>
        <w:t>主动对接霍尔果斯自贸区发展战略，构建“自贸区+腹地”协同发展新格局。加强与霍尔果斯经济开发区共建、招商联动、利益共享等机制，大力实施外贸进出口企业孵化工程，承接霍尔果斯自贸区溢出产业，探索共建产业园区，实现产业协同发展。借助自贸区的贸易便利化政策，推动巩留特色优质畜产品、林果产品等通过霍尔果斯口岸走向国际市场。建立双方企业常态化交流机制，组织企业互访、开展项目对接会。吸引自贸区物流、金融等现代服务业向巩留延伸，提升本地服务业发展水平，强化与自贸区的产业关联度，形成互利共赢的发展格局。</w:t>
      </w:r>
    </w:p>
    <w:bookmarkEnd w:id="145"/>
    <w:p w14:paraId="063C2BF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146" w:name="_Toc2654_ai"/>
      <w:bookmarkStart w:id="147" w:name="_Toc32112"/>
      <w:bookmarkStart w:id="148" w:name="_Toc16457"/>
      <w:bookmarkStart w:id="149" w:name="_Toc19718"/>
      <w:r>
        <w:rPr>
          <w:rFonts w:hint="default" w:ascii="Times New Roman" w:hAnsi="Times New Roman" w:eastAsia="楷体_GB2312" w:cs="Times New Roman"/>
          <w:b w:val="0"/>
          <w:color w:val="auto"/>
          <w:sz w:val="32"/>
          <w:szCs w:val="32"/>
          <w:highlight w:val="none"/>
          <w:lang w:val="en-US" w:eastAsia="zh-CN"/>
        </w:rPr>
        <w:t>第二节 打造区域性开放合作平台</w:t>
      </w:r>
      <w:bookmarkEnd w:id="146"/>
      <w:bookmarkEnd w:id="147"/>
      <w:bookmarkEnd w:id="148"/>
      <w:bookmarkEnd w:id="149"/>
    </w:p>
    <w:p w14:paraId="23BD879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22"/>
          <w:highlight w:val="none"/>
          <w:lang w:val="en-US" w:eastAsia="zh-CN"/>
        </w:rPr>
        <w:t>依托巩留县连接南北疆的区位优势和G577、G578、S242、S329等交通干线，规划建设具有区域影响力的开放合作平台。加强交通基础设施建设，完善公路、铁路、航空等多式联运体系，提升物流运输效率，降低物流成本，增强平台的辐射能力。举办各类国际经贸洽谈会、文化交流活动，吸引国内外企业、机构参与，提升巩留的国际知名度。围绕特色产业，打造集展示、交易、研发、服务为一体的综合性平台，促进产业资源整合与优化配置，推动产业升级，为本地企业与国际市场接轨创造良好条件。</w:t>
      </w:r>
    </w:p>
    <w:bookmarkEnd w:id="143"/>
    <w:bookmarkEnd w:id="144"/>
    <w:p w14:paraId="2B7237F4">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150" w:name="_Toc4457"/>
      <w:bookmarkStart w:id="151" w:name="_Toc11986"/>
      <w:bookmarkStart w:id="152" w:name="_Toc20778"/>
      <w:bookmarkStart w:id="153" w:name="_Toc11965"/>
      <w:bookmarkStart w:id="154" w:name="_Toc23909"/>
      <w:r>
        <w:rPr>
          <w:rFonts w:hint="default" w:ascii="Times New Roman" w:hAnsi="Times New Roman" w:eastAsia="楷体_GB2312" w:cs="Times New Roman"/>
          <w:b w:val="0"/>
          <w:color w:val="auto"/>
          <w:sz w:val="32"/>
          <w:szCs w:val="32"/>
          <w:highlight w:val="none"/>
          <w:lang w:val="en-US" w:eastAsia="zh-CN"/>
        </w:rPr>
        <w:t xml:space="preserve">第三节 </w:t>
      </w:r>
      <w:bookmarkEnd w:id="150"/>
      <w:bookmarkEnd w:id="151"/>
      <w:r>
        <w:rPr>
          <w:rFonts w:hint="default" w:ascii="Times New Roman" w:hAnsi="Times New Roman" w:eastAsia="楷体_GB2312" w:cs="Times New Roman"/>
          <w:b w:val="0"/>
          <w:color w:val="auto"/>
          <w:sz w:val="32"/>
          <w:szCs w:val="32"/>
          <w:highlight w:val="none"/>
          <w:lang w:val="en-US" w:eastAsia="zh-CN"/>
        </w:rPr>
        <w:t>加强与周边国家和地方间务实合作</w:t>
      </w:r>
      <w:bookmarkEnd w:id="152"/>
      <w:bookmarkEnd w:id="153"/>
      <w:bookmarkEnd w:id="154"/>
    </w:p>
    <w:p w14:paraId="27B6383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充分发挥</w:t>
      </w:r>
      <w:r>
        <w:rPr>
          <w:rFonts w:hint="default" w:ascii="Times New Roman" w:hAnsi="Times New Roman" w:cs="Times New Roman"/>
          <w:color w:val="auto"/>
          <w:highlight w:val="none"/>
          <w:lang w:val="en-US" w:eastAsia="zh-CN"/>
        </w:rPr>
        <w:t>巩留县</w:t>
      </w:r>
      <w:r>
        <w:rPr>
          <w:rFonts w:hint="default" w:ascii="Times New Roman" w:hAnsi="Times New Roman" w:eastAsia="仿宋_GB2312" w:cs="Times New Roman"/>
          <w:color w:val="auto"/>
          <w:highlight w:val="none"/>
        </w:rPr>
        <w:t>资源优势、地域优势，抢抓“一带一路”建设机遇，依托中国—亚欧博览会、中国—哈萨克斯坦商品展览会等各类展会平台，拓宽对外开放通道。积极参与中国—亚欧博览会、丝绸之路国际文化博览会等国际平台，举办“巩留特色产品展销周”等专题推介活动，提升“世界遗产·康养巩留”品牌国际影响力。</w:t>
      </w:r>
      <w:r>
        <w:rPr>
          <w:rFonts w:hint="default" w:ascii="Times New Roman" w:hAnsi="Times New Roman" w:eastAsia="仿宋_GB2312" w:cs="Times New Roman"/>
          <w:color w:val="auto"/>
          <w:highlight w:val="none"/>
          <w:lang w:val="en-US" w:eastAsia="zh-CN"/>
        </w:rPr>
        <w:t>拓展与周边国家经贸合作和友城合作，完善友城间友好互动机制，完善缔结友城机制，扩大友城数量、巩固友城关系。推动与中亚国家和城市在经贸、文旅、生态、农业、教育、体育、医疗等领域全方位合作，深化人文交流交往，促进不同地区、民族和文化的交流互鉴，厚植合作交流的民心基础，扩大交流合作“朋友圈”。</w:t>
      </w:r>
      <w:r>
        <w:rPr>
          <w:rFonts w:hint="default" w:ascii="Times New Roman" w:hAnsi="Times New Roman" w:eastAsia="仿宋_GB2312" w:cs="Times New Roman"/>
          <w:color w:val="auto"/>
          <w:sz w:val="32"/>
          <w:szCs w:val="32"/>
          <w:highlight w:val="none"/>
        </w:rPr>
        <w:t>鼓</w:t>
      </w:r>
      <w:r>
        <w:rPr>
          <w:rFonts w:hint="default" w:ascii="Times New Roman" w:hAnsi="Times New Roman" w:eastAsia="仿宋_GB2312" w:cs="Times New Roman"/>
          <w:color w:val="auto"/>
          <w:sz w:val="32"/>
          <w:szCs w:val="32"/>
          <w:highlight w:val="none"/>
          <w:lang w:val="en-US" w:eastAsia="zh-CN"/>
        </w:rPr>
        <w:t>励</w:t>
      </w:r>
      <w:r>
        <w:rPr>
          <w:rFonts w:hint="default" w:ascii="Times New Roman" w:hAnsi="Times New Roman" w:eastAsia="仿宋_GB2312" w:cs="Times New Roman"/>
          <w:color w:val="auto"/>
          <w:sz w:val="32"/>
          <w:szCs w:val="32"/>
          <w:highlight w:val="none"/>
        </w:rPr>
        <w:t>引导企业家主动融入中国—中亚实业家委员会等机构，推动双方企业成为“走出去”“请进来”的主体力量，积极扩大企业双向投资，全面提升对外开放的广度和深度。</w:t>
      </w:r>
      <w:r>
        <w:rPr>
          <w:rFonts w:hint="default" w:ascii="Times New Roman" w:hAnsi="Times New Roman" w:cs="Times New Roman"/>
          <w:color w:val="auto"/>
          <w:sz w:val="32"/>
          <w:szCs w:val="32"/>
          <w:highlight w:val="none"/>
          <w:lang w:val="en-US" w:eastAsia="zh-CN"/>
        </w:rPr>
        <w:t>积极</w:t>
      </w:r>
      <w:r>
        <w:rPr>
          <w:rFonts w:hint="default" w:ascii="Times New Roman" w:hAnsi="Times New Roman" w:eastAsia="仿宋_GB2312" w:cs="Times New Roman"/>
          <w:color w:val="auto"/>
          <w:sz w:val="32"/>
          <w:szCs w:val="32"/>
          <w:highlight w:val="none"/>
        </w:rPr>
        <w:t>开展“张巩一家亲、同心创美好”交往交流交融活动</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与张家港市就</w:t>
      </w:r>
      <w:r>
        <w:rPr>
          <w:rFonts w:hint="default" w:ascii="Times New Roman" w:hAnsi="Times New Roman" w:cs="Times New Roman"/>
          <w:color w:val="auto"/>
          <w:sz w:val="32"/>
          <w:szCs w:val="32"/>
          <w:highlight w:val="none"/>
          <w:lang w:val="en-US" w:eastAsia="zh-CN"/>
        </w:rPr>
        <w:t>产业发展、</w:t>
      </w:r>
      <w:r>
        <w:rPr>
          <w:rFonts w:hint="default" w:ascii="Times New Roman" w:hAnsi="Times New Roman" w:eastAsia="仿宋_GB2312" w:cs="Times New Roman"/>
          <w:color w:val="auto"/>
          <w:sz w:val="32"/>
          <w:szCs w:val="32"/>
          <w:highlight w:val="none"/>
        </w:rPr>
        <w:t>乡村振兴、基层治理、医疗技术、传统文化保护与研究等领域建立</w:t>
      </w:r>
      <w:r>
        <w:rPr>
          <w:rFonts w:hint="default" w:ascii="Times New Roman" w:hAnsi="Times New Roman" w:cs="Times New Roman"/>
          <w:color w:val="auto"/>
          <w:sz w:val="32"/>
          <w:szCs w:val="32"/>
          <w:highlight w:val="none"/>
          <w:lang w:val="en-US" w:eastAsia="zh-CN"/>
        </w:rPr>
        <w:t>专项</w:t>
      </w:r>
      <w:r>
        <w:rPr>
          <w:rFonts w:hint="default" w:ascii="Times New Roman" w:hAnsi="Times New Roman" w:eastAsia="仿宋_GB2312" w:cs="Times New Roman"/>
          <w:color w:val="auto"/>
          <w:sz w:val="32"/>
          <w:szCs w:val="32"/>
          <w:highlight w:val="none"/>
        </w:rPr>
        <w:t>合作，促进张巩两地全方位交流、深层次</w:t>
      </w:r>
      <w:r>
        <w:rPr>
          <w:rFonts w:hint="default" w:ascii="Times New Roman" w:hAnsi="Times New Roman" w:cs="Times New Roman"/>
          <w:color w:val="auto"/>
          <w:sz w:val="32"/>
          <w:szCs w:val="32"/>
          <w:highlight w:val="none"/>
          <w:lang w:val="en-US" w:eastAsia="zh-CN"/>
        </w:rPr>
        <w:t>合作</w:t>
      </w:r>
      <w:r>
        <w:rPr>
          <w:rFonts w:hint="default" w:ascii="Times New Roman" w:hAnsi="Times New Roman" w:eastAsia="仿宋_GB2312" w:cs="Times New Roman"/>
          <w:color w:val="auto"/>
          <w:sz w:val="32"/>
          <w:szCs w:val="32"/>
          <w:highlight w:val="none"/>
        </w:rPr>
        <w:t>。</w:t>
      </w:r>
    </w:p>
    <w:p w14:paraId="0C490F94">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72FE4754">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155" w:name="_Toc12767"/>
      <w:bookmarkStart w:id="156" w:name="_Toc15346"/>
      <w:bookmarkStart w:id="157" w:name="_Toc21195"/>
      <w:bookmarkStart w:id="158" w:name="_Toc13911"/>
      <w:bookmarkStart w:id="159" w:name="_Toc7784"/>
      <w:r>
        <w:rPr>
          <w:rFonts w:hint="default" w:ascii="Times New Roman" w:hAnsi="Times New Roman" w:eastAsia="黑体" w:cs="Times New Roman"/>
          <w:bCs/>
          <w:color w:val="auto"/>
          <w:kern w:val="44"/>
          <w:sz w:val="36"/>
          <w:szCs w:val="36"/>
          <w:highlight w:val="none"/>
          <w:lang w:val="en-US" w:eastAsia="zh-CN" w:bidi="ar"/>
        </w:rPr>
        <w:t xml:space="preserve">第六章  </w:t>
      </w:r>
      <w:bookmarkEnd w:id="155"/>
      <w:bookmarkEnd w:id="156"/>
      <w:r>
        <w:rPr>
          <w:rFonts w:hint="default" w:ascii="Times New Roman" w:hAnsi="Times New Roman" w:eastAsia="黑体" w:cs="Times New Roman"/>
          <w:bCs/>
          <w:color w:val="auto"/>
          <w:kern w:val="44"/>
          <w:sz w:val="36"/>
          <w:szCs w:val="36"/>
          <w:highlight w:val="none"/>
          <w:lang w:val="en-US" w:eastAsia="zh-CN" w:bidi="ar"/>
        </w:rPr>
        <w:t>围绕服务打造构建新发展格局的战略支点，厚植促进自身高质量发展和服务双循环巩留县优势</w:t>
      </w:r>
      <w:bookmarkEnd w:id="157"/>
      <w:bookmarkEnd w:id="158"/>
      <w:bookmarkEnd w:id="159"/>
    </w:p>
    <w:p w14:paraId="71FA7CB7">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eastAsia" w:ascii="Times New Roman" w:hAnsi="Times New Roman" w:eastAsia="仿宋_GB2312" w:cs="Times New Roman"/>
          <w:color w:val="auto"/>
          <w:sz w:val="32"/>
          <w:szCs w:val="22"/>
          <w:highlight w:val="none"/>
          <w:lang w:val="en-US" w:eastAsia="zh-CN"/>
        </w:rPr>
        <w:t>坚定不移实施扩大内需战略，坚持惠民生和促消费、投资于物和投资于人紧密结合，</w:t>
      </w:r>
      <w:r>
        <w:rPr>
          <w:rFonts w:hint="default" w:ascii="Times New Roman" w:hAnsi="Times New Roman" w:eastAsia="仿宋_GB2312" w:cs="Times New Roman"/>
          <w:color w:val="auto"/>
          <w:sz w:val="32"/>
          <w:szCs w:val="22"/>
          <w:highlight w:val="none"/>
        </w:rPr>
        <w:t>聚焦服务融入全国统一大市场，扩大有效投资、促进消费升级、完善现代流通体系，增强内生动力，推动形成需求牵引供给、供给创造需求的良性循环，为高质量发展提供坚实支撑。</w:t>
      </w:r>
    </w:p>
    <w:p w14:paraId="43CD8115">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60" w:name="_Toc18605"/>
      <w:bookmarkStart w:id="161" w:name="_Toc20020"/>
      <w:bookmarkStart w:id="162" w:name="_Toc10425"/>
      <w:bookmarkStart w:id="163" w:name="_Toc13093"/>
      <w:bookmarkStart w:id="164" w:name="_Toc7934"/>
      <w:bookmarkStart w:id="165" w:name="_Toc27719"/>
      <w:bookmarkStart w:id="166" w:name="_Toc12277"/>
      <w:bookmarkStart w:id="167" w:name="_Toc4393"/>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160"/>
      <w:r>
        <w:rPr>
          <w:rFonts w:hint="default" w:ascii="Times New Roman" w:hAnsi="Times New Roman" w:eastAsia="楷体_GB2312" w:cs="Times New Roman"/>
          <w:b w:val="0"/>
          <w:color w:val="auto"/>
          <w:sz w:val="32"/>
          <w:szCs w:val="32"/>
          <w:highlight w:val="none"/>
          <w:lang w:val="en-US" w:eastAsia="zh-CN"/>
        </w:rPr>
        <w:t>大力提振消费</w:t>
      </w:r>
      <w:bookmarkEnd w:id="161"/>
      <w:bookmarkEnd w:id="162"/>
      <w:bookmarkEnd w:id="163"/>
      <w:bookmarkEnd w:id="164"/>
    </w:p>
    <w:p w14:paraId="179520EC">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聚焦重点领域和新兴业态，建立健全有利于促进消费的配套政策体系，深入实施提振消费专项行动。稳定大宗消费，促进住房、汽车消费</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扩大服务消费，更大力度发展餐饮住宿、教育健康、文化旅游、体育健身、养老托育、社区服务等，完善支持政策，全面落实带薪休假制度，鼓励各类经营主体和社会力量提供多元服务。拓展新型消费，培育壮大数字消费、绿色消费等消费新增长点，扩大首发新品、国货潮品、个性化定制等消费，打造一批带动性广、显示度高的消费新场景，建立适应消费新业态新模式特点的新型监管机制。合理增加公共消费，提高公共服务支出比重，多元扩大普惠性服务供给。促进城乡消费，完善县域农村消费基础设施。扎实开展品牌创建，健全消费品和服务消费标准体系，推动消费领域信用体系建设，加强消费品质量安全和重点领域服务质量监管，强化消费者权益保护。依托蝶湖自治区级夜间文化和旅游消费集聚区，打造“品巩留美食·观蝶城光影·赏城市美景·爱巩留文化”的环湖文商旅消费经济带，</w:t>
      </w:r>
      <w:r>
        <w:rPr>
          <w:rFonts w:hint="default" w:ascii="Times New Roman" w:hAnsi="Times New Roman" w:cs="Times New Roman"/>
          <w:color w:val="auto"/>
          <w:highlight w:val="none"/>
          <w:lang w:val="en-US" w:eastAsia="zh-CN"/>
        </w:rPr>
        <w:t>大力推动文创产品，积极推进平台建设，</w:t>
      </w:r>
      <w:r>
        <w:rPr>
          <w:rFonts w:hint="default" w:ascii="Times New Roman" w:hAnsi="Times New Roman" w:eastAsia="仿宋_GB2312" w:cs="Times New Roman"/>
          <w:color w:val="auto"/>
          <w:highlight w:val="none"/>
        </w:rPr>
        <w:t>培育康养旅游、研学旅游、低空旅游</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自驾游</w:t>
      </w:r>
      <w:r>
        <w:rPr>
          <w:rFonts w:hint="default" w:ascii="Times New Roman" w:hAnsi="Times New Roman" w:eastAsia="仿宋_GB2312" w:cs="Times New Roman"/>
          <w:color w:val="auto"/>
          <w:highlight w:val="none"/>
        </w:rPr>
        <w:t>等新型消费业态。</w:t>
      </w:r>
    </w:p>
    <w:bookmarkEnd w:id="165"/>
    <w:p w14:paraId="214485F8">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68" w:name="_Toc7136"/>
      <w:bookmarkStart w:id="169" w:name="_Toc25274"/>
      <w:bookmarkStart w:id="170" w:name="_Toc27753"/>
      <w:r>
        <w:rPr>
          <w:rFonts w:hint="default" w:ascii="Times New Roman" w:hAnsi="Times New Roman" w:eastAsia="楷体_GB2312" w:cs="Times New Roman"/>
          <w:b w:val="0"/>
          <w:color w:val="auto"/>
          <w:sz w:val="32"/>
          <w:szCs w:val="32"/>
          <w:highlight w:val="none"/>
          <w:lang w:eastAsia="zh-CN"/>
        </w:rPr>
        <w:t>第二节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扩大有效投资</w:t>
      </w:r>
      <w:bookmarkEnd w:id="166"/>
      <w:bookmarkEnd w:id="167"/>
      <w:bookmarkEnd w:id="168"/>
      <w:bookmarkEnd w:id="169"/>
      <w:bookmarkEnd w:id="170"/>
    </w:p>
    <w:p w14:paraId="01DB4A2A">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坚持稳中求进工作总基调，加力推进“两重”建设，扩围实施“两新”政策，健全政府投资支持基础性、公益性、长远性重大项目建设长效机制，用足用好中央预算内投资、超长期特别国债、地方政府专项债券等资金政策，围绕实施国家重大战略和重点领域安全能力建设，集中力量办成一批大事难事，</w:t>
      </w:r>
      <w:r>
        <w:rPr>
          <w:rFonts w:hint="default" w:ascii="Times New Roman" w:hAnsi="Times New Roman" w:eastAsia="仿宋_GB2312" w:cs="Times New Roman"/>
          <w:color w:val="auto"/>
          <w:kern w:val="2"/>
          <w:sz w:val="32"/>
          <w:szCs w:val="32"/>
          <w:highlight w:val="none"/>
          <w:lang w:val="en-US" w:eastAsia="zh-CN" w:bidi="ar-SA"/>
        </w:rPr>
        <w:t>加快推进重大项目建设。</w:t>
      </w:r>
      <w:r>
        <w:rPr>
          <w:rFonts w:hint="default" w:ascii="Times New Roman" w:hAnsi="Times New Roman" w:eastAsia="仿宋_GB2312" w:cs="Times New Roman"/>
          <w:color w:val="auto"/>
          <w:highlight w:val="none"/>
        </w:rPr>
        <w:t>健全政府投资有效带动社会投资体制机制，深化政银企合作，多措并举盘活存量资产，规范实施政府和社会资本合作新机制，完善民营企业参与政府重大项目建设长效机制，加强民间投资项目资金和要素协同保障，推动形成市场主导的有效投资内生增长机制。</w:t>
      </w:r>
    </w:p>
    <w:p w14:paraId="1DB3043A">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71" w:name="_Toc7379"/>
      <w:bookmarkStart w:id="172" w:name="_Toc5240"/>
      <w:bookmarkStart w:id="173" w:name="_Toc28865"/>
      <w:bookmarkStart w:id="174" w:name="_Toc9927"/>
      <w:bookmarkStart w:id="175" w:name="_Toc24045"/>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服务融入全国统一大市场</w:t>
      </w:r>
      <w:bookmarkEnd w:id="171"/>
      <w:bookmarkEnd w:id="172"/>
      <w:bookmarkEnd w:id="173"/>
      <w:bookmarkEnd w:id="174"/>
    </w:p>
    <w:p w14:paraId="285A93C0">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highlight w:val="none"/>
          <w:lang w:val="en-US" w:eastAsia="zh-CN"/>
        </w:rPr>
        <w:t>落实纵深推进全国统一大市场建设“五统一、一开放”基本要求，</w:t>
      </w:r>
      <w:r>
        <w:rPr>
          <w:rFonts w:hint="default" w:ascii="Times New Roman" w:hAnsi="Times New Roman" w:eastAsia="仿宋_GB2312" w:cs="Times New Roman"/>
          <w:color w:val="auto"/>
          <w:highlight w:val="none"/>
        </w:rPr>
        <w:t>加快构建统一公平开放的市场体系，持续优化服务、提升效率，着力破除阻碍统一市场和公平竞争的各种壁垒，依法平等保护各类经营主体合法权益，</w:t>
      </w:r>
      <w:r>
        <w:rPr>
          <w:rFonts w:hint="default" w:ascii="Times New Roman" w:hAnsi="Times New Roman" w:eastAsia="仿宋_GB2312" w:cs="Times New Roman"/>
          <w:color w:val="auto"/>
          <w:highlight w:val="none"/>
          <w:lang w:val="en-US" w:eastAsia="zh-CN"/>
        </w:rPr>
        <w:t>深化要素市场化配置改革，</w:t>
      </w:r>
      <w:r>
        <w:rPr>
          <w:rFonts w:hint="default" w:ascii="Times New Roman" w:hAnsi="Times New Roman" w:eastAsia="仿宋_GB2312" w:cs="Times New Roman"/>
          <w:color w:val="auto"/>
          <w:highlight w:val="none"/>
        </w:rPr>
        <w:t>促进生产要素合理流动和高效集聚，进一步稳定发展预期、释放市场活力、降低交易成本、促进循环畅通。</w:t>
      </w:r>
      <w:r>
        <w:rPr>
          <w:rFonts w:hint="default" w:ascii="Times New Roman" w:hAnsi="Times New Roman" w:eastAsia="仿宋_GB2312" w:cs="Times New Roman"/>
          <w:color w:val="auto"/>
          <w:highlight w:val="none"/>
          <w:lang w:val="en-US" w:eastAsia="zh-CN"/>
        </w:rPr>
        <w:t>综合整治“内卷式”竞争，依法依规治理企业低价无序竞争，推动行业自律、提质升级，引导企业提升产品品质，推动落后产能有序退出，形成优质优价、良性竞争的市场秩序。</w:t>
      </w:r>
      <w:r>
        <w:rPr>
          <w:rFonts w:hint="default" w:ascii="Times New Roman" w:hAnsi="Times New Roman" w:eastAsia="仿宋_GB2312" w:cs="Times New Roman"/>
          <w:color w:val="auto"/>
          <w:highlight w:val="none"/>
        </w:rPr>
        <w:t>统一市场监管执法，</w:t>
      </w:r>
      <w:r>
        <w:rPr>
          <w:rFonts w:hint="default" w:ascii="Times New Roman" w:hAnsi="Times New Roman" w:eastAsia="仿宋_GB2312" w:cs="Times New Roman"/>
          <w:color w:val="auto"/>
          <w:highlight w:val="none"/>
          <w:lang w:val="en-US" w:eastAsia="zh-CN"/>
        </w:rPr>
        <w:t>健全行政裁量权基准动态调整机制，推行轻微违法行为“四张清单”制度，依法明确“三新”领域法定监管职责，</w:t>
      </w:r>
      <w:r>
        <w:rPr>
          <w:rFonts w:hint="default" w:ascii="Times New Roman" w:hAnsi="Times New Roman" w:eastAsia="仿宋_GB2312" w:cs="Times New Roman"/>
          <w:color w:val="auto"/>
          <w:highlight w:val="none"/>
        </w:rPr>
        <w:t>健全完善质量监测评价体系，加强质量监管，提升市场综合监管能力和水平。</w:t>
      </w:r>
      <w:bookmarkEnd w:id="175"/>
    </w:p>
    <w:p w14:paraId="20F007C4">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76" w:name="_Toc20862"/>
      <w:bookmarkStart w:id="177" w:name="_Toc28416"/>
      <w:bookmarkStart w:id="178" w:name="_Toc21536"/>
      <w:bookmarkStart w:id="179" w:name="_Toc32606"/>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176"/>
      <w:r>
        <w:rPr>
          <w:rFonts w:hint="default" w:ascii="Times New Roman" w:hAnsi="Times New Roman" w:eastAsia="楷体_GB2312" w:cs="Times New Roman"/>
          <w:b w:val="0"/>
          <w:color w:val="auto"/>
          <w:sz w:val="32"/>
          <w:szCs w:val="32"/>
          <w:highlight w:val="none"/>
          <w:lang w:eastAsia="zh-CN"/>
        </w:rPr>
        <w:t>提升产业园区承载能级</w:t>
      </w:r>
      <w:bookmarkEnd w:id="177"/>
      <w:bookmarkEnd w:id="178"/>
      <w:bookmarkEnd w:id="179"/>
    </w:p>
    <w:p w14:paraId="7FB527B6">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坚持资源向园区集中、项目向园区集聚、政策向园区倾斜，全面提升巩留工业园区综合承载能力和产业集聚水平。加快园区基础设施建设，高标准推进“九通两平”，完善供水、供电、供气、供热、污水处理等配套功能，增强园区综合服务保障能力。推动资源要素优化配置，打造专业化、特色化产业园区，形成优势互补、联动发展的产业空间格局。积极争取国家级和自治区级智慧园区试点示范，推进“5G+工业互联网”融合应用，建设园区智能运营管理平台，实现管理智能化、服务便捷化。推动园区绿色低碳转型，推广应用清洁能源，建设零碳园区、零碳工厂试点</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积极推进化工产业集中区建设及认定</w:t>
      </w:r>
      <w:r>
        <w:rPr>
          <w:rFonts w:hint="default" w:ascii="Times New Roman" w:hAnsi="Times New Roman" w:eastAsia="仿宋_GB2312" w:cs="Times New Roman"/>
          <w:color w:val="auto"/>
          <w:highlight w:val="none"/>
        </w:rPr>
        <w:t>。加强园区安全生产源头管控，健全安全监管体系，确保园区安全稳定运行。深化园区管理体制机制改革，激发园区发展活力。</w:t>
      </w:r>
    </w:p>
    <w:p w14:paraId="286BE457">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80" w:name="_Toc1514"/>
      <w:bookmarkStart w:id="181" w:name="_Toc5877"/>
      <w:bookmarkStart w:id="182" w:name="_Toc12424"/>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五</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培育现代物流产业体系</w:t>
      </w:r>
      <w:bookmarkEnd w:id="180"/>
      <w:bookmarkEnd w:id="181"/>
      <w:bookmarkEnd w:id="182"/>
    </w:p>
    <w:p w14:paraId="354FDFB5">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加快构建“枢纽+通道+网络”的现代物流体系，提升资源要素流通效率。加快巩留县综合物流园建设，完善仓储、冷链、分拣、配送、信息管理等功能，提升物流集散与中转能力。推动阿克吐别克物流园区功能优化，强化与巩留工业园区的联动发展，形成“园区+物流”一体化发展格局。引进顺丰、京东等知名物流企业设立区域分拨中心，培育本地专业化、规模化物流企业，提升供应链组织效率与服务水平。健全城乡三级物流网络，全面推进“快递进村”工程，实现行政村快递服务全覆盖，</w:t>
      </w:r>
      <w:r>
        <w:rPr>
          <w:rFonts w:hint="default" w:ascii="Times New Roman" w:hAnsi="Times New Roman" w:eastAsia="仿宋_GB2312" w:cs="Times New Roman"/>
          <w:color w:val="auto"/>
          <w:highlight w:val="none"/>
          <w:lang w:val="en-US" w:eastAsia="zh-CN"/>
        </w:rPr>
        <w:t>推进农产品出村进城通过客货邮融合模式实现“桌到桌、门到门”高效流通‌</w:t>
      </w:r>
      <w:r>
        <w:rPr>
          <w:rFonts w:hint="default" w:ascii="Times New Roman" w:hAnsi="Times New Roman" w:eastAsia="仿宋_GB2312" w:cs="Times New Roman"/>
          <w:color w:val="auto"/>
          <w:highlight w:val="none"/>
        </w:rPr>
        <w:t>。加强冷链物流体系建设，布局建设产地预冷、冷藏运输、销地冷链仓储等设施，提升生鲜农产品流通效率与品质保障能力。支持农产品加工企业配套建设冷链设施，推动冷链物流向产业链前端延伸</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建设区域性冷链仓储中心，提升生鲜农产品流通能力和保鲜水平。构建高效畅通的商贸流通体系，推动蝶湖商业综合体、特色美食街、再开溪水系商业街等重点项目建设，打造集购物、餐饮、休闲、文化于一体的消费新地标。支持传统商贸企业数字化转型，发展线上线下融合的新零售模式。依托</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北纬43°</w:t>
      </w:r>
      <w:r>
        <w:rPr>
          <w:rFonts w:hint="default" w:ascii="Times New Roman" w:hAnsi="Times New Roman" w:cs="Times New Roman"/>
          <w:color w:val="auto"/>
          <w:highlight w:val="none"/>
          <w:lang w:eastAsia="zh-CN"/>
        </w:rPr>
        <w:t>”“润疆好物”</w:t>
      </w:r>
      <w:r>
        <w:rPr>
          <w:rFonts w:hint="default" w:ascii="Times New Roman" w:hAnsi="Times New Roman" w:eastAsia="仿宋_GB2312" w:cs="Times New Roman"/>
          <w:color w:val="auto"/>
          <w:highlight w:val="none"/>
        </w:rPr>
        <w:t>等区域公用品牌，建设线上线下联动的特色农产品展销平台，拓展长三角</w:t>
      </w:r>
      <w:r>
        <w:rPr>
          <w:rFonts w:hint="default" w:ascii="Times New Roman" w:hAnsi="Times New Roman" w:cs="Times New Roman"/>
          <w:color w:val="auto"/>
          <w:highlight w:val="none"/>
          <w:lang w:eastAsia="zh-CN"/>
        </w:rPr>
        <w:t>、珠三角</w:t>
      </w:r>
      <w:r>
        <w:rPr>
          <w:rFonts w:hint="default" w:ascii="Times New Roman" w:hAnsi="Times New Roman" w:eastAsia="仿宋_GB2312" w:cs="Times New Roman"/>
          <w:color w:val="auto"/>
          <w:highlight w:val="none"/>
        </w:rPr>
        <w:t>等重点消费市场，提升巩留优质农特产品市场竞争力。</w:t>
      </w:r>
    </w:p>
    <w:p w14:paraId="4C1FDF85">
      <w:pPr>
        <w:rPr>
          <w:rFonts w:hint="default" w:ascii="Times New Roman" w:hAnsi="Times New Roman" w:eastAsia="黑体" w:cs="Times New Roman"/>
          <w:bCs/>
          <w:color w:val="auto"/>
          <w:kern w:val="44"/>
          <w:sz w:val="36"/>
          <w:szCs w:val="36"/>
          <w:highlight w:val="none"/>
          <w:lang w:val="en-US" w:eastAsia="zh-CN" w:bidi="ar"/>
        </w:rPr>
      </w:pPr>
      <w:bookmarkStart w:id="183" w:name="_Toc12745"/>
      <w:bookmarkStart w:id="184" w:name="_Toc1115"/>
      <w:bookmarkStart w:id="185" w:name="_Toc15147"/>
      <w:r>
        <w:rPr>
          <w:rFonts w:hint="default" w:ascii="Times New Roman" w:hAnsi="Times New Roman" w:eastAsia="黑体" w:cs="Times New Roman"/>
          <w:bCs/>
          <w:color w:val="auto"/>
          <w:kern w:val="44"/>
          <w:sz w:val="36"/>
          <w:szCs w:val="36"/>
          <w:highlight w:val="none"/>
          <w:lang w:val="en-US" w:eastAsia="zh-CN" w:bidi="ar"/>
        </w:rPr>
        <w:br w:type="page"/>
      </w:r>
    </w:p>
    <w:p w14:paraId="0FC6D8EF">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r>
        <w:rPr>
          <w:rFonts w:hint="default" w:ascii="Times New Roman" w:hAnsi="Times New Roman" w:eastAsia="黑体" w:cs="Times New Roman"/>
          <w:bCs/>
          <w:color w:val="auto"/>
          <w:kern w:val="44"/>
          <w:sz w:val="36"/>
          <w:szCs w:val="36"/>
          <w:highlight w:val="none"/>
          <w:lang w:val="en-US" w:eastAsia="zh-CN" w:bidi="ar"/>
        </w:rPr>
        <w:t>第七章  坚持创新驱动发展，加快建设科技强县</w:t>
      </w:r>
      <w:bookmarkEnd w:id="183"/>
      <w:bookmarkEnd w:id="184"/>
      <w:bookmarkEnd w:id="185"/>
    </w:p>
    <w:p w14:paraId="61D6097F">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cs="Times New Roman"/>
          <w:color w:val="auto"/>
          <w:sz w:val="32"/>
          <w:szCs w:val="22"/>
          <w:highlight w:val="none"/>
          <w:lang w:val="en-US" w:eastAsia="zh-CN"/>
        </w:rPr>
        <w:t>坚持</w:t>
      </w:r>
      <w:r>
        <w:rPr>
          <w:rFonts w:hint="default" w:ascii="Times New Roman" w:hAnsi="Times New Roman" w:eastAsia="仿宋_GB2312" w:cs="Times New Roman"/>
          <w:color w:val="auto"/>
          <w:sz w:val="32"/>
          <w:szCs w:val="22"/>
          <w:highlight w:val="none"/>
        </w:rPr>
        <w:t>创新是引领发展的第一动力</w:t>
      </w:r>
      <w:r>
        <w:rPr>
          <w:rFonts w:hint="default" w:ascii="Times New Roman" w:hAnsi="Times New Roman"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rPr>
        <w:t>聚焦科技强县建设，促进产学研深度融合，强化科技与产业协同，加速科技成果转化，为高质量发展注入强劲动能。</w:t>
      </w:r>
    </w:p>
    <w:p w14:paraId="0E1024EC">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86" w:name="_Toc25691"/>
      <w:bookmarkStart w:id="187" w:name="_Toc20873"/>
      <w:bookmarkStart w:id="188" w:name="_Toc5152"/>
      <w:bookmarkStart w:id="189" w:name="_Toc5183"/>
      <w:bookmarkStart w:id="190" w:name="_Toc32133"/>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促进科技创新与产业创新深度融合</w:t>
      </w:r>
      <w:bookmarkEnd w:id="186"/>
      <w:bookmarkEnd w:id="187"/>
      <w:bookmarkEnd w:id="188"/>
    </w:p>
    <w:p w14:paraId="387C7FCC">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cs="Times New Roman"/>
          <w:color w:val="auto"/>
          <w:sz w:val="32"/>
          <w:szCs w:val="22"/>
          <w:highlight w:val="none"/>
          <w:lang w:val="en-US" w:eastAsia="zh-CN"/>
        </w:rPr>
      </w:pPr>
      <w:r>
        <w:rPr>
          <w:rFonts w:hint="default" w:ascii="Times New Roman" w:hAnsi="Times New Roman" w:cs="Times New Roman"/>
          <w:color w:val="auto"/>
          <w:sz w:val="32"/>
          <w:szCs w:val="22"/>
          <w:highlight w:val="none"/>
          <w:lang w:val="en-US" w:eastAsia="zh-CN"/>
        </w:rPr>
        <w:t>坚持把科技创新作为推动高质量发展的核心动力，统筹布局创新资源，积极构建以科技创新为主要支撑引领的现代化产业体系、经济体系和发展模式，围绕产业链部署创新链、围绕创新链布局产业链，推动产业链上中下游协同创新。围绕生物医药、乳制品、水产养殖、中草药等特色优势产业，加快培育建设自治区、 自治州级重点实验室、工程技术研究中心、企业技术中心等高水平科技创新平台。依托张家港丰富的创新成果和科技资源优势，推动建立与张家港科技成果转化服务中心共享服务平台机制，实现助推技术与成果的转移转化。持续加强与伊犁师范大学、新疆大学等疆内外高校、科研院所合作，争取在企业设立研发基地，常态开展科技专题讲座培训、技术交流等活动，推动产学研深度融合。支持欣嘉药业、疆宁生物、那拉乳业等龙头企业牵头组建创新联合体，开展产业链协同攻关，提升产业核心竞争力。强化企业科技创新主体地位，鼓励企业加大研发投入，推动“科技型中小企业—高新技术企业—科技领军企业”梯度培育，打造一批专精特新“小巨人”企业和创新型领军企业。</w:t>
      </w:r>
    </w:p>
    <w:bookmarkEnd w:id="189"/>
    <w:bookmarkEnd w:id="190"/>
    <w:p w14:paraId="08C60360">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91" w:name="_Toc15792"/>
      <w:bookmarkStart w:id="192" w:name="_Toc21847"/>
      <w:bookmarkStart w:id="193" w:name="_Toc26785"/>
      <w:bookmarkStart w:id="194" w:name="_Toc17647"/>
      <w:bookmarkStart w:id="195" w:name="_Toc17690"/>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二</w:t>
      </w:r>
      <w:r>
        <w:rPr>
          <w:rFonts w:hint="default" w:ascii="Times New Roman" w:hAnsi="Times New Roman" w:eastAsia="楷体_GB2312" w:cs="Times New Roman"/>
          <w:b w:val="0"/>
          <w:color w:val="auto"/>
          <w:sz w:val="32"/>
          <w:szCs w:val="32"/>
          <w:highlight w:val="none"/>
          <w:lang w:eastAsia="zh-CN"/>
        </w:rPr>
        <w:t>节 一体推进教育科技人才发展</w:t>
      </w:r>
      <w:bookmarkEnd w:id="191"/>
      <w:bookmarkEnd w:id="192"/>
      <w:bookmarkEnd w:id="193"/>
      <w:bookmarkEnd w:id="194"/>
    </w:p>
    <w:p w14:paraId="60DF1AF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t>完善支持全面创新的机制，畅通教育科技人才良性循环。结合巩留县实际，构建多元化科技投入体系，持续增加财政科技经费投入，全面落实教育投入“两个只增不减”，优先保障义务教育和职业教育发展。完善财政科技经费分配和管理使用改革，争取推行财政科研项目经费“包干制”试点。深化科技评价体系和激励机制改革，健全符合基层科研活动规律的分类评价体系和考核机制，鼓励科技人员服务乡村振兴，改革人才评价·和流动机制，打通县域内人才交流通道。深入实施人才强县战略，优化人才“引、育、留、用”全链条，实施“一事一议”引才政策，深化“伊犁英才”人才计划，统筹推进专业技术人才、高技能人才、乡村振兴人才队伍建设。鼓励企业通过“揭榜挂帅”“赛马”“产才融合”“乡贤回引”等方式集聚人才。完善援疆干部、西部计划志愿者、“三支一扶”人员等人才使用机制，充分发挥各类人才在经济社会发展中的支撑作用。完善知识产权保护体系，加大专利成果转化应用力度，健全专利项目转化和高价值发明专利资助奖励政策，完善知识产权创造、运用、保护、管理和服务体系，推动高价值专利培育和产业化。健全科技成果转化收益分配机制，落实科研人员成果转化收益分享政策。推动科技服务市场化改革，培育专业化科技服务机构，提升技术转移、创业孵化、检验检测等服务能力。</w:t>
      </w:r>
    </w:p>
    <w:bookmarkEnd w:id="195"/>
    <w:p w14:paraId="229311D1">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196" w:name="_Toc12258"/>
      <w:bookmarkStart w:id="197" w:name="_Toc1521"/>
      <w:bookmarkStart w:id="198" w:name="_Toc24321"/>
      <w:bookmarkStart w:id="199" w:name="_Toc18784"/>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深入推进数字巩留建设</w:t>
      </w:r>
      <w:bookmarkEnd w:id="196"/>
      <w:bookmarkEnd w:id="197"/>
      <w:bookmarkEnd w:id="198"/>
      <w:bookmarkEnd w:id="199"/>
    </w:p>
    <w:p w14:paraId="5F6F976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建强数字基础支撑，加快推动数字产业化和产业数字化，着力构建数据驱动、智能融合、开放共享的数字经济新生态。实施数字经济核心产业壮大行动，聚焦新能源、新材料、生物医药、农产品精深加工等优势产业，推动数字技术与实体经济深度融合，支持企业开展智能制造、智慧矿山、智慧农业等应用场景建设，提升产业链数字化水平。积极发展数字文旅产业，推动智慧景区、智慧酒店、智慧导览系统建设，实现旅游信息精准推送、在线预订、智能规划等服务功能，提升游客体验。推进“互联网+农业”发展模式，建设多功能农业综合大数据应用管理平台，推广应用物联网、大数据、智慧气象等现代信息技术，实现农情监测、精准种植、质量追溯、产销对接的数字化管理，推动建设数字养殖牧场，提升农业智能化水平。加快培育数据要素市场，推进“数据要素×”行动在智慧农业、智慧文旅等领域的落地应用。推动产业互联网平台建设，支持龙头企业搭建行业级工业互联网平台，带动上下游企业上云用数赋智，促进产业链协同创新。全面推进政府治理数字化转型，优化政务服务“一网通办”，健全政务服务标准体系，推进政务服务事项标准化、规范化、便利化，推动更多事项实现全程网办、跨域通办、兵地通办，提升政务服务效能。强化政府运行“一网协同”，加快数字机关建设，推进行业部门系统整合和数据共享，推动业务流程再造，提升机关内部协同效率。优化数字基础设施布局，夯实数字巩留发展基础。</w:t>
      </w:r>
    </w:p>
    <w:p w14:paraId="1F87201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00" w:name="_Toc12908"/>
      <w:bookmarkStart w:id="201" w:name="_Toc11479"/>
      <w:bookmarkStart w:id="202" w:name="_Toc11024"/>
      <w:bookmarkStart w:id="203" w:name="_Toc24616"/>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全面推进“人工智能+”行动</w:t>
      </w:r>
      <w:bookmarkEnd w:id="200"/>
      <w:bookmarkEnd w:id="201"/>
      <w:bookmarkEnd w:id="202"/>
      <w:bookmarkEnd w:id="203"/>
    </w:p>
    <w:p w14:paraId="511FB0F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color w:val="auto"/>
          <w:sz w:val="32"/>
          <w:szCs w:val="22"/>
          <w:highlight w:val="none"/>
        </w:rPr>
        <w:t>推进人工智能与经济社会各行业各领域广泛深度融合，结合巩留县农业大县、生态旅游重点县的实际，</w:t>
      </w:r>
      <w:r>
        <w:rPr>
          <w:rFonts w:hint="default" w:ascii="Times New Roman" w:hAnsi="Times New Roman" w:eastAsia="仿宋_GB2312" w:cs="Times New Roman"/>
          <w:color w:val="auto"/>
          <w:sz w:val="32"/>
          <w:szCs w:val="22"/>
          <w:highlight w:val="none"/>
          <w:lang w:val="en-US" w:eastAsia="zh-CN"/>
        </w:rPr>
        <w:t>聚焦智慧农业、智慧水利、智慧文旅、智慧政务、智慧城市、智慧医疗六大特色领域</w:t>
      </w:r>
      <w:r>
        <w:rPr>
          <w:rFonts w:hint="default" w:ascii="Times New Roman" w:hAnsi="Times New Roman" w:eastAsia="仿宋_GB2312" w:cs="Times New Roman"/>
          <w:color w:val="auto"/>
          <w:sz w:val="32"/>
          <w:szCs w:val="22"/>
          <w:highlight w:val="none"/>
        </w:rPr>
        <w:t>，大力拓展人工智能应用场景。推动人工智能助力产业全方位转型升级，推广工业互联网轻量化应用，推动中小企业“智改数转网联”</w:t>
      </w:r>
      <w:r>
        <w:rPr>
          <w:rFonts w:hint="default" w:ascii="Times New Roman" w:hAnsi="Times New Roman" w:eastAsia="仿宋_GB2312" w:cs="Times New Roman"/>
          <w:color w:val="auto"/>
          <w:sz w:val="32"/>
          <w:szCs w:val="22"/>
          <w:highlight w:val="none"/>
          <w:lang w:eastAsia="zh-CN"/>
        </w:rPr>
        <w:t>。</w:t>
      </w:r>
      <w:r>
        <w:rPr>
          <w:rFonts w:hint="default" w:ascii="Times New Roman" w:hAnsi="Times New Roman" w:eastAsia="仿宋_GB2312" w:cs="Times New Roman"/>
          <w:color w:val="auto"/>
          <w:sz w:val="32"/>
          <w:szCs w:val="22"/>
          <w:highlight w:val="none"/>
        </w:rPr>
        <w:t>加强人工智能在公共安全预警、社会治安管理、安全生产监管、公共服务提升等领域的创新应用，重点推进教育资源智能匹配、医疗远程诊断辅助、社保服务智能经办等民生领域“人工智能+”转型，深入推进教育、医疗健康、数字消费等由“互联网+”向“人工智能+”升级。</w:t>
      </w:r>
      <w:r>
        <w:rPr>
          <w:rFonts w:hint="default" w:ascii="Times New Roman" w:hAnsi="Times New Roman" w:eastAsia="仿宋_GB2312" w:cs="Times New Roman"/>
          <w:color w:val="auto"/>
          <w:sz w:val="32"/>
          <w:szCs w:val="22"/>
          <w:highlight w:val="none"/>
          <w:lang w:val="en-US" w:eastAsia="zh-CN"/>
        </w:rPr>
        <w:t>深化“人工智能+”科学技术，搭建产学研平台赋能特色产业研发；推动“人工智能+”产业发展，推进工业全要素智能化发展，加快农业数智化转型升级，创新服务业发展新模式，培育智能文旅新业态；拓展“人工智能+”消费提质，拓展智能服务应用场景；优化“人工智能+”民生福祉，推动教育医疗智能服务提升生活品质；构建“人工智能+”治理能力，加快智慧政务与生态监测体系建设；强化“人工智能+”全球合作，推动与中亚智能技术共享及跨境智能贸易。</w:t>
      </w:r>
    </w:p>
    <w:p w14:paraId="5AC201AA">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4C624802">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204" w:name="_Toc9025"/>
      <w:bookmarkStart w:id="205" w:name="_Toc17567"/>
      <w:bookmarkStart w:id="206" w:name="_Toc30325"/>
      <w:bookmarkStart w:id="207" w:name="_Toc8168"/>
      <w:bookmarkStart w:id="208" w:name="_Toc2801"/>
      <w:bookmarkStart w:id="209" w:name="_Toc15465"/>
      <w:bookmarkStart w:id="210" w:name="_Toc3554"/>
      <w:bookmarkStart w:id="211" w:name="_Toc5324"/>
      <w:bookmarkStart w:id="212" w:name="_Toc16351"/>
      <w:bookmarkStart w:id="213" w:name="_Toc25897"/>
      <w:bookmarkStart w:id="214" w:name="_Toc13583"/>
      <w:r>
        <w:rPr>
          <w:rFonts w:hint="default" w:ascii="Times New Roman" w:hAnsi="Times New Roman" w:eastAsia="黑体" w:cs="Times New Roman"/>
          <w:bCs/>
          <w:color w:val="auto"/>
          <w:kern w:val="44"/>
          <w:sz w:val="36"/>
          <w:szCs w:val="36"/>
          <w:highlight w:val="none"/>
          <w:lang w:val="en-US" w:eastAsia="zh-CN" w:bidi="ar"/>
        </w:rPr>
        <w:t>第八章  全面深化改革攻坚，激发高质量发展内生动力</w:t>
      </w:r>
      <w:bookmarkEnd w:id="204"/>
      <w:bookmarkEnd w:id="205"/>
      <w:bookmarkEnd w:id="206"/>
    </w:p>
    <w:p w14:paraId="247CB51F">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楷体_GB2312" w:cs="Times New Roman"/>
          <w:b w:val="0"/>
          <w:color w:val="auto"/>
          <w:sz w:val="32"/>
          <w:szCs w:val="32"/>
          <w:highlight w:val="none"/>
        </w:rPr>
      </w:pPr>
      <w:r>
        <w:rPr>
          <w:rFonts w:hint="default" w:ascii="Times New Roman" w:hAnsi="Times New Roman" w:eastAsia="仿宋_GB2312" w:cs="Times New Roman"/>
          <w:color w:val="auto"/>
          <w:sz w:val="32"/>
          <w:szCs w:val="22"/>
          <w:highlight w:val="none"/>
          <w:lang w:val="en-US" w:eastAsia="zh-CN"/>
        </w:rPr>
        <w:t>坚持和完善社会主义基本经济制度，</w:t>
      </w:r>
      <w:r>
        <w:rPr>
          <w:rFonts w:hint="eastAsia" w:ascii="Times New Roman" w:hAnsi="Times New Roman" w:eastAsia="仿宋_GB2312" w:cs="Times New Roman"/>
          <w:color w:val="auto"/>
          <w:sz w:val="32"/>
          <w:szCs w:val="22"/>
          <w:highlight w:val="none"/>
          <w:lang w:val="en-US" w:eastAsia="zh-CN"/>
        </w:rPr>
        <w:t>更好发挥经济体制改革牵引作用，</w:t>
      </w:r>
      <w:r>
        <w:rPr>
          <w:rFonts w:hint="default" w:ascii="Times New Roman" w:hAnsi="Times New Roman" w:eastAsia="仿宋_GB2312" w:cs="Times New Roman"/>
          <w:color w:val="auto"/>
          <w:sz w:val="32"/>
          <w:szCs w:val="22"/>
          <w:highlight w:val="none"/>
        </w:rPr>
        <w:t>聚焦重点领域和关键环节，深化国资国企、财税金融、营商环境等改革，破除体制机制障碍，充分释放各类经营主体活力，为高质量发展注入持久动力。</w:t>
      </w:r>
    </w:p>
    <w:p w14:paraId="2C1DF86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15" w:name="_Toc7651"/>
      <w:bookmarkStart w:id="216" w:name="_Toc27046"/>
      <w:bookmarkStart w:id="217" w:name="_Toc31962"/>
      <w:bookmarkStart w:id="218" w:name="_Toc6793"/>
      <w:bookmarkStart w:id="219" w:name="_Toc19235"/>
      <w:r>
        <w:rPr>
          <w:rFonts w:hint="default" w:ascii="Times New Roman" w:hAnsi="Times New Roman" w:eastAsia="楷体_GB2312" w:cs="Times New Roman"/>
          <w:b w:val="0"/>
          <w:color w:val="auto"/>
          <w:sz w:val="32"/>
          <w:szCs w:val="32"/>
          <w:highlight w:val="none"/>
          <w:lang w:eastAsia="zh-CN"/>
        </w:rPr>
        <w:t>第一节</w:t>
      </w:r>
      <w:r>
        <w:rPr>
          <w:rFonts w:hint="default" w:ascii="Times New Roman" w:hAnsi="Times New Roman" w:eastAsia="楷体_GB2312" w:cs="Times New Roman"/>
          <w:b w:val="0"/>
          <w:color w:val="auto"/>
          <w:sz w:val="32"/>
          <w:szCs w:val="32"/>
          <w:highlight w:val="none"/>
          <w:lang w:val="en-US" w:eastAsia="zh-CN"/>
        </w:rPr>
        <w:t xml:space="preserve"> </w:t>
      </w:r>
      <w:bookmarkEnd w:id="215"/>
      <w:bookmarkEnd w:id="216"/>
      <w:r>
        <w:rPr>
          <w:rFonts w:hint="default" w:ascii="Times New Roman" w:hAnsi="Times New Roman" w:eastAsia="楷体_GB2312" w:cs="Times New Roman"/>
          <w:b w:val="0"/>
          <w:color w:val="auto"/>
          <w:sz w:val="32"/>
          <w:szCs w:val="32"/>
          <w:highlight w:val="none"/>
          <w:lang w:val="en-US" w:eastAsia="zh-CN"/>
        </w:rPr>
        <w:t>充分激发各类经营主体内生动力和创新活力</w:t>
      </w:r>
      <w:bookmarkEnd w:id="217"/>
      <w:bookmarkEnd w:id="218"/>
      <w:bookmarkEnd w:id="219"/>
    </w:p>
    <w:p w14:paraId="697DA63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坚持和落实“两个毫不动摇”，充分激发各类经营主体内生动力和创新活力，促进各种所有制经济依法平等使用生产要素、公平参与市场竞争、同等受到法律保护。</w:t>
      </w:r>
    </w:p>
    <w:p w14:paraId="206942F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rPr>
        <w:t>深化国资国企改革</w:t>
      </w:r>
      <w:r>
        <w:rPr>
          <w:rFonts w:hint="default" w:ascii="Times New Roman" w:hAnsi="Times New Roman" w:cs="Times New Roman"/>
          <w:b/>
          <w:bCs/>
          <w:color w:val="auto"/>
          <w:highlight w:val="none"/>
          <w:lang w:eastAsia="zh-CN"/>
        </w:rPr>
        <w:t>。</w:t>
      </w:r>
      <w:r>
        <w:rPr>
          <w:rFonts w:hint="default" w:ascii="Times New Roman" w:hAnsi="Times New Roman" w:eastAsia="仿宋_GB2312" w:cs="Times New Roman"/>
          <w:color w:val="auto"/>
          <w:highlight w:val="none"/>
        </w:rPr>
        <w:t>紧扣“增强核心功能提升核心竞争力”主线，优化国有资本布局，完善“党的领导、董事会决策、经理层经营、审计监督”治理架构，强化股权投资与创新融合，健全国有资本金常态化补充机制，鼓励国有资本与优质非国有企业股权融合、战略合作，助力强链补链。到“十五五”末，实现国企利润总额较2025年翻两番，国有资本上缴收益翻三番，资产总额、营业收入等核心指标年均增速不低于自治州县域平均水平，资产负债率保</w:t>
      </w:r>
      <w:r>
        <w:rPr>
          <w:rFonts w:hint="default" w:ascii="Times New Roman" w:hAnsi="Times New Roman" w:cs="Times New Roman"/>
          <w:color w:val="auto"/>
          <w:highlight w:val="none"/>
          <w:lang w:eastAsia="zh-CN"/>
        </w:rPr>
        <w:t>持在</w:t>
      </w:r>
      <w:r>
        <w:rPr>
          <w:rFonts w:hint="default" w:ascii="Times New Roman" w:hAnsi="Times New Roman" w:eastAsia="仿宋_GB2312" w:cs="Times New Roman"/>
          <w:color w:val="auto"/>
          <w:highlight w:val="none"/>
        </w:rPr>
        <w:t>合理区间，全面提升国企社会贡献度与引领力。</w:t>
      </w:r>
      <w:r>
        <w:rPr>
          <w:rFonts w:hint="default" w:ascii="Times New Roman" w:hAnsi="Times New Roman" w:eastAsia="仿宋_GB2312" w:cs="Times New Roman"/>
          <w:b/>
          <w:bCs/>
          <w:color w:val="auto"/>
          <w:highlight w:val="none"/>
        </w:rPr>
        <w:t>蝶城城建集团</w:t>
      </w:r>
      <w:r>
        <w:rPr>
          <w:rFonts w:hint="default" w:ascii="Times New Roman" w:hAnsi="Times New Roman" w:eastAsia="仿宋_GB2312" w:cs="Times New Roman"/>
          <w:color w:val="auto"/>
          <w:highlight w:val="none"/>
        </w:rPr>
        <w:t>聚焦城市功能升级与</w:t>
      </w:r>
      <w:r>
        <w:rPr>
          <w:rFonts w:hint="default" w:ascii="Times New Roman" w:hAnsi="Times New Roman" w:cs="Times New Roman"/>
          <w:color w:val="auto"/>
          <w:highlight w:val="none"/>
          <w:lang w:eastAsia="zh-CN"/>
        </w:rPr>
        <w:t>战略性新兴产业</w:t>
      </w:r>
      <w:r>
        <w:rPr>
          <w:rFonts w:hint="default" w:ascii="Times New Roman" w:hAnsi="Times New Roman" w:eastAsia="仿宋_GB2312" w:cs="Times New Roman"/>
          <w:color w:val="auto"/>
          <w:highlight w:val="none"/>
        </w:rPr>
        <w:t>，深耕智慧城市、资产运营、蝶湖旅游、市政基建及</w:t>
      </w:r>
      <w:r>
        <w:rPr>
          <w:rFonts w:hint="default" w:ascii="Times New Roman" w:hAnsi="Times New Roman" w:eastAsia="仿宋_GB2312" w:cs="Times New Roman"/>
          <w:color w:val="auto"/>
          <w:highlight w:val="none"/>
          <w:lang w:val="en-US" w:eastAsia="zh-CN"/>
        </w:rPr>
        <w:t>园区运营核心领域。推进热源管网、供排水设施改造，实现</w:t>
      </w:r>
      <w:r>
        <w:rPr>
          <w:rFonts w:hint="default" w:ascii="Times New Roman" w:hAnsi="Times New Roman" w:eastAsia="仿宋_GB2312" w:cs="Times New Roman"/>
          <w:color w:val="auto"/>
          <w:highlight w:val="none"/>
          <w:lang w:val="zh-CN" w:eastAsia="zh-CN"/>
        </w:rPr>
        <w:t>县城污水收集率超90%；建成城乡充电桩100个，实现便民充电全覆盖；盘活闲置资产，优化建材供应链，提高资产收益率。</w:t>
      </w:r>
      <w:r>
        <w:rPr>
          <w:rFonts w:hint="default" w:ascii="Times New Roman" w:hAnsi="Times New Roman" w:eastAsia="仿宋_GB2312" w:cs="Times New Roman"/>
          <w:b/>
          <w:bCs/>
          <w:color w:val="auto"/>
          <w:highlight w:val="none"/>
          <w:lang w:val="zh-CN" w:eastAsia="zh-CN"/>
        </w:rPr>
        <w:t>文旅投资集团</w:t>
      </w:r>
      <w:r>
        <w:rPr>
          <w:rFonts w:hint="default" w:ascii="Times New Roman" w:hAnsi="Times New Roman" w:eastAsia="仿宋_GB2312" w:cs="Times New Roman"/>
          <w:color w:val="auto"/>
          <w:highlight w:val="none"/>
          <w:lang w:val="zh-CN" w:eastAsia="zh-CN"/>
        </w:rPr>
        <w:t>紧扣“世界遗产・康养巩留”定位，主攻核心景区运营、文旅产品开发及资源整合三大板块，推进四大景区标准化、智慧化建设，打造森林康养、冰雪运动多元业态，串联形成旅游轴线。</w:t>
      </w:r>
      <w:r>
        <w:rPr>
          <w:rFonts w:hint="default" w:ascii="Times New Roman" w:hAnsi="Times New Roman" w:eastAsia="仿宋_GB2312" w:cs="Times New Roman"/>
          <w:b/>
          <w:bCs/>
          <w:color w:val="auto"/>
          <w:highlight w:val="none"/>
          <w:lang w:val="zh-CN" w:eastAsia="zh-CN"/>
        </w:rPr>
        <w:t>蝶丰农水集团</w:t>
      </w:r>
      <w:r>
        <w:rPr>
          <w:rFonts w:hint="default" w:ascii="Times New Roman" w:hAnsi="Times New Roman" w:eastAsia="仿宋_GB2312" w:cs="Times New Roman"/>
          <w:color w:val="auto"/>
          <w:highlight w:val="none"/>
          <w:lang w:val="zh-CN" w:eastAsia="zh-CN"/>
        </w:rPr>
        <w:t>聚焦农业现</w:t>
      </w:r>
      <w:r>
        <w:rPr>
          <w:rFonts w:hint="default" w:ascii="Times New Roman" w:hAnsi="Times New Roman" w:eastAsia="仿宋_GB2312" w:cs="Times New Roman"/>
          <w:color w:val="auto"/>
          <w:highlight w:val="none"/>
          <w:lang w:val="en-US" w:eastAsia="zh-CN"/>
        </w:rPr>
        <w:t>代</w:t>
      </w:r>
      <w:r>
        <w:rPr>
          <w:rFonts w:hint="default" w:ascii="Times New Roman" w:hAnsi="Times New Roman" w:eastAsia="仿宋_GB2312" w:cs="Times New Roman"/>
          <w:color w:val="auto"/>
          <w:highlight w:val="none"/>
          <w:lang w:val="zh-CN" w:eastAsia="zh-CN"/>
        </w:rPr>
        <w:t>化与水利提质，推进土地流转与规模化经营。以“恰西郡主”品牌为抓手，依托供销系统拓展农特产品外销渠道。</w:t>
      </w:r>
      <w:r>
        <w:rPr>
          <w:rFonts w:hint="default" w:ascii="Times New Roman" w:hAnsi="Times New Roman" w:eastAsia="仿宋_GB2312" w:cs="Times New Roman"/>
          <w:b/>
          <w:bCs/>
          <w:color w:val="auto"/>
          <w:highlight w:val="none"/>
          <w:lang w:val="zh-CN" w:eastAsia="zh-CN"/>
        </w:rPr>
        <w:t>交投建设集团</w:t>
      </w:r>
      <w:r>
        <w:rPr>
          <w:rFonts w:hint="default" w:ascii="Times New Roman" w:hAnsi="Times New Roman" w:eastAsia="仿宋_GB2312" w:cs="Times New Roman"/>
          <w:color w:val="auto"/>
          <w:highlight w:val="none"/>
          <w:lang w:val="zh-CN" w:eastAsia="zh-CN"/>
        </w:rPr>
        <w:t>立足交通建设与养护主业，推进客运枢纽及通用机场建设，拓展交通衍生业务，开展道路养护、汽车维修、客运服务，</w:t>
      </w:r>
      <w:r>
        <w:rPr>
          <w:rFonts w:hint="default" w:ascii="Times New Roman" w:hAnsi="Times New Roman" w:eastAsia="仿宋_GB2312" w:cs="Times New Roman"/>
          <w:color w:val="auto"/>
          <w:highlight w:val="none"/>
          <w:lang w:val="en-US" w:eastAsia="zh-CN"/>
        </w:rPr>
        <w:t>实现“</w:t>
      </w:r>
      <w:r>
        <w:rPr>
          <w:rFonts w:hint="default" w:ascii="Times New Roman" w:hAnsi="Times New Roman" w:eastAsia="仿宋_GB2312" w:cs="Times New Roman"/>
          <w:color w:val="auto"/>
          <w:highlight w:val="none"/>
          <w:lang w:val="zh-CN" w:eastAsia="zh-CN"/>
        </w:rPr>
        <w:t>建设+养护+运营</w:t>
      </w:r>
      <w:r>
        <w:rPr>
          <w:rFonts w:hint="default" w:ascii="Times New Roman" w:hAnsi="Times New Roman" w:eastAsia="仿宋_GB2312" w:cs="Times New Roman"/>
          <w:color w:val="auto"/>
          <w:highlight w:val="none"/>
          <w:lang w:val="en-US" w:eastAsia="zh-CN"/>
        </w:rPr>
        <w:t>”</w:t>
      </w:r>
      <w:r>
        <w:rPr>
          <w:rFonts w:hint="default" w:ascii="Times New Roman" w:hAnsi="Times New Roman" w:eastAsia="仿宋_GB2312" w:cs="Times New Roman"/>
          <w:color w:val="auto"/>
          <w:highlight w:val="none"/>
          <w:lang w:val="zh-CN" w:eastAsia="zh-CN"/>
        </w:rPr>
        <w:t>一体化；探索“交通+物流”模式，服务低空经济等新业态。</w:t>
      </w:r>
    </w:p>
    <w:p w14:paraId="6DDAF29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b/>
          <w:bCs/>
          <w:color w:val="auto"/>
          <w:highlight w:val="none"/>
        </w:rPr>
        <w:t>大力发展民营经济</w:t>
      </w:r>
      <w:r>
        <w:rPr>
          <w:rFonts w:hint="default" w:ascii="Times New Roman" w:hAnsi="Times New Roman" w:cs="Times New Roman"/>
          <w:b/>
          <w:bCs/>
          <w:color w:val="auto"/>
          <w:highlight w:val="none"/>
          <w:lang w:eastAsia="zh-CN"/>
        </w:rPr>
        <w:t>。</w:t>
      </w:r>
      <w:r>
        <w:rPr>
          <w:rFonts w:hint="default" w:ascii="Times New Roman" w:hAnsi="Times New Roman" w:eastAsia="仿宋_GB2312" w:cs="Times New Roman"/>
          <w:color w:val="auto"/>
          <w:highlight w:val="none"/>
        </w:rPr>
        <w:t>落实《</w:t>
      </w:r>
      <w:r>
        <w:rPr>
          <w:rFonts w:hint="default" w:ascii="Times New Roman" w:hAnsi="Times New Roman" w:eastAsia="仿宋_GB2312" w:cs="Times New Roman"/>
          <w:color w:val="auto"/>
          <w:highlight w:val="none"/>
          <w:lang w:eastAsia="zh-CN"/>
        </w:rPr>
        <w:t>中华人民共和国民营经济促进法</w:t>
      </w:r>
      <w:r>
        <w:rPr>
          <w:rFonts w:hint="default" w:ascii="Times New Roman" w:hAnsi="Times New Roman" w:eastAsia="仿宋_GB2312" w:cs="Times New Roman"/>
          <w:color w:val="auto"/>
          <w:highlight w:val="none"/>
        </w:rPr>
        <w:t>》，完善促进民营经济发展政策体系，依法平等保护民营企业产权和企业家权益。创新与民营企业常态化沟通交流和解决问题机制，健全完善政企沟通协商和民营企业家座谈会制度，落实领导干部联系民营企业（商会、协会）制度，完善民营企业参与重大项目建设机制</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推进基础设施竞争性领域向各类经营主体公平开放，支持有能力的民营企业牵头承担国家重大技术攻关任务。健全再担保机构风险补偿机制，完善民营企业融资支持政策制度，加大对民营制造业信用贷款和中长期贷款支持。落实涉企收费长效监管和拖欠企业账款清偿法律法规。加快建立民营企业信用状况综合评价体系，健全民营中小企业增信制度。实施经营主体倍增行动，促进中小微企业和个体工商户健康发展，推动中小企业“个转企、小升规、规改股、股上市”，加快培育一批产业链、价值链高端企业。</w:t>
      </w:r>
    </w:p>
    <w:p w14:paraId="59329A7E">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20" w:name="_Toc30478"/>
      <w:bookmarkStart w:id="221" w:name="_Toc2852"/>
      <w:bookmarkStart w:id="222" w:name="_Toc8075"/>
      <w:bookmarkStart w:id="223" w:name="_Toc11845"/>
      <w:bookmarkStart w:id="224" w:name="_Toc32055"/>
      <w:r>
        <w:rPr>
          <w:rFonts w:hint="default" w:ascii="Times New Roman" w:hAnsi="Times New Roman" w:eastAsia="楷体_GB2312" w:cs="Times New Roman"/>
          <w:b w:val="0"/>
          <w:color w:val="auto"/>
          <w:sz w:val="32"/>
          <w:szCs w:val="32"/>
          <w:highlight w:val="none"/>
          <w:lang w:eastAsia="zh-CN"/>
        </w:rPr>
        <w:t>第二节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深化财税金融体制改革</w:t>
      </w:r>
      <w:bookmarkEnd w:id="220"/>
      <w:bookmarkEnd w:id="221"/>
      <w:bookmarkEnd w:id="222"/>
      <w:bookmarkEnd w:id="223"/>
      <w:bookmarkEnd w:id="224"/>
    </w:p>
    <w:p w14:paraId="2DD5F926">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cs="Times New Roman"/>
          <w:color w:val="auto"/>
          <w:highlight w:val="none"/>
          <w:lang w:eastAsia="zh-CN"/>
        </w:rPr>
        <w:t>加强财政科学管理</w:t>
      </w:r>
      <w:r>
        <w:rPr>
          <w:rFonts w:hint="default" w:ascii="Times New Roman" w:hAnsi="Times New Roman" w:eastAsia="仿宋_GB2312" w:cs="Times New Roman"/>
          <w:color w:val="auto"/>
          <w:highlight w:val="none"/>
        </w:rPr>
        <w:t>，</w:t>
      </w:r>
      <w:r>
        <w:rPr>
          <w:rFonts w:hint="default" w:ascii="Times New Roman" w:hAnsi="Times New Roman" w:cs="Times New Roman"/>
          <w:color w:val="auto"/>
          <w:highlight w:val="none"/>
          <w:lang w:eastAsia="zh-CN"/>
        </w:rPr>
        <w:t>强化</w:t>
      </w:r>
      <w:r>
        <w:rPr>
          <w:rFonts w:hint="default" w:ascii="Times New Roman" w:hAnsi="Times New Roman" w:eastAsia="仿宋_GB2312" w:cs="Times New Roman"/>
          <w:color w:val="auto"/>
          <w:highlight w:val="none"/>
        </w:rPr>
        <w:t>财政资源和预算统筹，增强重大战略任务财力保障。推进零基预算改革，强化预算绩效管理，优化支出结构</w:t>
      </w:r>
      <w:r>
        <w:rPr>
          <w:rFonts w:hint="default" w:ascii="Times New Roman" w:hAnsi="Times New Roman" w:cs="Times New Roman"/>
          <w:color w:val="auto"/>
          <w:highlight w:val="none"/>
          <w:lang w:eastAsia="zh-CN"/>
        </w:rPr>
        <w:t>，增强基层财力保障能力，兜牢“三保”底线</w:t>
      </w:r>
      <w:r>
        <w:rPr>
          <w:rFonts w:hint="default" w:ascii="Times New Roman" w:hAnsi="Times New Roman" w:eastAsia="仿宋_GB2312" w:cs="Times New Roman"/>
          <w:color w:val="auto"/>
          <w:highlight w:val="none"/>
        </w:rPr>
        <w:t>。完善预算公开和监督制度，</w:t>
      </w:r>
      <w:r>
        <w:rPr>
          <w:rFonts w:hint="default" w:ascii="Times New Roman" w:hAnsi="Times New Roman" w:cs="Times New Roman"/>
          <w:color w:val="auto"/>
          <w:highlight w:val="none"/>
          <w:lang w:val="en-US" w:eastAsia="zh-CN"/>
        </w:rPr>
        <w:t>积极推动</w:t>
      </w:r>
      <w:r>
        <w:rPr>
          <w:rFonts w:hint="default" w:ascii="Times New Roman" w:hAnsi="Times New Roman" w:eastAsia="仿宋_GB2312" w:cs="Times New Roman"/>
          <w:color w:val="auto"/>
          <w:highlight w:val="none"/>
        </w:rPr>
        <w:t>公共服务绩效管理，强化事前功能评估，常态化开展预算执行监督，提升预算管理效能。全面落实中央税收制度改革，承接好扩大地方税收管理权限改革，深入推进税费征管“强基工程”，落实各项减税降费政策。严格执行环境保护税法，落实有利于碳减排的税费优惠政策。增强基层财力保障能力。深化地方金融体制改革，支持地方金融机构特色化发展，强化支农支小市场地位。丰富涉农、民营融资担保品种，提升金融服务实体经济能力。</w:t>
      </w:r>
    </w:p>
    <w:p w14:paraId="30256D1E">
      <w:pPr>
        <w:pStyle w:val="4"/>
        <w:widowControl/>
        <w:numPr>
          <w:ilvl w:val="0"/>
          <w:numId w:val="0"/>
        </w:numPr>
        <w:ind w:left="0" w:leftChars="0" w:right="0" w:rightChars="0" w:firstLine="0" w:firstLineChars="0"/>
        <w:rPr>
          <w:rFonts w:hint="default" w:ascii="Times New Roman" w:hAnsi="Times New Roman" w:cs="Times New Roman"/>
          <w:color w:val="auto"/>
          <w:highlight w:val="none"/>
          <w:lang w:val="en-US" w:eastAsia="zh-CN"/>
        </w:rPr>
      </w:pPr>
      <w:bookmarkStart w:id="225" w:name="_Toc31704"/>
      <w:bookmarkStart w:id="226" w:name="_Toc16771"/>
      <w:bookmarkStart w:id="227" w:name="_Toc8042"/>
      <w:bookmarkStart w:id="228" w:name="_Toc23110"/>
      <w:bookmarkStart w:id="229" w:name="_Toc22774"/>
      <w:r>
        <w:rPr>
          <w:rFonts w:hint="default" w:ascii="Times New Roman" w:hAnsi="Times New Roman" w:eastAsia="楷体_GB2312" w:cs="Times New Roman"/>
          <w:color w:val="auto"/>
          <w:sz w:val="32"/>
          <w:szCs w:val="32"/>
          <w:lang w:val="en-US" w:eastAsia="zh-CN"/>
        </w:rPr>
        <w:t>第</w:t>
      </w:r>
      <w:r>
        <w:rPr>
          <w:rFonts w:hint="default" w:cs="Times New Roman"/>
          <w:color w:val="auto"/>
          <w:sz w:val="32"/>
          <w:szCs w:val="32"/>
          <w:lang w:eastAsia="zh-CN"/>
        </w:rPr>
        <w:t>三</w:t>
      </w:r>
      <w:r>
        <w:rPr>
          <w:rFonts w:hint="default" w:ascii="Times New Roman" w:hAnsi="Times New Roman" w:eastAsia="楷体_GB2312" w:cs="Times New Roman"/>
          <w:color w:val="auto"/>
          <w:sz w:val="32"/>
          <w:szCs w:val="32"/>
          <w:lang w:val="en-US" w:eastAsia="zh-CN"/>
        </w:rPr>
        <w:t>节</w:t>
      </w:r>
      <w:r>
        <w:rPr>
          <w:rFonts w:hint="default" w:ascii="Times New Roman" w:hAnsi="Times New Roman" w:cs="Times New Roman"/>
          <w:color w:val="auto"/>
          <w:sz w:val="32"/>
          <w:szCs w:val="32"/>
          <w:lang w:val="en-US" w:eastAsia="zh-CN"/>
        </w:rPr>
        <w:t xml:space="preserve"> </w:t>
      </w:r>
      <w:r>
        <w:rPr>
          <w:rFonts w:hint="default" w:ascii="Times New Roman" w:hAnsi="Times New Roman" w:eastAsia="楷体_GB2312" w:cs="Times New Roman"/>
          <w:b w:val="0"/>
          <w:color w:val="auto"/>
          <w:sz w:val="32"/>
          <w:szCs w:val="32"/>
          <w:highlight w:val="none"/>
          <w:lang w:eastAsia="zh-CN"/>
        </w:rPr>
        <w:t>深化行政审批制度改革</w:t>
      </w:r>
      <w:bookmarkEnd w:id="225"/>
      <w:bookmarkEnd w:id="226"/>
      <w:bookmarkEnd w:id="227"/>
      <w:bookmarkEnd w:id="228"/>
      <w:bookmarkEnd w:id="229"/>
      <w:r>
        <w:rPr>
          <w:rFonts w:hint="default" w:ascii="Times New Roman" w:hAnsi="Times New Roman" w:cs="Times New Roman"/>
          <w:color w:val="auto"/>
          <w:highlight w:val="none"/>
          <w:lang w:val="en-US" w:eastAsia="zh-CN"/>
        </w:rPr>
        <w:t xml:space="preserve">  </w:t>
      </w:r>
    </w:p>
    <w:p w14:paraId="1F6BE416">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统筹谋划建设巩留县一体化大数据平台，推动跨区域政务数据安全共享。深化“12345政务服务热线”应用，健全群众和企业诉求“一线应答”“接诉即办”工作机制，探索“人工智能+”政务服务模式，建立健全基于大数据的科学决策、社会治理和市场监管机制。推进政务大厅“综窗改革”，统筹推进乡镇便民服务中心、村（社区）便民服务站建设。推进</w:t>
      </w:r>
      <w:r>
        <w:rPr>
          <w:rFonts w:hint="eastAsia" w:ascii="Times New Roman" w:hAnsi="Times New Roman" w:cs="Times New Roman"/>
          <w:color w:val="auto"/>
          <w:highlight w:val="none"/>
          <w:lang w:eastAsia="zh-CN"/>
        </w:rPr>
        <w:t>“高效办成一件事”</w:t>
      </w:r>
      <w:r>
        <w:rPr>
          <w:rFonts w:hint="default" w:ascii="Times New Roman" w:hAnsi="Times New Roman" w:cs="Times New Roman"/>
          <w:color w:val="auto"/>
          <w:highlight w:val="none"/>
          <w:lang w:eastAsia="zh-CN"/>
        </w:rPr>
        <w:t>改革，健全重点事项清单管理和常态化推进机制。推行“告知承诺+容缺受理”审批服务模式，简化审批程序，提高办事效率。全面实施行政许可和行政备案事项清单管理，最大限度减少对市场资源配置和微观经济活动的直接干预。规范行政审批中介服务，提升审批服务标准化、规范化、便利化水平。</w:t>
      </w:r>
    </w:p>
    <w:p w14:paraId="4BE2BB0C">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30" w:name="_Toc2867"/>
      <w:bookmarkStart w:id="231" w:name="_Toc29286"/>
      <w:bookmarkStart w:id="232" w:name="_Toc25105"/>
      <w:bookmarkStart w:id="233" w:name="_Toc4149"/>
      <w:bookmarkStart w:id="234" w:name="_Toc10984"/>
      <w:r>
        <w:rPr>
          <w:rFonts w:hint="default" w:ascii="Times New Roman" w:hAnsi="Times New Roman" w:eastAsia="楷体_GB2312" w:cs="Times New Roman"/>
          <w:b w:val="0"/>
          <w:color w:val="auto"/>
          <w:sz w:val="32"/>
          <w:szCs w:val="32"/>
          <w:highlight w:val="none"/>
          <w:lang w:eastAsia="zh-CN"/>
        </w:rPr>
        <w:t>第四节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深化营商环境改革</w:t>
      </w:r>
      <w:bookmarkEnd w:id="230"/>
      <w:bookmarkEnd w:id="231"/>
      <w:bookmarkEnd w:id="232"/>
      <w:bookmarkEnd w:id="233"/>
      <w:bookmarkEnd w:id="234"/>
    </w:p>
    <w:p w14:paraId="5198CB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22"/>
          <w:highlight w:val="none"/>
          <w:lang w:eastAsia="zh-CN"/>
        </w:rPr>
      </w:pPr>
      <w:r>
        <w:rPr>
          <w:rFonts w:hint="default" w:ascii="Times New Roman" w:hAnsi="Times New Roman" w:eastAsia="仿宋_GB2312" w:cs="Times New Roman"/>
          <w:color w:val="auto"/>
          <w:sz w:val="32"/>
          <w:szCs w:val="22"/>
          <w:highlight w:val="none"/>
          <w:lang w:eastAsia="zh-CN"/>
        </w:rPr>
        <w:t>严格落实《优化营商环境条例》，健全营商环境政策制度体系。加快完善市场准入制度，优化新业态新领域市场准入环境。推行“民宿开办全周期一件事”改革，集成食品经营、公共场所卫生、特种行业许可，实现“一次告知、一套材料、一窗发证”。深化注册资本认缴登记制度改革，实行依法按期认缴。完善个体工商户全生命周期综合服务体系。依法平等保护各种所有制经济产权，加强新兴领域产权制度建设和产权执法司法保护。建立健全专利侵权纠纷行政裁决工作机制，落实知识产权侵权惩罚性赔偿制度，加大知识产权刑事保护力度。围绕巩留特色林果、中药材等领域建立地理标志保护名录，加强企业商业秘密保护。推动社会信用体系建设，健全分级分类信用监管机制，完善民营企业信用状况综合评价体系。健全政府合同履约监管机制，健全“新官不理旧账”制度。深入推进信用信息归集共享和信用应用拓展，持续做好“信用修复一件事”，简化个体工商户信用修复流程。支持巩留县开展市场化法治化营商环境综合改革试点，实施好营商环境监测点，深化“综合查一次”“扫码入企”跨部门联合监管改革，整合生态环境、市场监管、应急管理等检查事项，对信用良好企业实行“免检免打扰”。全面推行涉企轻微违法行为“首违不罚、轻违免罚”清单模式，动态调整并公开不予处罚事项清单，进一步提升“投资巩留”营商环境品牌影响力。</w:t>
      </w:r>
    </w:p>
    <w:p w14:paraId="0EDAA6E5">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35" w:name="_Toc9213"/>
      <w:bookmarkStart w:id="236" w:name="_Toc391"/>
      <w:bookmarkStart w:id="237" w:name="_Toc6672"/>
      <w:bookmarkStart w:id="238" w:name="_Toc7192"/>
      <w:bookmarkStart w:id="239" w:name="_Toc7577"/>
      <w:r>
        <w:rPr>
          <w:rFonts w:hint="default" w:ascii="Times New Roman" w:hAnsi="Times New Roman" w:eastAsia="楷体_GB2312" w:cs="Times New Roman"/>
          <w:b w:val="0"/>
          <w:color w:val="auto"/>
          <w:sz w:val="32"/>
          <w:szCs w:val="32"/>
          <w:highlight w:val="none"/>
          <w:lang w:eastAsia="zh-CN"/>
        </w:rPr>
        <w:t>第五节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深化社会领域改革</w:t>
      </w:r>
      <w:bookmarkEnd w:id="235"/>
      <w:bookmarkEnd w:id="236"/>
      <w:bookmarkEnd w:id="237"/>
      <w:bookmarkEnd w:id="238"/>
      <w:bookmarkEnd w:id="239"/>
    </w:p>
    <w:p w14:paraId="43F93262">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深化教育、医疗、文化、社会保障等社会领域改革，增强基本公共服务供给能力。推进教育综合改革，优化教育资源配置，推动城乡义务教育优质均衡发展。深化公立医院改革，完善薪酬制度和编制动态调整机制，建立以健康为导向的医保支付机制。推进公共文化服务体系建设，完善覆盖城乡的公共图书馆、文化馆、博物馆网络，提升公共文化服务均等化水平。健全社会保障体系，扩大社会保险覆盖面，健全分层分类社会救助体系，完善城乡居民基本医疗保险筹资机制。推进养老服务改革，发展居家、社区、机构相协调的养老服务体系，支持各类市场主体按市场化原则参与养老服务。深化殡葬改革，推动殡葬服务公益化、规范化发展。推进殡仪馆、公益性公墓等基础设施建设，倡导文明节俭殡葬新风。</w:t>
      </w:r>
    </w:p>
    <w:p w14:paraId="3D2C44B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40" w:name="_Toc23896"/>
      <w:bookmarkStart w:id="241" w:name="_Toc31567"/>
      <w:bookmarkStart w:id="242" w:name="_Toc2763"/>
      <w:bookmarkStart w:id="243" w:name="_Toc19584"/>
      <w:bookmarkStart w:id="244" w:name="_Toc2270"/>
    </w:p>
    <w:p w14:paraId="096AB548">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六</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深化</w:t>
      </w:r>
      <w:r>
        <w:rPr>
          <w:rFonts w:hint="default" w:ascii="Times New Roman" w:hAnsi="Times New Roman" w:cs="Times New Roman"/>
          <w:b w:val="0"/>
          <w:color w:val="auto"/>
          <w:sz w:val="32"/>
          <w:szCs w:val="32"/>
          <w:highlight w:val="none"/>
          <w:lang w:val="en-US" w:eastAsia="zh-CN"/>
        </w:rPr>
        <w:t>农业</w:t>
      </w:r>
      <w:r>
        <w:rPr>
          <w:rFonts w:hint="default" w:ascii="Times New Roman" w:hAnsi="Times New Roman" w:eastAsia="楷体_GB2312" w:cs="Times New Roman"/>
          <w:b w:val="0"/>
          <w:color w:val="auto"/>
          <w:sz w:val="32"/>
          <w:szCs w:val="32"/>
          <w:highlight w:val="none"/>
          <w:lang w:val="en-US" w:eastAsia="zh-CN"/>
        </w:rPr>
        <w:t>农村改革</w:t>
      </w:r>
      <w:bookmarkEnd w:id="240"/>
      <w:bookmarkEnd w:id="241"/>
      <w:bookmarkEnd w:id="242"/>
      <w:bookmarkEnd w:id="243"/>
    </w:p>
    <w:bookmarkEnd w:id="244"/>
    <w:p w14:paraId="6CBB9918">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依法规范国有农用地、农村集体用地管理，</w:t>
      </w:r>
      <w:r>
        <w:rPr>
          <w:rFonts w:hint="default" w:ascii="Times New Roman" w:hAnsi="Times New Roman" w:eastAsia="仿宋_GB2312" w:cs="Times New Roman"/>
          <w:b w:val="0"/>
          <w:bCs w:val="0"/>
          <w:color w:val="auto"/>
          <w:highlight w:val="none"/>
          <w:lang w:val="en-US" w:eastAsia="zh-CN"/>
        </w:rPr>
        <w:t>有序推进第二轮土地承包到期后再延长30年试点，完善农村土地</w:t>
      </w:r>
      <w:r>
        <w:rPr>
          <w:rFonts w:hint="eastAsia" w:ascii="Times New Roman" w:hAnsi="Times New Roman" w:cs="Times New Roman"/>
          <w:b w:val="0"/>
          <w:bCs w:val="0"/>
          <w:color w:val="auto"/>
          <w:highlight w:val="none"/>
          <w:lang w:val="en-US" w:eastAsia="zh-CN"/>
        </w:rPr>
        <w:t>“三权分置”</w:t>
      </w:r>
      <w:r>
        <w:rPr>
          <w:rFonts w:hint="default" w:ascii="Times New Roman" w:hAnsi="Times New Roman" w:eastAsia="仿宋_GB2312" w:cs="Times New Roman"/>
          <w:b w:val="0"/>
          <w:bCs w:val="0"/>
          <w:color w:val="auto"/>
          <w:highlight w:val="none"/>
          <w:lang w:val="en-US" w:eastAsia="zh-CN"/>
        </w:rPr>
        <w:t>制度，引导土地经营权有序流转，规范和加强国有农用地管</w:t>
      </w:r>
      <w:r>
        <w:rPr>
          <w:rFonts w:hint="default" w:ascii="Times New Roman" w:hAnsi="Times New Roman" w:cs="Times New Roman"/>
          <w:b w:val="0"/>
          <w:bCs w:val="0"/>
          <w:color w:val="auto"/>
          <w:highlight w:val="none"/>
          <w:lang w:val="en-US" w:eastAsia="zh-CN"/>
        </w:rPr>
        <w:t>理和</w:t>
      </w:r>
      <w:r>
        <w:rPr>
          <w:rFonts w:hint="default" w:ascii="Times New Roman" w:hAnsi="Times New Roman" w:eastAsia="仿宋_GB2312" w:cs="Times New Roman"/>
          <w:b w:val="0"/>
          <w:bCs w:val="0"/>
          <w:color w:val="auto"/>
          <w:highlight w:val="none"/>
          <w:lang w:val="en-US" w:eastAsia="zh-CN"/>
        </w:rPr>
        <w:t>使用。深化农村集体产权制度改革，</w:t>
      </w:r>
      <w:r>
        <w:rPr>
          <w:rFonts w:hint="default" w:ascii="Times New Roman" w:hAnsi="Times New Roman" w:cs="Times New Roman"/>
          <w:b w:val="0"/>
          <w:bCs w:val="0"/>
          <w:color w:val="auto"/>
          <w:highlight w:val="none"/>
          <w:lang w:val="en-US" w:eastAsia="zh-CN"/>
        </w:rPr>
        <w:t>健全农村产权流转交易市场和监督管理体系，引导土地经营权有序流转，</w:t>
      </w:r>
      <w:r>
        <w:rPr>
          <w:rFonts w:hint="default" w:ascii="Times New Roman" w:hAnsi="Times New Roman" w:eastAsia="仿宋_GB2312" w:cs="Times New Roman"/>
          <w:b w:val="0"/>
          <w:bCs w:val="0"/>
          <w:color w:val="auto"/>
          <w:highlight w:val="none"/>
          <w:lang w:val="en-US" w:eastAsia="zh-CN"/>
        </w:rPr>
        <w:t>发展壮大农村集体经济，增加农民财产性收入。培育新型农业经营主体，发展多种形式适度规模经营，健全农业社会化服务体系。鼓励小农户以土地经营权等入股新型农业经营主体。</w:t>
      </w:r>
      <w:r>
        <w:rPr>
          <w:rFonts w:hint="default" w:ascii="Times New Roman" w:hAnsi="Times New Roman" w:cs="Times New Roman"/>
          <w:b w:val="0"/>
          <w:bCs w:val="0"/>
          <w:color w:val="auto"/>
          <w:highlight w:val="none"/>
          <w:lang w:val="en-US" w:eastAsia="zh-CN"/>
        </w:rPr>
        <w:t>加强农村宅基地规范管理，</w:t>
      </w:r>
      <w:r>
        <w:rPr>
          <w:rFonts w:hint="default" w:ascii="Times New Roman" w:hAnsi="Times New Roman" w:eastAsia="仿宋_GB2312" w:cs="Times New Roman"/>
          <w:b w:val="0"/>
          <w:bCs w:val="0"/>
          <w:color w:val="auto"/>
          <w:highlight w:val="none"/>
          <w:lang w:val="en-US" w:eastAsia="zh-CN"/>
        </w:rPr>
        <w:t>允许农户通过出租、入股、合作等方式盘活利用合法拥有的</w:t>
      </w:r>
      <w:r>
        <w:rPr>
          <w:rFonts w:hint="default" w:ascii="Times New Roman" w:hAnsi="Times New Roman" w:cs="Times New Roman"/>
          <w:b w:val="0"/>
          <w:bCs w:val="0"/>
          <w:color w:val="auto"/>
          <w:highlight w:val="none"/>
          <w:lang w:val="en-US" w:eastAsia="zh-CN"/>
        </w:rPr>
        <w:t>闲置</w:t>
      </w:r>
      <w:r>
        <w:rPr>
          <w:rFonts w:hint="default" w:ascii="Times New Roman" w:hAnsi="Times New Roman" w:eastAsia="仿宋_GB2312" w:cs="Times New Roman"/>
          <w:b w:val="0"/>
          <w:bCs w:val="0"/>
          <w:color w:val="auto"/>
          <w:highlight w:val="none"/>
          <w:lang w:val="en-US" w:eastAsia="zh-CN"/>
        </w:rPr>
        <w:t>住房。规范农村集体经济组织及其运行管理，加强农村集体资产监督管理，严控集体经营风险和债务规模。有序推进农村集体经营性建设用地入市改革，健全土地增值收益分配机制和权益保护机制。规范有序开展城乡建设用地增减挂钩，探索农村存量建设用地通过增减挂钩实现县域内跨村组区位调整。稳妥有序开展以乡镇为基本单元的全域土地综合整治。持续推进国有农牧场企业化改革和公司制改制。深化集体林权制度改革，创新林权融资机制。完善农业水价形成机制、用水管理机制、工程建设和管护机制、精准补贴和节水奖励机制，推动农业用水方式由粗放向集约高效转变。深化供销合作社综合改革</w:t>
      </w:r>
      <w:r>
        <w:rPr>
          <w:rFonts w:hint="default" w:ascii="Times New Roman" w:hAnsi="Times New Roman" w:cs="Times New Roman"/>
          <w:b w:val="0"/>
          <w:bCs w:val="0"/>
          <w:color w:val="auto"/>
          <w:highlight w:val="none"/>
          <w:lang w:val="en-US" w:eastAsia="zh-CN"/>
        </w:rPr>
        <w:t>，粮食购销和储备体制机制改革。</w:t>
      </w:r>
    </w:p>
    <w:p w14:paraId="1EBF4AC6">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63C150C4">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245" w:name="_Toc4285"/>
      <w:bookmarkStart w:id="246" w:name="_Toc28583"/>
      <w:bookmarkStart w:id="247" w:name="_Toc20332"/>
      <w:r>
        <w:rPr>
          <w:rFonts w:hint="default" w:ascii="Times New Roman" w:hAnsi="Times New Roman" w:eastAsia="黑体" w:cs="Times New Roman"/>
          <w:bCs/>
          <w:color w:val="auto"/>
          <w:kern w:val="44"/>
          <w:sz w:val="36"/>
          <w:szCs w:val="36"/>
          <w:highlight w:val="none"/>
          <w:lang w:val="en-US" w:eastAsia="zh-CN" w:bidi="ar"/>
        </w:rPr>
        <w:t xml:space="preserve">第九章  </w:t>
      </w:r>
      <w:bookmarkEnd w:id="207"/>
      <w:r>
        <w:rPr>
          <w:rFonts w:hint="default" w:ascii="Times New Roman" w:hAnsi="Times New Roman" w:eastAsia="黑体" w:cs="Times New Roman"/>
          <w:bCs/>
          <w:color w:val="auto"/>
          <w:kern w:val="44"/>
          <w:sz w:val="36"/>
          <w:szCs w:val="36"/>
          <w:highlight w:val="none"/>
          <w:lang w:val="en-US" w:eastAsia="zh-CN" w:bidi="ar"/>
        </w:rPr>
        <w:t>坚持协同融合一体，建强现代化基础设施</w:t>
      </w:r>
      <w:bookmarkEnd w:id="208"/>
      <w:bookmarkEnd w:id="245"/>
      <w:bookmarkEnd w:id="246"/>
      <w:bookmarkEnd w:id="247"/>
    </w:p>
    <w:p w14:paraId="4144F094">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color w:val="auto"/>
          <w:sz w:val="32"/>
          <w:szCs w:val="22"/>
          <w:highlight w:val="none"/>
        </w:rPr>
        <w:t>聚焦交通、水利、能源等关键领域，推进综合立体交通网、现代水网、智能电网等建设，强化基础设施互联互通和高效协同，为高质量发展提供坚实保障。</w:t>
      </w:r>
    </w:p>
    <w:p w14:paraId="6372CFB1">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248" w:name="_Toc13559"/>
      <w:bookmarkStart w:id="249" w:name="_Toc19763"/>
      <w:bookmarkStart w:id="250" w:name="_Toc22613"/>
      <w:bookmarkStart w:id="251" w:name="_Toc26689"/>
      <w:bookmarkStart w:id="252" w:name="_Toc28908"/>
      <w:r>
        <w:rPr>
          <w:rFonts w:hint="default" w:ascii="Times New Roman" w:hAnsi="Times New Roman" w:eastAsia="楷体_GB2312" w:cs="Times New Roman"/>
          <w:b w:val="0"/>
          <w:color w:val="auto"/>
          <w:sz w:val="32"/>
          <w:szCs w:val="32"/>
          <w:highlight w:val="none"/>
          <w:lang w:eastAsia="zh-CN"/>
        </w:rPr>
        <w:t>第一节</w:t>
      </w:r>
      <w:r>
        <w:rPr>
          <w:rFonts w:hint="default" w:ascii="Times New Roman" w:hAnsi="Times New Roman" w:eastAsia="楷体_GB2312" w:cs="Times New Roman"/>
          <w:b w:val="0"/>
          <w:color w:val="auto"/>
          <w:sz w:val="32"/>
          <w:szCs w:val="32"/>
          <w:highlight w:val="none"/>
          <w:lang w:val="en-US" w:eastAsia="zh-CN"/>
        </w:rPr>
        <w:t xml:space="preserve"> </w:t>
      </w:r>
      <w:bookmarkEnd w:id="248"/>
      <w:bookmarkEnd w:id="249"/>
      <w:r>
        <w:rPr>
          <w:rFonts w:hint="default" w:ascii="Times New Roman" w:hAnsi="Times New Roman" w:eastAsia="楷体_GB2312" w:cs="Times New Roman"/>
          <w:b w:val="0"/>
          <w:color w:val="auto"/>
          <w:sz w:val="32"/>
          <w:szCs w:val="32"/>
          <w:highlight w:val="none"/>
          <w:lang w:val="en-US" w:eastAsia="zh-CN"/>
        </w:rPr>
        <w:t>健全综合交通网络体系</w:t>
      </w:r>
      <w:bookmarkEnd w:id="250"/>
      <w:bookmarkEnd w:id="251"/>
      <w:bookmarkEnd w:id="252"/>
    </w:p>
    <w:p w14:paraId="4A819EAD">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围绕构建“三横四纵、外联内通”的综合交通体系，全面优化县域交通网络布局，提升对外联通能力与内部通行效率。</w:t>
      </w:r>
      <w:r>
        <w:rPr>
          <w:rFonts w:hint="default" w:ascii="Times New Roman" w:hAnsi="Times New Roman" w:eastAsia="仿宋_GB2312" w:cs="Times New Roman"/>
          <w:b/>
          <w:bCs/>
          <w:color w:val="auto"/>
          <w:kern w:val="2"/>
          <w:sz w:val="32"/>
          <w:szCs w:val="32"/>
          <w:highlight w:val="none"/>
          <w:lang w:val="en-US" w:eastAsia="zh-CN" w:bidi="ar-SA"/>
        </w:rPr>
        <w:t>公路方面：</w:t>
      </w:r>
      <w:r>
        <w:rPr>
          <w:rFonts w:hint="default" w:ascii="Times New Roman" w:hAnsi="Times New Roman" w:cs="Times New Roman"/>
          <w:b w:val="0"/>
          <w:bCs w:val="0"/>
          <w:color w:val="auto"/>
          <w:kern w:val="2"/>
          <w:sz w:val="32"/>
          <w:szCs w:val="32"/>
          <w:highlight w:val="none"/>
          <w:lang w:val="en-US" w:eastAsia="zh-CN" w:bidi="ar-SA"/>
        </w:rPr>
        <w:t>大力推进公路安全韧性提升行动，</w:t>
      </w:r>
      <w:r>
        <w:rPr>
          <w:rFonts w:hint="default" w:ascii="Times New Roman" w:hAnsi="Times New Roman" w:cs="Times New Roman"/>
          <w:color w:val="auto"/>
          <w:highlight w:val="none"/>
          <w:lang w:val="en-US" w:eastAsia="zh-CN"/>
        </w:rPr>
        <w:t>加快推进G578延伸线项目、</w:t>
      </w:r>
      <w:r>
        <w:rPr>
          <w:rFonts w:hint="default" w:ascii="Times New Roman" w:hAnsi="Times New Roman" w:eastAsia="仿宋_GB2312" w:cs="Times New Roman"/>
          <w:color w:val="auto"/>
          <w:highlight w:val="none"/>
        </w:rPr>
        <w:t>加快S345线库尔德宁—喀拉峻旅游公路等重点干线公路建设，打通东西向交通动脉，串联库尔德宁、恰西、野核桃沟等核心景区，形成环线联动发展格局。持续推动农村公路提档升级</w:t>
      </w:r>
      <w:r>
        <w:rPr>
          <w:rFonts w:hint="default" w:ascii="Times New Roman" w:hAnsi="Times New Roman" w:cs="Times New Roman"/>
          <w:color w:val="auto"/>
          <w:highlight w:val="none"/>
          <w:lang w:eastAsia="zh-CN"/>
        </w:rPr>
        <w:t>，将</w:t>
      </w:r>
      <w:r>
        <w:rPr>
          <w:rFonts w:hint="default" w:ascii="Times New Roman" w:hAnsi="Times New Roman" w:eastAsia="仿宋_GB2312" w:cs="Times New Roman"/>
          <w:color w:val="auto"/>
          <w:highlight w:val="none"/>
        </w:rPr>
        <w:t>重要农村公路提升改造为双车道三级公路，实施通村入组延伸工程，推进“四好农村路”示范县提质扩面</w:t>
      </w:r>
      <w:r>
        <w:rPr>
          <w:rFonts w:hint="default" w:ascii="Times New Roman" w:hAnsi="Times New Roman" w:cs="Times New Roman"/>
          <w:color w:val="auto"/>
          <w:highlight w:val="none"/>
          <w:lang w:eastAsia="zh-CN"/>
        </w:rPr>
        <w:t>，争创全国城乡交通一体化示范县</w:t>
      </w:r>
      <w:r>
        <w:rPr>
          <w:rFonts w:hint="default" w:ascii="Times New Roman" w:hAnsi="Times New Roman" w:eastAsia="仿宋_GB2312" w:cs="Times New Roman"/>
          <w:color w:val="auto"/>
          <w:highlight w:val="none"/>
        </w:rPr>
        <w:t>。完善城乡公交一体化运营体系，加快</w:t>
      </w:r>
      <w:r>
        <w:rPr>
          <w:rFonts w:hint="default" w:ascii="Times New Roman" w:hAnsi="Times New Roman" w:cs="Times New Roman"/>
          <w:color w:val="auto"/>
          <w:highlight w:val="none"/>
          <w:lang w:val="en-US" w:eastAsia="zh-CN"/>
        </w:rPr>
        <w:t>电子警察、智慧交通</w:t>
      </w:r>
      <w:r>
        <w:rPr>
          <w:rFonts w:hint="default" w:ascii="Times New Roman" w:hAnsi="Times New Roman" w:eastAsia="仿宋_GB2312" w:cs="Times New Roman"/>
          <w:color w:val="auto"/>
          <w:highlight w:val="none"/>
        </w:rPr>
        <w:t>建设，提高公共交通服务覆盖广度与运行效率。</w:t>
      </w:r>
      <w:r>
        <w:rPr>
          <w:rFonts w:hint="default" w:ascii="Times New Roman" w:hAnsi="Times New Roman" w:eastAsia="仿宋_GB2312" w:cs="Times New Roman"/>
          <w:b/>
          <w:bCs/>
          <w:color w:val="auto"/>
          <w:kern w:val="2"/>
          <w:sz w:val="32"/>
          <w:szCs w:val="32"/>
          <w:highlight w:val="none"/>
          <w:lang w:val="en-US" w:eastAsia="zh-CN" w:bidi="ar-SA"/>
        </w:rPr>
        <w:t>铁路方面：</w:t>
      </w:r>
      <w:r>
        <w:rPr>
          <w:rFonts w:hint="default" w:ascii="Times New Roman" w:hAnsi="Times New Roman" w:cs="Times New Roman"/>
          <w:color w:val="auto"/>
          <w:highlight w:val="none"/>
          <w:lang w:val="en-US" w:eastAsia="zh-CN"/>
        </w:rPr>
        <w:t>配合做好</w:t>
      </w:r>
      <w:r>
        <w:rPr>
          <w:rFonts w:hint="default" w:ascii="Times New Roman" w:hAnsi="Times New Roman" w:eastAsia="仿宋_GB2312" w:cs="Times New Roman"/>
          <w:color w:val="auto"/>
          <w:highlight w:val="none"/>
        </w:rPr>
        <w:t>伊宁—阿克苏铁路（巩留段）</w:t>
      </w:r>
      <w:r>
        <w:rPr>
          <w:rFonts w:hint="default" w:ascii="Times New Roman" w:hAnsi="Times New Roman" w:cs="Times New Roman"/>
          <w:color w:val="auto"/>
          <w:highlight w:val="none"/>
          <w:lang w:val="en-US" w:eastAsia="zh-CN"/>
        </w:rPr>
        <w:t>建</w:t>
      </w:r>
      <w:r>
        <w:rPr>
          <w:rFonts w:hint="default" w:ascii="Times New Roman" w:hAnsi="Times New Roman" w:eastAsia="仿宋_GB2312" w:cs="Times New Roman"/>
          <w:color w:val="auto"/>
          <w:highlight w:val="none"/>
          <w:lang w:val="en-US" w:eastAsia="zh-CN"/>
        </w:rPr>
        <w:t>设</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eastAsia="zh-CN"/>
        </w:rPr>
        <w:t>推进巩留站前广场及配套基础设施建设，</w:t>
      </w:r>
      <w:r>
        <w:rPr>
          <w:rFonts w:hint="default" w:ascii="Times New Roman" w:hAnsi="Times New Roman" w:eastAsia="仿宋_GB2312" w:cs="Times New Roman"/>
          <w:color w:val="auto"/>
          <w:highlight w:val="none"/>
        </w:rPr>
        <w:t>推动县域铁路通道融入全疆铁路骨干网络，</w:t>
      </w:r>
      <w:r>
        <w:rPr>
          <w:rFonts w:hint="default" w:ascii="Times New Roman" w:hAnsi="Times New Roman" w:cs="Times New Roman"/>
          <w:color w:val="auto"/>
          <w:highlight w:val="none"/>
          <w:lang w:val="en-US" w:eastAsia="zh-CN"/>
        </w:rPr>
        <w:t>加快巩留园区与金岗园区兵地融合示范区铁路专用线建设，</w:t>
      </w:r>
      <w:r>
        <w:rPr>
          <w:rFonts w:hint="default" w:ascii="Times New Roman" w:hAnsi="Times New Roman" w:eastAsia="仿宋_GB2312" w:cs="Times New Roman"/>
          <w:color w:val="auto"/>
          <w:kern w:val="2"/>
          <w:sz w:val="32"/>
          <w:szCs w:val="32"/>
          <w:highlight w:val="none"/>
          <w:lang w:val="en-US" w:eastAsia="zh-CN" w:bidi="ar-SA"/>
        </w:rPr>
        <w:t>提升客货运输及旅游交通支撑能力。</w:t>
      </w:r>
      <w:r>
        <w:rPr>
          <w:rFonts w:hint="default" w:ascii="Times New Roman" w:hAnsi="Times New Roman" w:eastAsia="仿宋_GB2312" w:cs="Times New Roman"/>
          <w:b/>
          <w:bCs/>
          <w:color w:val="auto"/>
          <w:kern w:val="2"/>
          <w:sz w:val="32"/>
          <w:szCs w:val="32"/>
          <w:highlight w:val="none"/>
          <w:lang w:val="en-US" w:eastAsia="zh-CN" w:bidi="ar-SA"/>
        </w:rPr>
        <w:t>航空方面：</w:t>
      </w:r>
      <w:r>
        <w:rPr>
          <w:rFonts w:hint="default" w:ascii="Times New Roman" w:hAnsi="Times New Roman" w:cs="Times New Roman"/>
          <w:color w:val="auto"/>
          <w:highlight w:val="none"/>
          <w:lang w:val="en-US" w:eastAsia="zh-CN"/>
        </w:rPr>
        <w:t>大力</w:t>
      </w:r>
      <w:r>
        <w:rPr>
          <w:rFonts w:hint="default" w:ascii="Times New Roman" w:hAnsi="Times New Roman" w:eastAsia="仿宋_GB2312" w:cs="Times New Roman"/>
          <w:color w:val="auto"/>
          <w:highlight w:val="none"/>
        </w:rPr>
        <w:t>推进通用机场项目</w:t>
      </w:r>
      <w:r>
        <w:rPr>
          <w:rFonts w:hint="default" w:ascii="Times New Roman" w:hAnsi="Times New Roman" w:cs="Times New Roman"/>
          <w:color w:val="auto"/>
          <w:highlight w:val="none"/>
          <w:lang w:val="en-US" w:eastAsia="zh-CN"/>
        </w:rPr>
        <w:t>建设</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kern w:val="2"/>
          <w:sz w:val="32"/>
          <w:szCs w:val="32"/>
          <w:highlight w:val="none"/>
          <w:lang w:val="en-US" w:eastAsia="zh-CN" w:bidi="ar-SA"/>
        </w:rPr>
        <w:t>完善航空运输服务体系</w:t>
      </w:r>
      <w:r>
        <w:rPr>
          <w:rFonts w:hint="default" w:ascii="Times New Roman" w:hAnsi="Times New Roman"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推动与周边机场形成联动网络。</w:t>
      </w:r>
      <w:r>
        <w:rPr>
          <w:rFonts w:hint="default" w:ascii="Times New Roman" w:hAnsi="Times New Roman" w:eastAsia="仿宋_GB2312" w:cs="Times New Roman"/>
          <w:b/>
          <w:bCs/>
          <w:color w:val="auto"/>
          <w:kern w:val="2"/>
          <w:sz w:val="32"/>
          <w:szCs w:val="32"/>
          <w:highlight w:val="none"/>
          <w:lang w:val="en-US" w:eastAsia="zh-CN" w:bidi="ar-SA"/>
        </w:rPr>
        <w:t>水运方面：</w:t>
      </w:r>
      <w:r>
        <w:rPr>
          <w:rFonts w:hint="default" w:ascii="Times New Roman" w:hAnsi="Times New Roman" w:eastAsia="仿宋_GB2312" w:cs="Times New Roman"/>
          <w:color w:val="auto"/>
          <w:kern w:val="2"/>
          <w:sz w:val="32"/>
          <w:szCs w:val="32"/>
          <w:highlight w:val="none"/>
          <w:lang w:val="en-US" w:eastAsia="zh-CN" w:bidi="ar-SA"/>
        </w:rPr>
        <w:t>适度开发符合要求的水运交通项目，完善水运交通管理制度和规范</w:t>
      </w:r>
      <w:r>
        <w:rPr>
          <w:rFonts w:hint="default" w:ascii="Times New Roman" w:hAnsi="Times New Roman" w:cs="Times New Roman"/>
          <w:color w:val="auto"/>
          <w:kern w:val="2"/>
          <w:sz w:val="32"/>
          <w:szCs w:val="32"/>
          <w:highlight w:val="none"/>
          <w:lang w:val="en-US" w:eastAsia="zh-CN" w:bidi="ar-SA"/>
        </w:rPr>
        <w:t>。</w:t>
      </w:r>
    </w:p>
    <w:p w14:paraId="13C46EBA">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53" w:name="_Toc19339"/>
      <w:bookmarkStart w:id="254" w:name="_Toc1078"/>
      <w:bookmarkStart w:id="255" w:name="_Toc25589"/>
      <w:bookmarkStart w:id="256" w:name="_Toc28454"/>
      <w:bookmarkStart w:id="257" w:name="_Toc19540"/>
      <w:r>
        <w:rPr>
          <w:rFonts w:hint="default" w:ascii="Times New Roman" w:hAnsi="Times New Roman" w:eastAsia="楷体_GB2312" w:cs="Times New Roman"/>
          <w:b w:val="0"/>
          <w:color w:val="auto"/>
          <w:sz w:val="32"/>
          <w:szCs w:val="32"/>
          <w:highlight w:val="none"/>
          <w:lang w:eastAsia="zh-CN"/>
        </w:rPr>
        <w:t>第二节</w:t>
      </w:r>
      <w:r>
        <w:rPr>
          <w:rFonts w:hint="default" w:ascii="Times New Roman" w:hAnsi="Times New Roman" w:eastAsia="楷体_GB2312" w:cs="Times New Roman"/>
          <w:b w:val="0"/>
          <w:color w:val="auto"/>
          <w:sz w:val="32"/>
          <w:szCs w:val="32"/>
          <w:highlight w:val="none"/>
          <w:lang w:val="en-US" w:eastAsia="zh-CN"/>
        </w:rPr>
        <w:t xml:space="preserve"> </w:t>
      </w:r>
      <w:bookmarkEnd w:id="253"/>
      <w:bookmarkEnd w:id="254"/>
      <w:r>
        <w:rPr>
          <w:rFonts w:hint="default" w:ascii="Times New Roman" w:hAnsi="Times New Roman" w:eastAsia="楷体_GB2312" w:cs="Times New Roman"/>
          <w:b w:val="0"/>
          <w:color w:val="auto"/>
          <w:sz w:val="32"/>
          <w:szCs w:val="32"/>
          <w:highlight w:val="none"/>
          <w:lang w:val="en-US" w:eastAsia="zh-CN"/>
        </w:rPr>
        <w:t>强化水安全保障网络</w:t>
      </w:r>
      <w:bookmarkEnd w:id="255"/>
      <w:bookmarkEnd w:id="256"/>
      <w:bookmarkEnd w:id="257"/>
    </w:p>
    <w:p w14:paraId="2010F6E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坚持节水优先、空间均衡、系统治理、两手发力的治水思路，</w:t>
      </w:r>
      <w:r>
        <w:rPr>
          <w:rFonts w:hint="default" w:ascii="Times New Roman" w:hAnsi="Times New Roman" w:cs="Times New Roman"/>
          <w:b w:val="0"/>
          <w:bCs w:val="0"/>
          <w:color w:val="auto"/>
          <w:kern w:val="2"/>
          <w:sz w:val="32"/>
          <w:szCs w:val="22"/>
          <w:highlight w:val="none"/>
          <w:lang w:val="en-US" w:eastAsia="zh-CN" w:bidi="ar-SA"/>
        </w:rPr>
        <w:t>加快推进水网建设，构建灌溉排水网、城乡供水网、防洪排涝网、河湖生态保护网、数字孪生水网等五张水网。实施伊犁州团结跃进大型灌区续建配套与现代化改造工程二期项目、新疆伊犁州巩留县东风中型灌区续建配套与现代化改造项目、粮食稳产增收工程、灌区泵站提质改造项目，提高灌溉供水保障能力；加快推进城乡供水一体化工程、农村供水管网提升改造工程以及工业园区城西兵地融合产业区、城东产业区供水工程建设，提升城乡居民生产生活用水条件；加快推进东部山区防洪治理工程、伊勒格代沟等3条重点山洪沟治理工程建设，提升防洪减灾能力；加快推进河湖水生态保护工程，实施水土保持清洁小流域治理项目、小吉尔格朗河幸福河湖建设项目、特克斯河巩留段综合治理工程，改善水生态环境，构筑水生态保护安全屏障；推进小吉尔格朗河水电开发项目建设，提高水资源综合利用功能；统筹完善已建成信息化平台，构建具有预报、预警、预演、预案功能的数字孪生水网，为巩留水利高质量发展提供有力支撑和强力驱动</w:t>
      </w:r>
      <w:r>
        <w:rPr>
          <w:rFonts w:hint="default" w:ascii="Times New Roman" w:hAnsi="Times New Roman" w:eastAsia="仿宋_GB2312" w:cs="Times New Roman"/>
          <w:color w:val="auto"/>
          <w:highlight w:val="none"/>
        </w:rPr>
        <w:t>。</w:t>
      </w:r>
    </w:p>
    <w:p w14:paraId="179C3380">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58" w:name="_Toc12956"/>
      <w:bookmarkStart w:id="259" w:name="_Toc19685"/>
      <w:bookmarkStart w:id="260" w:name="_Toc23873"/>
      <w:bookmarkStart w:id="261" w:name="_Toc28179"/>
      <w:bookmarkStart w:id="262" w:name="_Toc26906"/>
    </w:p>
    <w:p w14:paraId="04CAB6DB">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第三节</w:t>
      </w:r>
      <w:r>
        <w:rPr>
          <w:rFonts w:hint="default" w:ascii="Times New Roman" w:hAnsi="Times New Roman" w:eastAsia="楷体_GB2312" w:cs="Times New Roman"/>
          <w:b w:val="0"/>
          <w:color w:val="auto"/>
          <w:sz w:val="32"/>
          <w:szCs w:val="32"/>
          <w:highlight w:val="none"/>
          <w:lang w:val="en-US" w:eastAsia="zh-CN"/>
        </w:rPr>
        <w:t xml:space="preserve"> </w:t>
      </w:r>
      <w:bookmarkEnd w:id="258"/>
      <w:bookmarkEnd w:id="259"/>
      <w:r>
        <w:rPr>
          <w:rFonts w:hint="default" w:ascii="Times New Roman" w:hAnsi="Times New Roman" w:eastAsia="楷体_GB2312" w:cs="Times New Roman"/>
          <w:b w:val="0"/>
          <w:color w:val="auto"/>
          <w:sz w:val="32"/>
          <w:szCs w:val="32"/>
          <w:highlight w:val="none"/>
          <w:lang w:val="en-US" w:eastAsia="zh-CN"/>
        </w:rPr>
        <w:t>推进高效能源网络</w:t>
      </w:r>
      <w:bookmarkEnd w:id="260"/>
      <w:bookmarkEnd w:id="261"/>
      <w:bookmarkEnd w:id="262"/>
    </w:p>
    <w:p w14:paraId="62F00BC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着力构建安全可靠、绿色高效的电力保障体系，支撑经济社会发展和能源结构转型。加快</w:t>
      </w:r>
      <w:r>
        <w:rPr>
          <w:rFonts w:hint="default" w:ascii="Times New Roman" w:hAnsi="Times New Roman" w:cs="Times New Roman"/>
          <w:color w:val="auto"/>
          <w:highlight w:val="none"/>
          <w:lang w:val="en-US" w:eastAsia="zh-CN"/>
        </w:rPr>
        <w:t>35</w:t>
      </w:r>
      <w:r>
        <w:rPr>
          <w:rFonts w:hint="default" w:ascii="Times New Roman" w:hAnsi="Times New Roman" w:eastAsia="仿宋_GB2312" w:cs="Times New Roman"/>
          <w:color w:val="auto"/>
          <w:highlight w:val="none"/>
        </w:rPr>
        <w:t>千伏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750</w:t>
      </w:r>
      <w:r>
        <w:rPr>
          <w:rFonts w:hint="default" w:ascii="Times New Roman" w:hAnsi="Times New Roman" w:eastAsia="仿宋_GB2312" w:cs="Times New Roman"/>
          <w:color w:val="auto"/>
          <w:highlight w:val="none"/>
        </w:rPr>
        <w:t>千伏输变电工程建设，提升工业园区和重点产业集聚区供电能力，满足重大项目落地和产业转型升级用电需求。实施农村电网巩固提升工程，推进配电网智能化改造，提高农村地区供电可靠性与电能质量，消除供电薄弱环节。大力发展分布式新能源。积极推进智能电网管理系统建设，推广应用自动化调度、远程监控、故障自愈等先进技术，提升电网运行效率和应急响应能力。探索增量配电业务改革试点，支持社会资本参与配电网建设与运营，创新电力市场化服务模式，增强电力供给灵活性和适应性。</w:t>
      </w:r>
      <w:r>
        <w:rPr>
          <w:rFonts w:hint="default" w:ascii="Times New Roman" w:hAnsi="Times New Roman" w:eastAsia="仿宋_GB2312" w:cs="Times New Roman"/>
          <w:color w:val="auto"/>
          <w:highlight w:val="none"/>
          <w:lang w:val="en-US" w:eastAsia="zh-CN"/>
        </w:rPr>
        <w:t>创新发展新型储能产业</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支持新型储能多场景应用、多元化发展。统筹布局电源侧新型储能、电网侧独立储能及电网功能替代性储能，虚拟电站等模式，灵活发展用户侧新型储能。推动新型储能在大规模新能源消纳、分布式发电、电网功能性替代、微电网、用户侧移峰填谷等领域应用，积极部署构网型新型储能。重点发展适用于新能源储能领域的全钒液流电池、电站等产品，实现储能领域的经济和安全。着力构建清洁低碳、安全高效的现代能源体系、有效降低产业综合能耗水平。</w:t>
      </w:r>
    </w:p>
    <w:p w14:paraId="344B005C">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63" w:name="_Toc27273"/>
      <w:bookmarkStart w:id="264" w:name="_Toc723"/>
      <w:bookmarkStart w:id="265" w:name="_Toc20968"/>
      <w:bookmarkStart w:id="266" w:name="_Toc5458"/>
      <w:bookmarkStart w:id="267" w:name="_Toc27255"/>
    </w:p>
    <w:p w14:paraId="2A7B8C0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p>
    <w:p w14:paraId="1CCD4F1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第四节</w:t>
      </w:r>
      <w:r>
        <w:rPr>
          <w:rFonts w:hint="default" w:ascii="Times New Roman" w:hAnsi="Times New Roman" w:eastAsia="楷体_GB2312" w:cs="Times New Roman"/>
          <w:b w:val="0"/>
          <w:color w:val="auto"/>
          <w:sz w:val="32"/>
          <w:szCs w:val="32"/>
          <w:highlight w:val="none"/>
          <w:lang w:val="en-US" w:eastAsia="zh-CN"/>
        </w:rPr>
        <w:t xml:space="preserve"> </w:t>
      </w:r>
      <w:bookmarkEnd w:id="263"/>
      <w:bookmarkEnd w:id="264"/>
      <w:r>
        <w:rPr>
          <w:rFonts w:hint="default" w:ascii="Times New Roman" w:hAnsi="Times New Roman" w:eastAsia="楷体_GB2312" w:cs="Times New Roman"/>
          <w:b w:val="0"/>
          <w:color w:val="auto"/>
          <w:sz w:val="32"/>
          <w:szCs w:val="32"/>
          <w:highlight w:val="none"/>
          <w:lang w:eastAsia="zh-CN"/>
        </w:rPr>
        <w:t>完善天然气输送网络</w:t>
      </w:r>
      <w:bookmarkEnd w:id="265"/>
      <w:bookmarkEnd w:id="266"/>
      <w:bookmarkEnd w:id="267"/>
    </w:p>
    <w:p w14:paraId="51760820">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加快天然气利民工程建设</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全面推进天然气管道敷设和配套设施建设，重点覆盖县城建成区、产业园区和人口集聚乡镇，扩大清洁能源使用覆盖面。加快储气调峰设施建设，提升天然气应急储备能力，保障供气稳定性和安全性。深入推进“煤改气”工程，在具备条件的公共机构、商业场所和居民小区推广天然气取暖，促进能源消费结构绿色转型。加强天然气设施运行安全管理，健全燃气管网监测与应急抢险机制，定期开展隐患排查整治，确保供用气安全稳定。鼓励天然气与可再生能源协同发展，探索天然气与分布式光伏、储能系统耦合应用模式，提升综合能源利用效率。</w:t>
      </w:r>
    </w:p>
    <w:p w14:paraId="5C930D21">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bookmarkEnd w:id="209"/>
    <w:bookmarkEnd w:id="210"/>
    <w:bookmarkEnd w:id="211"/>
    <w:bookmarkEnd w:id="212"/>
    <w:p w14:paraId="722B2B6D">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268" w:name="_Toc3879"/>
      <w:bookmarkStart w:id="269" w:name="_Toc1452"/>
      <w:bookmarkStart w:id="270" w:name="_Toc15664"/>
      <w:bookmarkStart w:id="271" w:name="_Toc23649"/>
      <w:bookmarkStart w:id="272" w:name="_Toc22886"/>
      <w:bookmarkStart w:id="273" w:name="_Toc23243"/>
      <w:r>
        <w:rPr>
          <w:rFonts w:hint="default" w:ascii="Times New Roman" w:hAnsi="Times New Roman" w:eastAsia="黑体" w:cs="Times New Roman"/>
          <w:bCs/>
          <w:color w:val="auto"/>
          <w:kern w:val="44"/>
          <w:sz w:val="36"/>
          <w:szCs w:val="36"/>
          <w:highlight w:val="none"/>
          <w:lang w:val="en-US" w:eastAsia="zh-CN" w:bidi="ar"/>
        </w:rPr>
        <w:t xml:space="preserve">第十章  </w:t>
      </w:r>
      <w:bookmarkEnd w:id="268"/>
      <w:r>
        <w:rPr>
          <w:rFonts w:hint="default" w:ascii="Times New Roman" w:hAnsi="Times New Roman" w:eastAsia="黑体" w:cs="Times New Roman"/>
          <w:bCs/>
          <w:color w:val="auto"/>
          <w:kern w:val="44"/>
          <w:sz w:val="36"/>
          <w:szCs w:val="36"/>
          <w:highlight w:val="none"/>
          <w:lang w:val="en-US" w:eastAsia="zh-CN" w:bidi="ar"/>
        </w:rPr>
        <w:t>着力优化经济布局</w:t>
      </w:r>
      <w:r>
        <w:rPr>
          <w:rFonts w:hint="eastAsia" w:ascii="Times New Roman" w:hAnsi="Times New Roman" w:eastAsia="黑体" w:cs="Times New Roman"/>
          <w:bCs/>
          <w:color w:val="auto"/>
          <w:kern w:val="44"/>
          <w:sz w:val="36"/>
          <w:szCs w:val="36"/>
          <w:highlight w:val="none"/>
          <w:lang w:val="en-US" w:eastAsia="zh-CN" w:bidi="ar"/>
        </w:rPr>
        <w:t>，</w:t>
      </w:r>
      <w:r>
        <w:rPr>
          <w:rFonts w:hint="default" w:ascii="Times New Roman" w:hAnsi="Times New Roman" w:eastAsia="黑体" w:cs="Times New Roman"/>
          <w:bCs/>
          <w:color w:val="auto"/>
          <w:kern w:val="44"/>
          <w:sz w:val="36"/>
          <w:szCs w:val="36"/>
          <w:highlight w:val="none"/>
          <w:lang w:val="en-US" w:eastAsia="zh-CN" w:bidi="ar"/>
        </w:rPr>
        <w:t>推动城乡融合和区域协调发展</w:t>
      </w:r>
      <w:bookmarkEnd w:id="269"/>
      <w:bookmarkEnd w:id="270"/>
      <w:bookmarkEnd w:id="271"/>
      <w:bookmarkEnd w:id="272"/>
    </w:p>
    <w:p w14:paraId="346354B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bookmarkStart w:id="274" w:name="_Toc20696"/>
      <w:r>
        <w:rPr>
          <w:rFonts w:hint="default" w:ascii="Times New Roman" w:hAnsi="Times New Roman" w:eastAsia="仿宋_GB2312" w:cs="Times New Roman"/>
          <w:color w:val="auto"/>
          <w:highlight w:val="none"/>
          <w:lang w:val="en-US" w:eastAsia="zh-CN"/>
        </w:rPr>
        <w:t>深入推进以人为核心的新型城镇化建设，高标准、高水平、高质量推进城市规划建设，健全完善城乡融合发展体制机制，促进城乡要素平等交换、双向流动，促进城乡共同繁荣发展。</w:t>
      </w:r>
      <w:bookmarkEnd w:id="274"/>
    </w:p>
    <w:p w14:paraId="6701BB8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75" w:name="_Toc14321"/>
      <w:bookmarkStart w:id="276" w:name="_Toc5254"/>
      <w:bookmarkStart w:id="277" w:name="_Toc12661"/>
      <w:bookmarkStart w:id="278" w:name="_Toc7592"/>
      <w:bookmarkStart w:id="279" w:name="_Toc10108"/>
      <w:r>
        <w:rPr>
          <w:rFonts w:hint="default" w:ascii="Times New Roman" w:hAnsi="Times New Roman" w:eastAsia="楷体_GB2312" w:cs="Times New Roman"/>
          <w:b w:val="0"/>
          <w:color w:val="auto"/>
          <w:sz w:val="32"/>
          <w:szCs w:val="32"/>
          <w:highlight w:val="none"/>
          <w:lang w:eastAsia="zh-CN"/>
        </w:rPr>
        <w:t>第一节</w:t>
      </w:r>
      <w:r>
        <w:rPr>
          <w:rFonts w:hint="default" w:ascii="Times New Roman" w:hAnsi="Times New Roman" w:eastAsia="楷体_GB2312" w:cs="Times New Roman"/>
          <w:b w:val="0"/>
          <w:color w:val="auto"/>
          <w:sz w:val="32"/>
          <w:szCs w:val="32"/>
          <w:highlight w:val="none"/>
          <w:lang w:val="en-US" w:eastAsia="zh-CN"/>
        </w:rPr>
        <w:t xml:space="preserve"> </w:t>
      </w:r>
      <w:bookmarkEnd w:id="275"/>
      <w:r>
        <w:rPr>
          <w:rFonts w:hint="default" w:ascii="Times New Roman" w:hAnsi="Times New Roman" w:eastAsia="楷体_GB2312" w:cs="Times New Roman"/>
          <w:b w:val="0"/>
          <w:color w:val="auto"/>
          <w:sz w:val="32"/>
          <w:szCs w:val="32"/>
          <w:highlight w:val="none"/>
          <w:lang w:val="en-US" w:eastAsia="zh-CN"/>
        </w:rPr>
        <w:t>构筑城镇空间布局新体系</w:t>
      </w:r>
      <w:bookmarkEnd w:id="276"/>
      <w:bookmarkEnd w:id="277"/>
      <w:bookmarkEnd w:id="278"/>
      <w:bookmarkEnd w:id="279"/>
    </w:p>
    <w:p w14:paraId="144EEDFB">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lang w:eastAsia="zh-CN"/>
        </w:rPr>
      </w:pPr>
      <w:r>
        <w:rPr>
          <w:rFonts w:hint="default" w:ascii="Times New Roman" w:hAnsi="Times New Roman" w:eastAsia="仿宋_GB2312" w:cs="Times New Roman"/>
          <w:color w:val="auto"/>
          <w:highlight w:val="none"/>
          <w:lang w:val="en-US" w:eastAsia="zh-CN"/>
        </w:rPr>
        <w:t>锚定新型城镇化高质量发展战略导向，深度融入伊犁河谷城镇发展轴协同发展格局，以“功能融合、城乡统筹、联动赋能”为核心原则，构筑“一心两翼多点”现代化县域城镇空间体系。以巩留镇与东买里镇部分区域为核心承载区，聚焦优质公共服务供给、产业创新集聚、综合交通枢纽构建三大核心功能，打造辐射带动全域、联动河谷周边城镇的县级中心城市增长极，充分释放其区域引领、资源整合、要素集聚的核心效能；培育库尔德宁镇</w:t>
      </w:r>
      <w:r>
        <w:rPr>
          <w:rFonts w:hint="default" w:ascii="Times New Roman" w:hAnsi="Times New Roman" w:cs="Times New Roman"/>
          <w:color w:val="auto"/>
          <w:highlight w:val="none"/>
          <w:lang w:val="en-US" w:eastAsia="zh-CN"/>
        </w:rPr>
        <w:t>、吉尔格朗乡</w:t>
      </w:r>
      <w:r>
        <w:rPr>
          <w:rFonts w:hint="default" w:ascii="Times New Roman" w:hAnsi="Times New Roman" w:eastAsia="仿宋_GB2312" w:cs="Times New Roman"/>
          <w:color w:val="auto"/>
          <w:highlight w:val="none"/>
          <w:lang w:val="en-US" w:eastAsia="zh-CN"/>
        </w:rPr>
        <w:t>、阿克吐别克镇</w:t>
      </w:r>
      <w:r>
        <w:rPr>
          <w:rFonts w:hint="default" w:ascii="Times New Roman" w:hAnsi="Times New Roman" w:cs="Times New Roman"/>
          <w:color w:val="auto"/>
          <w:highlight w:val="none"/>
          <w:lang w:val="en-US" w:eastAsia="zh-CN"/>
        </w:rPr>
        <w:t>、提克阿热克镇</w:t>
      </w:r>
      <w:r>
        <w:rPr>
          <w:rFonts w:hint="default" w:ascii="Times New Roman" w:hAnsi="Times New Roman" w:eastAsia="仿宋_GB2312" w:cs="Times New Roman"/>
          <w:color w:val="auto"/>
          <w:highlight w:val="none"/>
          <w:lang w:val="en-US" w:eastAsia="zh-CN"/>
        </w:rPr>
        <w:t>作为发展两翼，立足各自资源禀赋与产业基础，强化基础设施提档升级，培育特色优势产业集群，提升人口吸纳、产业承载、公共服务保障等综合能力，构建全域发展的重要支撑极，形成与核心区互补联动、错位发展的格局；统筹推进阿尕尔森镇、东买里镇、塔斯托别乡、牛场片区管委会等一般乡镇协同发展，深度挖掘乡村旅游、特色种养、民俗文化等本土资源潜力，推动城乡要素双向流动，构建全域协同、多点开花的城乡融合发展新格局。</w:t>
      </w:r>
      <w:bookmarkStart w:id="280" w:name="_Toc28377"/>
      <w:bookmarkStart w:id="281" w:name="_Toc26201"/>
    </w:p>
    <w:p w14:paraId="12C4FD20">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82" w:name="_Toc229"/>
      <w:bookmarkStart w:id="283" w:name="_Toc8518"/>
      <w:bookmarkStart w:id="284" w:name="_Toc17033"/>
      <w:r>
        <w:rPr>
          <w:rFonts w:hint="default" w:ascii="Times New Roman" w:hAnsi="Times New Roman" w:eastAsia="楷体_GB2312" w:cs="Times New Roman"/>
          <w:b w:val="0"/>
          <w:color w:val="auto"/>
          <w:sz w:val="32"/>
          <w:szCs w:val="32"/>
          <w:highlight w:val="none"/>
          <w:lang w:eastAsia="zh-CN"/>
        </w:rPr>
        <w:t>第二节</w:t>
      </w:r>
      <w:r>
        <w:rPr>
          <w:rFonts w:hint="default" w:ascii="Times New Roman" w:hAnsi="Times New Roman" w:eastAsia="楷体_GB2312" w:cs="Times New Roman"/>
          <w:b w:val="0"/>
          <w:color w:val="auto"/>
          <w:sz w:val="32"/>
          <w:szCs w:val="32"/>
          <w:highlight w:val="none"/>
          <w:lang w:val="en-US" w:eastAsia="zh-CN"/>
        </w:rPr>
        <w:t xml:space="preserve"> 推进</w:t>
      </w:r>
      <w:r>
        <w:rPr>
          <w:rFonts w:hint="default" w:ascii="Times New Roman" w:hAnsi="Times New Roman" w:eastAsia="楷体_GB2312" w:cs="Times New Roman"/>
          <w:b w:val="0"/>
          <w:color w:val="auto"/>
          <w:sz w:val="32"/>
          <w:szCs w:val="32"/>
          <w:highlight w:val="none"/>
          <w:lang w:eastAsia="zh-CN"/>
        </w:rPr>
        <w:t>以县城为重要载体的</w:t>
      </w:r>
      <w:r>
        <w:rPr>
          <w:rFonts w:hint="default" w:ascii="Times New Roman" w:hAnsi="Times New Roman" w:eastAsia="楷体_GB2312" w:cs="Times New Roman"/>
          <w:b w:val="0"/>
          <w:color w:val="auto"/>
          <w:sz w:val="32"/>
          <w:szCs w:val="32"/>
          <w:highlight w:val="none"/>
          <w:lang w:val="en-US" w:eastAsia="zh-CN"/>
        </w:rPr>
        <w:t>新型</w:t>
      </w:r>
      <w:r>
        <w:rPr>
          <w:rFonts w:hint="default" w:ascii="Times New Roman" w:hAnsi="Times New Roman" w:eastAsia="楷体_GB2312" w:cs="Times New Roman"/>
          <w:b w:val="0"/>
          <w:color w:val="auto"/>
          <w:sz w:val="32"/>
          <w:szCs w:val="32"/>
          <w:highlight w:val="none"/>
          <w:lang w:eastAsia="zh-CN"/>
        </w:rPr>
        <w:t>城镇化建设</w:t>
      </w:r>
      <w:bookmarkEnd w:id="280"/>
      <w:bookmarkEnd w:id="281"/>
      <w:bookmarkEnd w:id="282"/>
      <w:bookmarkEnd w:id="283"/>
      <w:bookmarkEnd w:id="284"/>
    </w:p>
    <w:p w14:paraId="32EB6F49">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着力优化巩留县城镇空间布局，构建“县级中心城市—重点镇—一般乡镇”三级发展体系，以县城强引领、重点镇塑特色、一般乡镇固根基，全面提升城镇综合承载与辐射效能。</w:t>
      </w:r>
    </w:p>
    <w:p w14:paraId="462B56BE">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提升中心城市核心引擎作用。</w:t>
      </w:r>
      <w:r>
        <w:rPr>
          <w:rFonts w:hint="default" w:ascii="Times New Roman" w:hAnsi="Times New Roman" w:cs="Times New Roman"/>
          <w:color w:val="auto"/>
          <w:highlight w:val="none"/>
          <w:lang w:val="en-US" w:eastAsia="zh-CN"/>
        </w:rPr>
        <w:t>以巩留县城（巩留镇）为县域发展集聚极核，全力推进中心城区能级跃升。合理配置县城中心地段各类资源和要素，加强中心片区改造，强化商业气息，优化布局文旅消费空间和创业功能空间，彰显民居建筑风貌特色，大力发展公共交通，构建便捷智慧交通网络，以城市设计塑造县城中心特色风貌，提升宜居城市公共服务能级。深度激活人口集聚效能，系统性优化公共服务设施网络，强化公共安全保障体系构建，多维夯实城市综合服务基底。立足综合类城镇发展定位，将其打造为全县政治、经济、文化、商贸四维核心枢纽，重点培育绿色农副产品精深加工、中草药高值化利用等主导产业，全面增强综合承载能力与辐射引领效能，充分彰显县域中心城区的核心职能。</w:t>
      </w:r>
    </w:p>
    <w:p w14:paraId="72C373C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加强重点乡镇优势化发展。</w:t>
      </w:r>
      <w:r>
        <w:rPr>
          <w:rFonts w:hint="default" w:ascii="Times New Roman" w:hAnsi="Times New Roman" w:cs="Times New Roman"/>
          <w:color w:val="auto"/>
          <w:highlight w:val="none"/>
          <w:lang w:val="en-US" w:eastAsia="zh-CN"/>
        </w:rPr>
        <w:t>着力完善库尔德宁镇、阿克吐别克镇两大重点镇的公共服务体系与配套设施矩阵，精准培育差异化主导功能。阿克吐别克镇依托G577、G578干线公路的交通区位优势及巩留工业园区城西兵地融合产业区的产业基底，聚焦商贸型城镇建设方向，重点布局电力、新材料、煤基煤化工等产业板块，联动发展农副产品精深加工与现代商贸物流产业，深度融合生态农业与拉克饮食文化，打造县域西部重要增长极与区域性商贸物流枢纽；库尔德宁镇立足西天山世界自然遗产地等核心资源，以文旅型城镇建设为核心，为后续深度发展康养度假、民俗体验等业态奠定坚实基础，构建县域东部文旅发展先行区。</w:t>
      </w:r>
    </w:p>
    <w:p w14:paraId="47256F1B">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培育一般乡镇特色化发展。</w:t>
      </w:r>
      <w:r>
        <w:rPr>
          <w:rFonts w:hint="default" w:ascii="Times New Roman" w:hAnsi="Times New Roman" w:cs="Times New Roman"/>
          <w:color w:val="auto"/>
          <w:highlight w:val="none"/>
          <w:lang w:val="en-US" w:eastAsia="zh-CN"/>
        </w:rPr>
        <w:t>全面完善吉尔格朗乡、阿尕尔森镇、东买里镇、塔斯托别乡、提克阿热克镇、牛场片区管委会等6个一般乡镇的基础设施网络与基本公共服务体系，筑牢基层公共服务与社会管理核心阵地。结合各乡镇资源禀赋、交通区位与产业基础，精准锚定发展定位：吉尔格朗乡联动库尔德宁镇依托自然景观优势推进文旅型发展，打造伊犁河谷南线重要旅游节点；阿尕尔森镇、塔斯托别乡、牛场片区管委会聚焦农牧型发展方向，强化生态农业、特色林果等产业的科技赋能与品牌塑造；提克阿热克镇依托巩留工业园区城西兵地融合产业区发展优势，推进工业型城镇建设，实现兵地协同发展；东买里镇发挥近郊区位优势，发展城郊服务型产业，助力城乡融合发展，全面激活各乡镇发展活力与人口集聚能力。</w:t>
      </w:r>
    </w:p>
    <w:p w14:paraId="39F9CCBA">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85" w:name="_Toc4743"/>
      <w:bookmarkStart w:id="286" w:name="_Toc21913"/>
      <w:bookmarkStart w:id="287" w:name="_Toc31022"/>
      <w:bookmarkStart w:id="288" w:name="_Toc25231"/>
      <w:bookmarkStart w:id="289" w:name="_Toc3517"/>
    </w:p>
    <w:p w14:paraId="122B9C8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第三节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推动城市更新和安全韧性提升</w:t>
      </w:r>
      <w:bookmarkEnd w:id="285"/>
      <w:bookmarkEnd w:id="286"/>
      <w:bookmarkEnd w:id="287"/>
      <w:bookmarkEnd w:id="288"/>
      <w:bookmarkEnd w:id="289"/>
    </w:p>
    <w:p w14:paraId="65872A4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pacing w:val="-11"/>
          <w:sz w:val="32"/>
          <w:highlight w:val="none"/>
          <w:lang w:eastAsia="zh-CN"/>
        </w:rPr>
      </w:pPr>
      <w:r>
        <w:rPr>
          <w:rFonts w:hint="default" w:ascii="Times New Roman" w:hAnsi="Times New Roman" w:eastAsia="仿宋_GB2312" w:cs="Times New Roman"/>
          <w:color w:val="auto"/>
          <w:highlight w:val="none"/>
        </w:rPr>
        <w:t>实施城市更新行动，以提升城市功能品质和居民生活舒适度为核心，扎实开展城市体检，科学确定更新目标、重点任务和建设项目。统筹推进</w:t>
      </w:r>
      <w:r>
        <w:rPr>
          <w:rFonts w:hint="default" w:ascii="Times New Roman" w:hAnsi="Times New Roman" w:cs="Times New Roman"/>
          <w:color w:val="auto"/>
          <w:highlight w:val="none"/>
          <w:lang w:eastAsia="zh-CN"/>
        </w:rPr>
        <w:t>好房子、好小区、好社区、好中心、好城区建设，稳步推进</w:t>
      </w:r>
      <w:r>
        <w:rPr>
          <w:rFonts w:hint="default" w:ascii="Times New Roman" w:hAnsi="Times New Roman" w:eastAsia="仿宋_GB2312" w:cs="Times New Roman"/>
          <w:color w:val="auto"/>
          <w:highlight w:val="none"/>
        </w:rPr>
        <w:t>老旧小区、老旧街区和城中村改造，加强既有建筑功能提升和节能改造，</w:t>
      </w:r>
      <w:r>
        <w:rPr>
          <w:rFonts w:hint="default" w:ascii="Times New Roman" w:hAnsi="Times New Roman" w:cs="Times New Roman"/>
          <w:color w:val="auto"/>
          <w:highlight w:val="none"/>
          <w:lang w:val="en-US" w:eastAsia="zh-CN"/>
        </w:rPr>
        <w:t>大力推进消防设施更新改造，</w:t>
      </w:r>
      <w:r>
        <w:rPr>
          <w:rFonts w:hint="default" w:ascii="Times New Roman" w:hAnsi="Times New Roman" w:eastAsia="仿宋_GB2312" w:cs="Times New Roman"/>
          <w:color w:val="auto"/>
          <w:highlight w:val="none"/>
        </w:rPr>
        <w:t>稳妥推进危旧住房整治，支持具备条件的住宅加装电梯。建设完整社区，构建“一刻钟便民生活圈”，完善社区嵌入式服务设施。实施城市地下管网系统化改造与智慧化管理，提升城市运行安全韧性。统筹推进供水、排水、供热、燃气、电力、通信等各类地下管线更新改造，</w:t>
      </w:r>
      <w:r>
        <w:rPr>
          <w:rFonts w:hint="default" w:ascii="Times New Roman" w:hAnsi="Times New Roman" w:cs="Times New Roman"/>
          <w:color w:val="auto"/>
          <w:highlight w:val="none"/>
          <w:lang w:val="en-US" w:eastAsia="zh-CN"/>
        </w:rPr>
        <w:t>开展</w:t>
      </w:r>
      <w:r>
        <w:rPr>
          <w:rFonts w:hint="default" w:ascii="Times New Roman" w:hAnsi="Times New Roman" w:cs="Times New Roman"/>
          <w:color w:val="auto"/>
          <w:highlight w:val="none"/>
          <w:lang w:eastAsia="zh-CN"/>
        </w:rPr>
        <w:t>飞线治理，</w:t>
      </w:r>
      <w:r>
        <w:rPr>
          <w:rFonts w:hint="default" w:ascii="Times New Roman" w:hAnsi="Times New Roman" w:eastAsia="仿宋_GB2312" w:cs="Times New Roman"/>
          <w:color w:val="auto"/>
          <w:highlight w:val="none"/>
          <w:lang w:val="en-US" w:eastAsia="zh-CN"/>
        </w:rPr>
        <w:t>加快推进老旧消防设施更新</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rPr>
        <w:t>重点消除老旧管网安全隐患，提升设施运行效率。推进海绵城市建设，在重点区域实施雨水花园、透水铺装、地下调蓄池等工程，增强城市防洪排涝能力。加快地下综合管廊建设，在新建道路和重点片区配套建设综合管廊，实现管线集中敷设、统一管理。建立覆盖地上地下的城市基础设施信息化数据库，打造地下管网“一张图”管理体系，实现动态监测、精准维护和应急调度。推动城市基础设施数字化转型，构建智能高效的新型城市基础设施体系，提升房屋建筑、市政管网、交通系统等设施的智慧化管理水平。健全城市基础设施生命线安全工程标准体系，推进生命线安全工程建设，强化公共消防、应急避难、防灾减灾等设施建设，</w:t>
      </w:r>
      <w:r>
        <w:rPr>
          <w:rFonts w:hint="default" w:ascii="Times New Roman" w:hAnsi="Times New Roman" w:eastAsia="仿宋_GB2312" w:cs="Times New Roman"/>
          <w:color w:val="auto"/>
          <w:spacing w:val="-11"/>
          <w:sz w:val="32"/>
          <w:highlight w:val="none"/>
        </w:rPr>
        <w:t>适度超前布局“平急两用”公共基础设施，全面提升城市安全韧性。</w:t>
      </w:r>
      <w:r>
        <w:rPr>
          <w:rFonts w:hint="default" w:ascii="Times New Roman" w:hAnsi="Times New Roman" w:cs="Times New Roman"/>
          <w:color w:val="auto"/>
          <w:spacing w:val="-11"/>
          <w:sz w:val="32"/>
          <w:highlight w:val="none"/>
          <w:lang w:eastAsia="zh-CN"/>
        </w:rPr>
        <w:t>做足“水、绿色、生态”文章，改善城市空间景观，加强城市精细管护、环境卫生整治、市政维护、划行规市管理，以“大整治”推进“大提标”，争创国家卫生城市。</w:t>
      </w:r>
    </w:p>
    <w:p w14:paraId="3602AF5E">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90" w:name="_Toc21580"/>
      <w:bookmarkStart w:id="291" w:name="_Toc32449"/>
      <w:bookmarkStart w:id="292" w:name="_Toc21558"/>
      <w:bookmarkStart w:id="293" w:name="_Toc4888"/>
      <w:bookmarkStart w:id="294" w:name="_Toc26564"/>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科学有序推进农业转移人口市民化</w:t>
      </w:r>
      <w:bookmarkEnd w:id="290"/>
      <w:bookmarkEnd w:id="291"/>
      <w:bookmarkEnd w:id="292"/>
      <w:bookmarkEnd w:id="293"/>
    </w:p>
    <w:p w14:paraId="30B4662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color w:val="auto"/>
          <w:sz w:val="32"/>
          <w:szCs w:val="22"/>
          <w:highlight w:val="none"/>
        </w:rPr>
        <w:t>深化户籍制度改革，全面放开城镇落户限制，</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auto"/>
          <w:lang w:val="en-US" w:eastAsia="zh-CN" w:bidi="ar"/>
        </w:rPr>
        <w:t>建立持居住证落户户口迁移政</w:t>
      </w:r>
      <w:r>
        <w:rPr>
          <w:rFonts w:hint="default" w:ascii="Times New Roman" w:hAnsi="Times New Roman" w:eastAsia="仿宋_GB2312" w:cs="Times New Roman"/>
          <w:color w:val="auto"/>
          <w:sz w:val="32"/>
          <w:szCs w:val="22"/>
          <w:highlight w:val="none"/>
          <w:lang w:val="en-US" w:eastAsia="zh-CN"/>
        </w:rPr>
        <w:t>策。以巩留县城、团场融合度高的边界乡镇、连队为试点</w:t>
      </w:r>
      <w:r>
        <w:rPr>
          <w:rFonts w:hint="default" w:ascii="Times New Roman" w:hAnsi="Times New Roman" w:eastAsia="仿宋_GB2312" w:cs="Times New Roman"/>
          <w:color w:val="auto"/>
          <w:sz w:val="32"/>
          <w:szCs w:val="22"/>
          <w:highlight w:val="none"/>
        </w:rPr>
        <w:t>，探索农业转移人口市民化政策措施。推行常住地提供基本公共服务制度，针对县域农业转移人口以从事特色种植、农产品加工、旅游服务为主的特点，开展定向职业技能培训，促进农业转移人口在城镇稳定就业，保障农业转移人口与迁入地户籍人口享有社会保障、住房、子女受教育等同等权利，依法维护进城落户农民的土地承包权、宅基地使用权、集体收益分配权，探索建立自愿有偿退出办法。依托巩留县特色农产品和生态旅游资源，鼓励农业转移人口通过土地流转、入股合作社等方式参与现代农业和乡村旅游发展，增强农业转移人口市民化的内生动力。</w:t>
      </w:r>
    </w:p>
    <w:p w14:paraId="040BFCCC">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95" w:name="_Toc22952"/>
      <w:bookmarkStart w:id="296" w:name="_Toc26100"/>
      <w:bookmarkStart w:id="297" w:name="_Toc20583"/>
      <w:bookmarkStart w:id="298" w:name="_Toc983"/>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五</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扎实推进乡村全面振兴</w:t>
      </w:r>
      <w:bookmarkEnd w:id="294"/>
      <w:bookmarkEnd w:id="295"/>
      <w:bookmarkEnd w:id="296"/>
      <w:bookmarkEnd w:id="297"/>
      <w:bookmarkEnd w:id="298"/>
    </w:p>
    <w:p w14:paraId="1AAF6D57">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eastAsia="zh-CN"/>
        </w:rPr>
      </w:pPr>
      <w:r>
        <w:rPr>
          <w:rFonts w:hint="default" w:ascii="Times New Roman" w:hAnsi="Times New Roman" w:cs="Times New Roman"/>
          <w:color w:val="auto"/>
          <w:highlight w:val="none"/>
          <w:lang w:val="en-US" w:eastAsia="zh-CN"/>
        </w:rPr>
        <w:t>深入</w:t>
      </w:r>
      <w:r>
        <w:rPr>
          <w:rFonts w:hint="default" w:ascii="Times New Roman" w:hAnsi="Times New Roman" w:eastAsia="仿宋_GB2312" w:cs="Times New Roman"/>
          <w:color w:val="auto"/>
          <w:highlight w:val="none"/>
          <w:lang w:val="en-US" w:eastAsia="zh-CN"/>
        </w:rPr>
        <w:t>学习运用</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千万工程</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经验</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rPr>
        <w:t>以提高农村基础设施完备度、公共服务便利度、人居环境舒适度为主攻方向，深入实施乡村建设行动</w:t>
      </w:r>
      <w:r>
        <w:rPr>
          <w:rFonts w:hint="default" w:ascii="Times New Roman" w:hAnsi="Times New Roman" w:cs="Times New Roman"/>
          <w:color w:val="auto"/>
          <w:highlight w:val="none"/>
          <w:lang w:eastAsia="zh-CN"/>
        </w:rPr>
        <w:t>，分类有序</w:t>
      </w:r>
      <w:r>
        <w:rPr>
          <w:rFonts w:hint="default" w:ascii="Times New Roman" w:hAnsi="Times New Roman" w:eastAsia="仿宋_GB2312" w:cs="Times New Roman"/>
          <w:color w:val="auto"/>
          <w:kern w:val="21"/>
          <w:sz w:val="32"/>
          <w:szCs w:val="32"/>
          <w:highlight w:val="none"/>
          <w:u w:val="none" w:color="auto"/>
          <w:lang w:val="en-US" w:eastAsia="zh-CN" w:bidi="ar-SA"/>
        </w:rPr>
        <w:t>建设宜居宜业和美乡村</w:t>
      </w:r>
      <w:r>
        <w:rPr>
          <w:rFonts w:hint="default" w:ascii="Times New Roman" w:hAnsi="Times New Roman" w:eastAsia="仿宋_GB2312" w:cs="Times New Roman"/>
          <w:color w:val="auto"/>
          <w:highlight w:val="none"/>
        </w:rPr>
        <w:t>。</w:t>
      </w:r>
      <w:r>
        <w:rPr>
          <w:rFonts w:hint="default" w:ascii="Times New Roman" w:hAnsi="Times New Roman" w:cs="Times New Roman"/>
          <w:color w:val="auto"/>
          <w:highlight w:val="none"/>
          <w:lang w:eastAsia="zh-CN"/>
        </w:rPr>
        <w:t>推动农村一二三产业融合发展，因地制宜培育壮大乡村特色产业，稳步扩大百万元村占比，实现集体强百姓富。</w:t>
      </w:r>
    </w:p>
    <w:p w14:paraId="35048A5C">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优化村庄规划布局，分类推进村庄建设，加快“四好农村路”提档升级，提升乡镇通三级及以上公路比例。推进城乡供水一体化和农村规模化供水工程建设，巩固提升农村电网，加快农村清洁能源推广应用。深入实施数字乡村建设，完善农村信息基础设施。扎实推进农村厕所革命，分类治理生活污水，推进生活垃圾源头减量和资源化利用，持续改善村容村貌。推进城乡教育、医疗卫生资源县域统筹配置，建设城乡学校共同体和紧密型县域医共体，补齐农村养老托育服务短板。</w:t>
      </w:r>
      <w:r>
        <w:rPr>
          <w:rFonts w:hint="default" w:ascii="Times New Roman" w:hAnsi="Times New Roman" w:eastAsia="仿宋_GB2312" w:cs="Times New Roman"/>
          <w:color w:val="auto"/>
          <w:kern w:val="21"/>
          <w:sz w:val="32"/>
          <w:szCs w:val="32"/>
          <w:highlight w:val="none"/>
          <w:u w:val="none" w:color="auto"/>
          <w:lang w:bidi="ar-SA"/>
        </w:rPr>
        <w:t>壮大乡村人才队伍，实施乡村振兴人才支持计划项目。繁荣乡村文化，实施文明乡风建设工程，</w:t>
      </w:r>
      <w:r>
        <w:rPr>
          <w:rFonts w:hint="default" w:ascii="Times New Roman" w:hAnsi="Times New Roman" w:cs="Times New Roman"/>
          <w:color w:val="auto"/>
          <w:kern w:val="21"/>
          <w:sz w:val="32"/>
          <w:szCs w:val="32"/>
          <w:highlight w:val="none"/>
          <w:u w:val="none" w:color="auto"/>
          <w:lang w:eastAsia="zh-CN" w:bidi="ar-SA"/>
        </w:rPr>
        <w:t>引导乡村自觉形成向上向善的乡风民风。</w:t>
      </w:r>
      <w:r>
        <w:rPr>
          <w:rFonts w:hint="default" w:ascii="Times New Roman" w:hAnsi="Times New Roman" w:eastAsia="仿宋_GB2312" w:cs="Times New Roman"/>
          <w:color w:val="auto"/>
          <w:highlight w:val="none"/>
        </w:rPr>
        <w:t>建强农村基层党组织，健全自治、法治、德治相结合的乡村治理体系，深化文明乡风建设，高标准推进新时代文明实践站建设，提升乡村治理现代化水平。</w:t>
      </w:r>
      <w:r>
        <w:rPr>
          <w:rFonts w:hint="default" w:ascii="Times New Roman" w:hAnsi="Times New Roman" w:cs="Times New Roman"/>
          <w:color w:val="auto"/>
          <w:highlight w:val="none"/>
          <w:lang w:eastAsia="zh-CN"/>
        </w:rPr>
        <w:t>持续巩固拓展脱贫攻坚成果，</w:t>
      </w:r>
      <w:r>
        <w:rPr>
          <w:rFonts w:hint="default" w:ascii="Times New Roman" w:hAnsi="Times New Roman" w:eastAsia="仿宋_GB2312" w:cs="Times New Roman"/>
          <w:color w:val="auto"/>
          <w:highlight w:val="none"/>
          <w:lang w:val="en-US" w:eastAsia="zh-CN"/>
        </w:rPr>
        <w:t>健全防返贫动态监测和帮扶机制，</w:t>
      </w:r>
      <w:r>
        <w:rPr>
          <w:rFonts w:hint="default" w:ascii="Times New Roman" w:hAnsi="Times New Roman" w:cs="Times New Roman"/>
          <w:color w:val="auto"/>
          <w:highlight w:val="none"/>
          <w:lang w:val="en-US" w:eastAsia="zh-CN"/>
        </w:rPr>
        <w:t>用好管好乡村振兴资金</w:t>
      </w:r>
      <w:r>
        <w:rPr>
          <w:rFonts w:hint="default" w:ascii="Times New Roman" w:hAnsi="Times New Roman" w:eastAsia="仿宋_GB2312" w:cs="Times New Roman"/>
          <w:color w:val="auto"/>
          <w:highlight w:val="none"/>
          <w:lang w:val="en-US" w:eastAsia="zh-CN"/>
        </w:rPr>
        <w:t>，</w:t>
      </w:r>
      <w:r>
        <w:rPr>
          <w:rFonts w:hint="default" w:ascii="Times New Roman" w:hAnsi="Times New Roman" w:cs="Times New Roman"/>
          <w:color w:val="auto"/>
          <w:highlight w:val="none"/>
          <w:lang w:val="en-US" w:eastAsia="zh-CN"/>
        </w:rPr>
        <w:t>强化开发式帮扶、精准帮扶，培育内生发展动力</w:t>
      </w:r>
      <w:r>
        <w:rPr>
          <w:rFonts w:hint="default" w:ascii="Times New Roman" w:hAnsi="Times New Roman" w:eastAsia="仿宋_GB2312" w:cs="Times New Roman"/>
          <w:color w:val="auto"/>
          <w:highlight w:val="none"/>
        </w:rPr>
        <w:t>。</w:t>
      </w:r>
    </w:p>
    <w:p w14:paraId="025C26D8">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299" w:name="_Toc26914"/>
      <w:bookmarkStart w:id="300" w:name="_Toc13896"/>
      <w:bookmarkStart w:id="301" w:name="_Toc11079"/>
      <w:bookmarkStart w:id="302" w:name="_Toc19651"/>
      <w:bookmarkStart w:id="303" w:name="_Toc19449"/>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六</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完善</w:t>
      </w:r>
      <w:r>
        <w:rPr>
          <w:rFonts w:hint="default" w:ascii="Times New Roman" w:hAnsi="Times New Roman" w:eastAsia="楷体_GB2312" w:cs="Times New Roman"/>
          <w:b w:val="0"/>
          <w:color w:val="auto"/>
          <w:sz w:val="32"/>
          <w:szCs w:val="32"/>
          <w:highlight w:val="none"/>
          <w:lang w:val="en-US" w:eastAsia="zh-CN"/>
        </w:rPr>
        <w:t>城乡</w:t>
      </w:r>
      <w:r>
        <w:rPr>
          <w:rFonts w:hint="default" w:ascii="Times New Roman" w:hAnsi="Times New Roman" w:eastAsia="楷体_GB2312" w:cs="Times New Roman"/>
          <w:b w:val="0"/>
          <w:color w:val="auto"/>
          <w:sz w:val="32"/>
          <w:szCs w:val="32"/>
          <w:highlight w:val="none"/>
          <w:lang w:eastAsia="zh-CN"/>
        </w:rPr>
        <w:t>融合发展体制机制</w:t>
      </w:r>
      <w:bookmarkEnd w:id="299"/>
      <w:bookmarkEnd w:id="300"/>
      <w:bookmarkEnd w:id="301"/>
      <w:bookmarkEnd w:id="302"/>
      <w:bookmarkEnd w:id="303"/>
    </w:p>
    <w:p w14:paraId="4E0859F9">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增强城乡经济联系，畅通城乡要素</w:t>
      </w:r>
      <w:r>
        <w:rPr>
          <w:rFonts w:hint="default" w:ascii="Times New Roman" w:hAnsi="Times New Roman" w:cs="Times New Roman"/>
          <w:color w:val="auto"/>
          <w:highlight w:val="none"/>
          <w:lang w:eastAsia="zh-CN"/>
        </w:rPr>
        <w:t>平等交换、</w:t>
      </w:r>
      <w:r>
        <w:rPr>
          <w:rFonts w:hint="default" w:ascii="Times New Roman" w:hAnsi="Times New Roman" w:eastAsia="仿宋_GB2312" w:cs="Times New Roman"/>
          <w:color w:val="auto"/>
          <w:highlight w:val="none"/>
        </w:rPr>
        <w:t>双向流动渠道。健全乡村振兴财政投入稳定增长机制，完善金融服务乡村振兴政策，引导社会资本参与农业农村发展。构建城乡统一的建设用地市场，稳妥推进农村集体经营性建设用地入市改革，探索建立土地增值收益合理分配机制。加强人才入乡创业就业支持，完善科技成果入乡转化政策体系。建立健全城乡基础设施一体化规划、建设、管护机制，推动城镇基础设施向乡村延伸覆盖。推进城乡基本公共服务标准统一、制度并轨，实现均等化供给。</w:t>
      </w:r>
    </w:p>
    <w:p w14:paraId="1465BB73">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bookmarkEnd w:id="93"/>
    <w:bookmarkEnd w:id="94"/>
    <w:bookmarkEnd w:id="95"/>
    <w:bookmarkEnd w:id="96"/>
    <w:bookmarkEnd w:id="213"/>
    <w:bookmarkEnd w:id="214"/>
    <w:bookmarkEnd w:id="273"/>
    <w:p w14:paraId="3D1FCFE9">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304" w:name="_Toc9473"/>
      <w:bookmarkStart w:id="305" w:name="_Toc6010"/>
      <w:bookmarkStart w:id="306" w:name="_Toc3945"/>
      <w:bookmarkStart w:id="307" w:name="_Toc16825"/>
      <w:r>
        <w:rPr>
          <w:rFonts w:hint="default" w:ascii="Times New Roman" w:hAnsi="Times New Roman" w:eastAsia="黑体" w:cs="Times New Roman"/>
          <w:bCs/>
          <w:color w:val="auto"/>
          <w:kern w:val="44"/>
          <w:sz w:val="36"/>
          <w:szCs w:val="36"/>
          <w:highlight w:val="none"/>
          <w:lang w:val="en-US" w:eastAsia="zh-CN" w:bidi="ar"/>
        </w:rPr>
        <w:t>第十一章  繁荣发展社会主义先进文化，夯实中华民族共同体建设的思想根基</w:t>
      </w:r>
      <w:bookmarkEnd w:id="304"/>
      <w:bookmarkEnd w:id="305"/>
      <w:bookmarkEnd w:id="306"/>
      <w:bookmarkEnd w:id="307"/>
    </w:p>
    <w:p w14:paraId="34B4BD8A">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bookmarkStart w:id="308" w:name="_Toc14938"/>
      <w:r>
        <w:rPr>
          <w:rFonts w:hint="default" w:ascii="Times New Roman" w:hAnsi="Times New Roman" w:eastAsia="仿宋_GB2312" w:cs="Times New Roman"/>
          <w:color w:val="auto"/>
          <w:highlight w:val="none"/>
          <w:lang w:val="en-US" w:eastAsia="zh-CN"/>
        </w:rPr>
        <w:t>坚持马克思主义在意识形态领域的指导地位，以铸牢中华民族共同体意识为主线，深入实施文化润疆，着力构筑中华民族共有精神家园，持续促进各民族交往交流交融，不断增进各族群众“五个认同”。</w:t>
      </w:r>
    </w:p>
    <w:p w14:paraId="02E06331">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09" w:name="_Toc20053"/>
      <w:bookmarkStart w:id="310" w:name="_Toc395"/>
      <w:bookmarkStart w:id="311" w:name="_Toc28871"/>
      <w:bookmarkStart w:id="312" w:name="_Toc1425"/>
      <w:bookmarkStart w:id="313" w:name="_Toc11008"/>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309"/>
      <w:r>
        <w:rPr>
          <w:rFonts w:hint="default" w:ascii="Times New Roman" w:hAnsi="Times New Roman" w:eastAsia="楷体_GB2312" w:cs="Times New Roman"/>
          <w:b w:val="0"/>
          <w:color w:val="auto"/>
          <w:sz w:val="32"/>
          <w:szCs w:val="32"/>
          <w:highlight w:val="none"/>
          <w:lang w:val="en-US" w:eastAsia="zh-CN"/>
        </w:rPr>
        <w:t>弘扬和践行社会主义核心价值观</w:t>
      </w:r>
      <w:bookmarkEnd w:id="310"/>
      <w:bookmarkEnd w:id="311"/>
      <w:bookmarkEnd w:id="312"/>
      <w:bookmarkEnd w:id="313"/>
    </w:p>
    <w:p w14:paraId="52506EF8">
      <w:pPr>
        <w:pStyle w:val="14"/>
        <w:keepNext w:val="0"/>
        <w:keepLines w:val="0"/>
        <w:pageBreakBefore w:val="0"/>
        <w:widowControl/>
        <w:kinsoku/>
        <w:wordWrap/>
        <w:overflowPunct/>
        <w:topLinePunct w:val="0"/>
        <w:autoSpaceDE/>
        <w:autoSpaceDN/>
        <w:bidi w:val="0"/>
        <w:adjustRightInd/>
        <w:snapToGrid/>
        <w:spacing w:line="55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持续加强党的理论</w:t>
      </w:r>
      <w:r>
        <w:rPr>
          <w:rFonts w:hint="default" w:ascii="Times New Roman" w:hAnsi="Times New Roman" w:cs="Times New Roman"/>
          <w:color w:val="auto"/>
          <w:highlight w:val="none"/>
          <w:lang w:eastAsia="zh-CN"/>
        </w:rPr>
        <w:t>学习</w:t>
      </w:r>
      <w:r>
        <w:rPr>
          <w:rFonts w:hint="default" w:ascii="Times New Roman" w:hAnsi="Times New Roman" w:eastAsia="仿宋_GB2312" w:cs="Times New Roman"/>
          <w:color w:val="auto"/>
          <w:highlight w:val="none"/>
        </w:rPr>
        <w:t>和路线方针政策教育，推进理想信念教育常态化制度化，引导各族群众坚定中国特色社会主义共同理想。大力弘扬社会主义核心价值观，深化爱国主义、集体主义、社会主义教育。加强红色资源挖掘、保护、管理与利用，深入实施红色基因传承工程，引导各族干部群众铭记革命历史、传承红色精神。加强各民族共享的中华文化符号和中华民族形象建设，深入实施中华优秀传统文化传承发展工程，推动各民族优秀文化传承、创新与融合。加强考古与历史文化遗产的保护传承与合理利用，深入挖掘和有效运用各民族交往交流交融的历史事实、文物遗存和文化印记。完善公共文化服务体系，加大多层次文化产品供给，创作推出一批具有地方特色的文艺精品，实施文化惠民工程，健全优质文化资源直达基层的长效机制。深化社会主义精神文明建设，加强科学知识和法律法规普及，推进现代文明理念在基层落地生根，引导各族群众积极融入现代文明生活。深入实施青少年“筑基”工程，将铸牢中华民族共同体意识全面融入办学治校、教书育人全过程，推动中华民族共同体意识深植各族青少年心灵深处。</w:t>
      </w:r>
    </w:p>
    <w:bookmarkEnd w:id="308"/>
    <w:p w14:paraId="16A1BBD3">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14" w:name="_Toc31456"/>
      <w:bookmarkStart w:id="315" w:name="_Toc29866"/>
      <w:bookmarkStart w:id="316" w:name="_Toc17090"/>
      <w:bookmarkStart w:id="317" w:name="_Toc24053"/>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二</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繁荣发展文化体育事业</w:t>
      </w:r>
      <w:bookmarkEnd w:id="314"/>
      <w:bookmarkEnd w:id="315"/>
      <w:bookmarkEnd w:id="316"/>
      <w:bookmarkEnd w:id="317"/>
    </w:p>
    <w:p w14:paraId="4EF510BC">
      <w:pPr>
        <w:pStyle w:val="14"/>
        <w:keepNext w:val="0"/>
        <w:keepLines w:val="0"/>
        <w:pageBreakBefore w:val="0"/>
        <w:widowControl/>
        <w:kinsoku/>
        <w:wordWrap/>
        <w:overflowPunct/>
        <w:topLinePunct w:val="0"/>
        <w:autoSpaceDE/>
        <w:autoSpaceDN/>
        <w:bidi w:val="0"/>
        <w:adjustRightInd/>
        <w:snapToGrid/>
        <w:spacing w:line="550" w:lineRule="exact"/>
        <w:jc w:val="both"/>
        <w:textAlignment w:val="auto"/>
        <w:rPr>
          <w:rFonts w:hint="default" w:ascii="Times New Roman" w:hAnsi="Times New Roman" w:eastAsia="仿宋_GB2312" w:cs="Times New Roman"/>
          <w:color w:val="auto"/>
          <w:highlight w:val="none"/>
          <w:lang w:val="zh-TW" w:eastAsia="zh-CN"/>
        </w:rPr>
      </w:pPr>
      <w:bookmarkStart w:id="318" w:name="_Toc19954"/>
      <w:r>
        <w:rPr>
          <w:rFonts w:hint="default" w:ascii="Times New Roman" w:hAnsi="Times New Roman" w:eastAsia="仿宋_GB2312" w:cs="Times New Roman"/>
          <w:color w:val="auto"/>
          <w:highlight w:val="none"/>
          <w:lang w:val="zh-TW" w:eastAsia="zh-CN"/>
        </w:rPr>
        <w:t>深化主流媒体系统性变革，打造具有</w:t>
      </w:r>
      <w:r>
        <w:rPr>
          <w:rFonts w:hint="default" w:ascii="Times New Roman" w:hAnsi="Times New Roman" w:cs="Times New Roman"/>
          <w:color w:val="auto"/>
          <w:highlight w:val="none"/>
          <w:lang w:val="en-US" w:eastAsia="zh-CN"/>
        </w:rPr>
        <w:t>巩留</w:t>
      </w:r>
      <w:r>
        <w:rPr>
          <w:rFonts w:hint="default" w:ascii="Times New Roman" w:hAnsi="Times New Roman" w:eastAsia="仿宋_GB2312" w:cs="Times New Roman"/>
          <w:color w:val="auto"/>
          <w:highlight w:val="none"/>
          <w:lang w:val="zh-TW" w:eastAsia="zh-CN"/>
        </w:rPr>
        <w:t>特色的全媒体传播矩阵。</w:t>
      </w:r>
      <w:r>
        <w:rPr>
          <w:rFonts w:hint="default" w:ascii="Times New Roman" w:hAnsi="Times New Roman" w:eastAsia="仿宋_GB2312" w:cs="Times New Roman"/>
          <w:color w:val="auto"/>
          <w:highlight w:val="none"/>
          <w:lang w:val="zh-TW"/>
        </w:rPr>
        <w:t>实施文艺精品战略，</w:t>
      </w:r>
      <w:r>
        <w:rPr>
          <w:rFonts w:hint="default" w:ascii="Times New Roman" w:hAnsi="Times New Roman" w:eastAsia="仿宋_GB2312" w:cs="Times New Roman"/>
          <w:color w:val="auto"/>
          <w:highlight w:val="none"/>
          <w:lang w:val="zh-TW" w:eastAsia="zh-CN"/>
        </w:rPr>
        <w:t>提升文化原创能力，培育造就一</w:t>
      </w:r>
      <w:r>
        <w:rPr>
          <w:rFonts w:hint="default" w:ascii="Times New Roman" w:hAnsi="Times New Roman" w:cs="Times New Roman"/>
          <w:color w:val="auto"/>
          <w:highlight w:val="none"/>
          <w:lang w:val="zh-TW" w:eastAsia="zh-CN"/>
        </w:rPr>
        <w:t>支</w:t>
      </w:r>
      <w:r>
        <w:rPr>
          <w:rFonts w:hint="default" w:ascii="Times New Roman" w:hAnsi="Times New Roman" w:eastAsia="仿宋_GB2312" w:cs="Times New Roman"/>
          <w:color w:val="auto"/>
          <w:highlight w:val="none"/>
          <w:lang w:val="zh-TW" w:eastAsia="zh-CN"/>
        </w:rPr>
        <w:t>德艺双馨的文化文艺人才队伍。坚持文化惠民，补齐各级文化公共基础设施建设短板，实施公共文化服务提质增效行动，提高基本公共文化服务覆盖面。推进群众体育和竞技体育全面发展，持续盘活体育资源、优化服务供给、深化体教融合，</w:t>
      </w:r>
      <w:r>
        <w:rPr>
          <w:rFonts w:hint="default" w:ascii="Times New Roman" w:hAnsi="Times New Roman" w:eastAsia="仿宋_GB2312" w:cs="Times New Roman"/>
          <w:color w:val="auto"/>
          <w:highlight w:val="none"/>
          <w:lang w:val="en-US" w:eastAsia="zh-CN"/>
        </w:rPr>
        <w:t>依托</w:t>
      </w:r>
      <w:r>
        <w:rPr>
          <w:rFonts w:hint="default" w:ascii="Times New Roman" w:hAnsi="Times New Roman" w:eastAsia="仿宋_GB2312" w:cs="Times New Roman"/>
          <w:color w:val="auto"/>
          <w:highlight w:val="none"/>
          <w:lang w:val="zh-TW" w:eastAsia="zh-CN"/>
        </w:rPr>
        <w:t>“康养蝶城”加快推进体育强县建设，提升“体育+旅游”品牌影响力，培育本土特色赛事品牌，</w:t>
      </w:r>
      <w:r>
        <w:rPr>
          <w:rFonts w:hint="default" w:ascii="Times New Roman" w:hAnsi="Times New Roman" w:eastAsia="仿宋_GB2312" w:cs="Times New Roman"/>
          <w:color w:val="auto"/>
          <w:highlight w:val="none"/>
          <w:lang w:val="en-US" w:eastAsia="zh-CN"/>
        </w:rPr>
        <w:t>持续开展野核桃沟徒步大赛、中国小铁人系列赛·巩留站、</w:t>
      </w:r>
      <w:r>
        <w:rPr>
          <w:rFonts w:hint="default" w:ascii="Times New Roman" w:hAnsi="Times New Roman" w:eastAsia="仿宋_GB2312" w:cs="Times New Roman"/>
          <w:color w:val="auto"/>
          <w:highlight w:val="none"/>
          <w:lang w:val="zh-TW" w:eastAsia="zh-CN"/>
        </w:rPr>
        <w:t>“新疆是个好地方”伊犁州“三大球”选拔赛、兵地校园足球友谊赛、“奔跑吧・少年”青少年赛事等体育旅游融合品牌赛事，以品牌赛事赋能体育事业高质量发展，促进各民族交往交流交融。</w:t>
      </w:r>
    </w:p>
    <w:p w14:paraId="55ACCE8A">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19" w:name="_Toc1738"/>
      <w:bookmarkStart w:id="320" w:name="_Toc21243"/>
      <w:bookmarkStart w:id="321" w:name="_Toc24927"/>
      <w:bookmarkStart w:id="322" w:name="_Toc23282"/>
      <w:r>
        <w:rPr>
          <w:rFonts w:hint="default" w:ascii="Times New Roman" w:hAnsi="Times New Roman" w:eastAsia="楷体_GB2312" w:cs="Times New Roman"/>
          <w:b w:val="0"/>
          <w:color w:val="auto"/>
          <w:sz w:val="32"/>
          <w:szCs w:val="32"/>
          <w:highlight w:val="none"/>
          <w:lang w:eastAsia="zh-CN"/>
        </w:rPr>
        <w:t>第</w:t>
      </w:r>
      <w:r>
        <w:rPr>
          <w:rFonts w:hint="default" w:cs="Times New Roman"/>
          <w:b w:val="0"/>
          <w:color w:val="auto"/>
          <w:sz w:val="32"/>
          <w:szCs w:val="32"/>
          <w:highlight w:val="none"/>
          <w:lang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促进各民族</w:t>
      </w:r>
      <w:r>
        <w:rPr>
          <w:rFonts w:hint="default" w:ascii="Times New Roman" w:hAnsi="Times New Roman" w:eastAsia="楷体_GB2312" w:cs="Times New Roman"/>
          <w:b w:val="0"/>
          <w:color w:val="auto"/>
          <w:sz w:val="32"/>
          <w:szCs w:val="32"/>
          <w:highlight w:val="none"/>
          <w:lang w:val="en-US" w:eastAsia="zh-CN"/>
        </w:rPr>
        <w:t>在理想、信念、情感、文化上的团结统一</w:t>
      </w:r>
      <w:bookmarkEnd w:id="318"/>
      <w:bookmarkEnd w:id="319"/>
      <w:bookmarkEnd w:id="320"/>
      <w:bookmarkEnd w:id="321"/>
      <w:bookmarkEnd w:id="322"/>
    </w:p>
    <w:p w14:paraId="072063B2">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全面落实伊犁州各民族交往交流交融促进条例，巩固提升“民族团结一家亲”活动质效，引导各族群众牢固树立“四个与共”的共同体理念。实施</w:t>
      </w:r>
      <w:r>
        <w:rPr>
          <w:rFonts w:hint="default" w:ascii="Times New Roman" w:hAnsi="Times New Roman" w:eastAsia="仿宋_GB2312" w:cs="Times New Roman"/>
          <w:color w:val="auto"/>
          <w:highlight w:val="none"/>
          <w:lang w:eastAsia="zh-CN"/>
        </w:rPr>
        <w:t>三项计划，</w:t>
      </w:r>
      <w:r>
        <w:rPr>
          <w:rFonts w:hint="default" w:ascii="Times New Roman" w:hAnsi="Times New Roman" w:eastAsia="仿宋_GB2312" w:cs="Times New Roman"/>
          <w:color w:val="auto"/>
          <w:highlight w:val="none"/>
          <w:lang w:val="en-US" w:eastAsia="zh-CN"/>
        </w:rPr>
        <w:t>促进各民族在理想、信念、情感、文化上的团结统一</w:t>
      </w:r>
      <w:r>
        <w:rPr>
          <w:rFonts w:hint="default" w:ascii="Times New Roman" w:hAnsi="Times New Roman" w:eastAsia="仿宋_GB2312" w:cs="Times New Roman"/>
          <w:color w:val="auto"/>
          <w:highlight w:val="none"/>
        </w:rPr>
        <w:t>。加快构建互嵌式社会结构和社区环境，科学完善城镇规划，强化政策激励引导，突出以就业促融居，加强互嵌式社区和乡村建设，创造各族群众共居共学、共建共享、共事共乐的社会条件，推动各族群众逐步实现空间、文化、经济、社会、心理等方面的全方位嵌入。广泛开展群众性文体活动，不断增强全民健身公共服务的均衡性和可及性，以体育赛事为载体促进各民族交往交流交融。完善疆内外各族群众跨区域交流互动机制，用好兵地共建、对口援疆、定点帮扶、西部计划等工作机制和平台，把促进各民族广泛交往交流交融摆在更加突出的位置，丰富形式，深化内涵，巩固社会稳定和长治久安的群众基础。</w:t>
      </w:r>
    </w:p>
    <w:p w14:paraId="7FA9FC7E">
      <w:pPr>
        <w:pStyle w:val="4"/>
        <w:widowControl/>
        <w:numPr>
          <w:ilvl w:val="0"/>
          <w:numId w:val="0"/>
        </w:numPr>
        <w:ind w:leftChars="0" w:right="0" w:rightChars="0"/>
        <w:rPr>
          <w:rFonts w:hint="default" w:ascii="Times New Roman" w:hAnsi="Times New Roman" w:eastAsia="楷体_GB2312" w:cs="Times New Roman"/>
          <w:b w:val="0"/>
          <w:color w:val="auto"/>
          <w:sz w:val="32"/>
          <w:szCs w:val="32"/>
          <w:highlight w:val="none"/>
          <w:lang w:val="en-US" w:eastAsia="zh-CN"/>
        </w:rPr>
      </w:pPr>
      <w:bookmarkStart w:id="323" w:name="_Toc11796"/>
      <w:bookmarkStart w:id="324" w:name="_Toc19759"/>
      <w:bookmarkStart w:id="325" w:name="_Toc26114"/>
      <w:r>
        <w:rPr>
          <w:rFonts w:hint="default" w:ascii="Times New Roman" w:hAnsi="Times New Roman" w:cs="Times New Roman"/>
          <w:b w:val="0"/>
          <w:color w:val="auto"/>
          <w:sz w:val="32"/>
          <w:szCs w:val="32"/>
          <w:highlight w:val="none"/>
          <w:lang w:val="en-US" w:eastAsia="zh-CN"/>
        </w:rPr>
        <w:t>第</w:t>
      </w:r>
      <w:r>
        <w:rPr>
          <w:rFonts w:hint="default" w:cs="Times New Roman"/>
          <w:b w:val="0"/>
          <w:color w:val="auto"/>
          <w:sz w:val="32"/>
          <w:szCs w:val="32"/>
          <w:highlight w:val="none"/>
          <w:lang w:eastAsia="zh-CN"/>
        </w:rPr>
        <w:t>四</w:t>
      </w:r>
      <w:r>
        <w:rPr>
          <w:rFonts w:hint="default" w:ascii="Times New Roman" w:hAnsi="Times New Roman" w:cs="Times New Roman"/>
          <w:b w:val="0"/>
          <w:color w:val="auto"/>
          <w:sz w:val="32"/>
          <w:szCs w:val="32"/>
          <w:highlight w:val="none"/>
          <w:lang w:val="en-US" w:eastAsia="zh-CN"/>
        </w:rPr>
        <w:t xml:space="preserve">节 </w:t>
      </w:r>
      <w:r>
        <w:rPr>
          <w:rFonts w:hint="default" w:ascii="Times New Roman" w:hAnsi="Times New Roman" w:eastAsia="楷体_GB2312" w:cs="Times New Roman"/>
          <w:b w:val="0"/>
          <w:color w:val="auto"/>
          <w:sz w:val="32"/>
          <w:szCs w:val="32"/>
          <w:highlight w:val="none"/>
          <w:lang w:val="en-US" w:eastAsia="zh-CN"/>
        </w:rPr>
        <w:t>系统推进我国宗教中国化方向</w:t>
      </w:r>
      <w:bookmarkEnd w:id="323"/>
      <w:bookmarkEnd w:id="324"/>
      <w:bookmarkEnd w:id="325"/>
    </w:p>
    <w:p w14:paraId="420530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w w:val="100"/>
          <w:kern w:val="21"/>
          <w:sz w:val="32"/>
          <w:szCs w:val="32"/>
          <w:highlight w:val="none"/>
          <w:u w:val="none" w:color="auto"/>
          <w:lang w:val="zh-TW" w:eastAsia="zh-CN" w:bidi="ar-SA"/>
        </w:rPr>
      </w:pPr>
      <w:r>
        <w:rPr>
          <w:rFonts w:hint="default" w:ascii="Times New Roman" w:hAnsi="Times New Roman" w:eastAsia="仿宋_GB2312" w:cs="Times New Roman"/>
          <w:color w:val="auto"/>
          <w:w w:val="100"/>
          <w:kern w:val="21"/>
          <w:sz w:val="32"/>
          <w:szCs w:val="32"/>
          <w:highlight w:val="none"/>
          <w:u w:val="none" w:color="auto"/>
          <w:lang w:val="en-US" w:eastAsia="zh-CN" w:bidi="ar-SA"/>
        </w:rPr>
        <w:t>坚持我国宗教中国化方向，积极引导宗教与社会主义社会相适应，促进教义教规、管理制度、礼仪习俗、行为规范等更加彰显中国特色、体现中国样式、适应时代要求。</w:t>
      </w:r>
    </w:p>
    <w:p w14:paraId="53755AB2">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37F7FABC">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326" w:name="_Toc28470"/>
      <w:bookmarkStart w:id="327" w:name="_Toc27755"/>
      <w:bookmarkStart w:id="328" w:name="_Toc30651"/>
      <w:bookmarkStart w:id="329" w:name="_Toc25042"/>
      <w:bookmarkStart w:id="330" w:name="_Toc10422"/>
      <w:r>
        <w:rPr>
          <w:rFonts w:hint="default" w:ascii="Times New Roman" w:hAnsi="Times New Roman" w:eastAsia="黑体" w:cs="Times New Roman"/>
          <w:bCs/>
          <w:color w:val="auto"/>
          <w:kern w:val="44"/>
          <w:sz w:val="36"/>
          <w:szCs w:val="36"/>
          <w:highlight w:val="none"/>
          <w:lang w:val="en-US" w:eastAsia="zh-CN" w:bidi="ar"/>
        </w:rPr>
        <w:t>第十二章  推动基本公共服务普惠共享，提高各族群众生活品质</w:t>
      </w:r>
      <w:bookmarkEnd w:id="326"/>
      <w:bookmarkEnd w:id="327"/>
      <w:bookmarkEnd w:id="328"/>
      <w:bookmarkEnd w:id="329"/>
      <w:bookmarkEnd w:id="330"/>
    </w:p>
    <w:p w14:paraId="569722F3">
      <w:pPr>
        <w:keepNext w:val="0"/>
        <w:keepLines w:val="0"/>
        <w:pageBreakBefore w:val="0"/>
        <w:widowControl/>
        <w:tabs>
          <w:tab w:val="left" w:pos="312"/>
        </w:tabs>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22"/>
          <w:highlight w:val="none"/>
          <w:lang w:val="en-US" w:eastAsia="zh-CN"/>
        </w:rPr>
        <w:t>注重在发展中保障和改善民生，坚持尽力而为、量力而行，加强普惠性、基础性、兜底性民生建设，稳步推进基本公共服务均等化，着力解决各族群众急难愁盼问题，在实现共同富裕进程中不断提高各族群众生活品质</w:t>
      </w:r>
      <w:r>
        <w:rPr>
          <w:rFonts w:hint="default" w:ascii="Times New Roman" w:hAnsi="Times New Roman" w:eastAsia="仿宋_GB2312" w:cs="Times New Roman"/>
          <w:color w:val="auto"/>
          <w:sz w:val="32"/>
          <w:szCs w:val="22"/>
          <w:highlight w:val="none"/>
        </w:rPr>
        <w:t>。</w:t>
      </w:r>
    </w:p>
    <w:p w14:paraId="7E1DC2C4">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31" w:name="_Toc26140"/>
      <w:bookmarkStart w:id="332" w:name="_Toc26264"/>
      <w:bookmarkStart w:id="333" w:name="_Toc30872"/>
      <w:bookmarkStart w:id="334" w:name="_Toc22015"/>
      <w:bookmarkStart w:id="335" w:name="_Toc25246"/>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促进高质量充分就业</w:t>
      </w:r>
      <w:bookmarkEnd w:id="331"/>
      <w:bookmarkEnd w:id="332"/>
      <w:bookmarkEnd w:id="333"/>
      <w:bookmarkEnd w:id="334"/>
      <w:bookmarkEnd w:id="335"/>
    </w:p>
    <w:p w14:paraId="64E9FCA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方正仿宋_GBK" w:cs="Times New Roman"/>
          <w:b/>
          <w:bCs/>
          <w:color w:val="FF0000"/>
          <w:sz w:val="32"/>
          <w:szCs w:val="32"/>
          <w:lang w:val="en-US" w:eastAsia="zh-CN"/>
        </w:rPr>
      </w:pPr>
      <w:bookmarkStart w:id="336" w:name="_Toc28274"/>
      <w:bookmarkStart w:id="337" w:name="_Toc22917"/>
      <w:bookmarkStart w:id="338" w:name="_Toc18971"/>
      <w:bookmarkStart w:id="339" w:name="_Toc19369"/>
      <w:bookmarkStart w:id="340" w:name="_Toc7841"/>
      <w:r>
        <w:rPr>
          <w:rFonts w:hint="default" w:ascii="Times New Roman" w:hAnsi="Times New Roman" w:eastAsia="方正仿宋_GBK" w:cs="Times New Roman"/>
          <w:color w:val="auto"/>
          <w:sz w:val="32"/>
          <w:szCs w:val="32"/>
          <w:lang w:val="en-US" w:eastAsia="zh-CN"/>
        </w:rPr>
        <w:t>坚持就业优先战略，扩大就业容量与提升就业质量并重，推动创业带动就业，营造公平就业环境，着力缓解结构性就业矛盾，实现更加充分更高质量就业。开展重大政策、重大项目、重大生产力布局对就业影响的评估，实施重点领域、重点行业、城乡基层和中小微企业岗位挖潜扩容，紧密结合特色优势产业发展布局，挖掘新的就业增长点。支持吸纳就业能力强的产业和企业发展，开发更多岗位带动就业，鼓励各类经营主体稳岗扩岗，优化创业促进就业政策环境，支持和规范发展新就业形态，稳定和扩大就业容量。突出抓好高校毕业生等青年群体就业，拓宽市场化社会化就业渠道，开发有利于发挥专业特长的就业岗位。实施农村劳动力、防止返贫监测对象、退役军人、残疾人等重点群体就业帮扶，开发适应乡村振兴需求的新职业，引导外出人才返乡就业创业。深入推进终身职业技能培训，落实“技能照亮前程”培训行动，推荐申报技能大师工作室、新疆工匠、伊犁工匠项目，举办县级技能大赛。建立县、乡、村三级就业服务站，因地制宜打造就业驿站，加大劳务经纪人培育，鼓励本地企业吸纳各族群众就业。加强劳动者权益保障，深入开展根治拖欠农民工欠薪治理。力争“十五五”期间，实现年均新增城镇就业0.13万人以上，年均转移农村劳动力3.5万人次。</w:t>
      </w:r>
    </w:p>
    <w:p w14:paraId="293099C5">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41" w:name="_Toc26526"/>
      <w:bookmarkStart w:id="342" w:name="_Toc21077"/>
      <w:bookmarkStart w:id="343" w:name="_Toc23920"/>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二</w:t>
      </w:r>
      <w:r>
        <w:rPr>
          <w:rFonts w:hint="default" w:ascii="Times New Roman" w:hAnsi="Times New Roman" w:eastAsia="楷体_GB2312" w:cs="Times New Roman"/>
          <w:b w:val="0"/>
          <w:color w:val="auto"/>
          <w:sz w:val="32"/>
          <w:szCs w:val="32"/>
          <w:highlight w:val="none"/>
          <w:lang w:eastAsia="zh-CN"/>
        </w:rPr>
        <w:t>节 多渠道促进居民增收</w:t>
      </w:r>
      <w:bookmarkEnd w:id="336"/>
      <w:bookmarkEnd w:id="337"/>
      <w:bookmarkEnd w:id="338"/>
      <w:bookmarkEnd w:id="339"/>
      <w:bookmarkEnd w:id="341"/>
      <w:bookmarkEnd w:id="342"/>
      <w:bookmarkEnd w:id="343"/>
    </w:p>
    <w:p w14:paraId="0062003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坚持按劳分配为主体、多种分配方式并存的分配制度，完善初次分配机制，提高劳动报酬在初次分配中的比重，健全工资合理增长和支付保障长效机制。优化再分配调节机制，加大税收、社会保障、转移支付等政策工具的调节力度，增强对中低收入群体的保障能力。完善企业薪酬激励机制，拓宽知识、技术、管理等要素参与收益分配的渠道，支持技能人才通过技术提升实现收入增长。加强国有企业薪酬管理，合理规范负责人薪酬水平，健全与绩效挂钩的分配机制。健全城乡居民财产性收入增长机制，完善农民利益联结机制，促进农业附加值向产业链上游流动，盘活土地、林权、宅基地等资源资产，拓宽资产增值收益渠道。完善第三次分配机制，鼓励发展慈善事业，推动形成初次分配、再分配、三次分配协调配套的基础性制度安排，稳步扩大中等收入群体规模，促进居民收入持续稳定增长。</w:t>
      </w:r>
    </w:p>
    <w:p w14:paraId="5B6385C7">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Times New Roman" w:hAnsi="Times New Roman" w:eastAsia="仿宋_GB2312" w:cs="Times New Roman"/>
          <w:color w:val="auto"/>
          <w:sz w:val="32"/>
          <w:szCs w:val="32"/>
          <w:highlight w:val="none"/>
        </w:rPr>
      </w:pPr>
    </w:p>
    <w:p w14:paraId="2ECC92A1">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44" w:name="_Toc26772"/>
      <w:bookmarkStart w:id="345" w:name="_Toc11201"/>
      <w:bookmarkStart w:id="346" w:name="_Toc24649"/>
      <w:bookmarkStart w:id="347" w:name="_Toc4260"/>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建设高质量教育体系</w:t>
      </w:r>
      <w:bookmarkEnd w:id="340"/>
      <w:bookmarkEnd w:id="344"/>
      <w:bookmarkEnd w:id="345"/>
      <w:bookmarkEnd w:id="346"/>
      <w:bookmarkEnd w:id="347"/>
    </w:p>
    <w:p w14:paraId="66F562DA">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全面贯彻党的教育方针，坚持教育优先发展，坚持以人民为中心发展教育，落实立德树人根本任务，推进大中小学思政课一体化改革创新，健全德智体美劳全面培养体系。促进学前教育</w:t>
      </w:r>
      <w:r>
        <w:rPr>
          <w:rFonts w:hint="default" w:ascii="Times New Roman" w:hAnsi="Times New Roman" w:cs="Times New Roman"/>
          <w:color w:val="auto"/>
          <w:highlight w:val="none"/>
          <w:lang w:eastAsia="zh-CN"/>
        </w:rPr>
        <w:t>优质普惠</w:t>
      </w:r>
      <w:r>
        <w:rPr>
          <w:rFonts w:hint="default" w:ascii="Times New Roman" w:hAnsi="Times New Roman" w:eastAsia="仿宋_GB2312" w:cs="Times New Roman"/>
          <w:color w:val="auto"/>
          <w:highlight w:val="none"/>
        </w:rPr>
        <w:t>发展，</w:t>
      </w:r>
      <w:r>
        <w:rPr>
          <w:rFonts w:hint="default" w:ascii="Times New Roman" w:hAnsi="Times New Roman" w:cs="Times New Roman"/>
          <w:color w:val="auto"/>
          <w:highlight w:val="none"/>
          <w:lang w:eastAsia="zh-CN"/>
        </w:rPr>
        <w:t>扩大优质学前教育资源，提高学前教育质量。</w:t>
      </w:r>
      <w:r>
        <w:rPr>
          <w:rFonts w:hint="default" w:ascii="Times New Roman" w:hAnsi="Times New Roman" w:eastAsia="仿宋_GB2312" w:cs="Times New Roman"/>
          <w:color w:val="auto"/>
          <w:highlight w:val="none"/>
        </w:rPr>
        <w:t>推动义务教育优质均衡发展和城乡一体化，加快城镇学校挖潜扩容，扩大</w:t>
      </w:r>
      <w:r>
        <w:rPr>
          <w:rFonts w:hint="default" w:ascii="Times New Roman" w:hAnsi="Times New Roman" w:cs="Times New Roman"/>
          <w:color w:val="auto"/>
          <w:highlight w:val="none"/>
          <w:lang w:eastAsia="zh-CN"/>
        </w:rPr>
        <w:t>普通高中办学资源</w:t>
      </w:r>
      <w:r>
        <w:rPr>
          <w:rFonts w:hint="default" w:ascii="Times New Roman" w:hAnsi="Times New Roman" w:eastAsia="仿宋_GB2312" w:cs="Times New Roman"/>
          <w:color w:val="auto"/>
          <w:highlight w:val="none"/>
        </w:rPr>
        <w:t>，推动高中阶段教育多样化发展，探索设立科技高中班、艺术高中班、体育高中班，推进普通高中与中等职业教育融合发展。加快现代职业教育体系建设，加强中高职衔接培养，推进普职融通、产教融合。实施</w:t>
      </w:r>
      <w:r>
        <w:rPr>
          <w:rFonts w:hint="default" w:ascii="Times New Roman" w:hAnsi="Times New Roman" w:cs="Times New Roman"/>
          <w:color w:val="auto"/>
          <w:highlight w:val="none"/>
          <w:lang w:val="en-US" w:eastAsia="zh-CN"/>
        </w:rPr>
        <w:t>巩留县</w:t>
      </w:r>
      <w:r>
        <w:rPr>
          <w:rFonts w:hint="default" w:ascii="Times New Roman" w:hAnsi="Times New Roman" w:cs="Times New Roman"/>
          <w:color w:val="auto"/>
          <w:highlight w:val="none"/>
          <w:lang w:eastAsia="zh-CN"/>
        </w:rPr>
        <w:t>基础</w:t>
      </w:r>
      <w:r>
        <w:rPr>
          <w:rFonts w:hint="default" w:ascii="Times New Roman" w:hAnsi="Times New Roman" w:eastAsia="仿宋_GB2312" w:cs="Times New Roman"/>
          <w:color w:val="auto"/>
          <w:highlight w:val="none"/>
        </w:rPr>
        <w:t>教育扩优提质、特殊教育学生关爱行动，推进义务教育薄弱环节改善与能力提升等项目，持续改善办学条件。优化教师资源配置，用好银龄计划、援疆教师等资源，积极培育名校长、名教师、名班主任，持续提升教育教学质量。切实加强校园餐饮管理，推进校园餐突出问题专项整治，全方位守护师生安全。</w:t>
      </w:r>
      <w:r>
        <w:rPr>
          <w:rFonts w:hint="default" w:ascii="Times New Roman" w:hAnsi="Times New Roman" w:eastAsia="仿宋_GB2312" w:cs="Times New Roman"/>
          <w:color w:val="auto"/>
          <w:highlight w:val="none"/>
          <w:lang w:val="en-US" w:eastAsia="zh-CN"/>
        </w:rPr>
        <w:fldChar w:fldCharType="begin"/>
      </w:r>
      <w:r>
        <w:rPr>
          <w:rFonts w:hint="default" w:ascii="Times New Roman" w:hAnsi="Times New Roman" w:eastAsia="仿宋_GB2312" w:cs="Times New Roman"/>
          <w:color w:val="auto"/>
          <w:highlight w:val="none"/>
          <w:lang w:val="en-US" w:eastAsia="zh-CN"/>
        </w:rPr>
        <w:instrText xml:space="preserve"> HYPERLINK "https://www.baidu.com/link?url=F__-CnwCegzd0wEigS27I0PGR544VBOlyMMHfxyHcsNQUIiJRf6RYAEMuVWCfcLbZwSrj3gG5wegrD2zAwQlq5kD_hEnzzAG3uNDGA2ZnM3&amp;wd=&amp;eqid=f39309fe000f5b0e00000002695926bc" \t "https://www.baidu.com/_blank" </w:instrText>
      </w:r>
      <w:r>
        <w:rPr>
          <w:rFonts w:hint="default" w:ascii="Times New Roman" w:hAnsi="Times New Roman" w:eastAsia="仿宋_GB2312" w:cs="Times New Roman"/>
          <w:color w:val="auto"/>
          <w:highlight w:val="none"/>
          <w:lang w:val="en-US" w:eastAsia="zh-CN"/>
        </w:rPr>
        <w:fldChar w:fldCharType="separate"/>
      </w:r>
      <w:r>
        <w:rPr>
          <w:rFonts w:hint="default" w:ascii="Times New Roman" w:hAnsi="Times New Roman" w:eastAsia="仿宋_GB2312" w:cs="Times New Roman"/>
          <w:color w:val="auto"/>
          <w:highlight w:val="none"/>
        </w:rPr>
        <w:t>持续规范</w:t>
      </w:r>
      <w:r>
        <w:rPr>
          <w:rFonts w:hint="default" w:ascii="Times New Roman" w:hAnsi="Times New Roman" w:cs="Times New Roman"/>
          <w:color w:val="auto"/>
          <w:highlight w:val="none"/>
          <w:lang w:val="en-US" w:eastAsia="zh-CN"/>
        </w:rPr>
        <w:t>扩大</w:t>
      </w:r>
      <w:r>
        <w:rPr>
          <w:rFonts w:hint="default" w:ascii="Times New Roman" w:hAnsi="Times New Roman" w:eastAsia="仿宋_GB2312" w:cs="Times New Roman"/>
          <w:color w:val="auto"/>
          <w:highlight w:val="none"/>
        </w:rPr>
        <w:t>校外培训</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促进</w:t>
      </w:r>
      <w:r>
        <w:rPr>
          <w:rFonts w:hint="default" w:ascii="Times New Roman" w:hAnsi="Times New Roman" w:cs="Times New Roman"/>
          <w:color w:val="auto"/>
          <w:highlight w:val="none"/>
          <w:lang w:val="en-US" w:eastAsia="zh-CN"/>
        </w:rPr>
        <w:t>企业</w:t>
      </w:r>
      <w:r>
        <w:rPr>
          <w:rFonts w:hint="default" w:ascii="Times New Roman" w:hAnsi="Times New Roman" w:eastAsia="仿宋_GB2312" w:cs="Times New Roman"/>
          <w:color w:val="auto"/>
          <w:highlight w:val="none"/>
        </w:rPr>
        <w:t>机构有序发展</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lang w:val="en-US" w:eastAsia="zh-CN"/>
        </w:rPr>
        <w:fldChar w:fldCharType="end"/>
      </w:r>
      <w:r>
        <w:rPr>
          <w:rFonts w:hint="default" w:ascii="Times New Roman" w:hAnsi="Times New Roman" w:eastAsia="仿宋_GB2312" w:cs="Times New Roman"/>
          <w:color w:val="auto"/>
          <w:highlight w:val="none"/>
        </w:rPr>
        <w:t>深化教育领域综合改革，优化教育评价体系，加快数智化发展，建设终身学习平台，构建人人皆学、处处能学、时时可学的学习型社会</w:t>
      </w:r>
      <w:r>
        <w:rPr>
          <w:rFonts w:hint="default" w:ascii="Times New Roman" w:hAnsi="Times New Roman" w:cs="Times New Roman"/>
          <w:color w:val="auto"/>
          <w:highlight w:val="none"/>
          <w:lang w:eastAsia="zh-CN"/>
        </w:rPr>
        <w:t>，重视家庭教育发挥家庭教育的基础作用</w:t>
      </w:r>
      <w:r>
        <w:rPr>
          <w:rFonts w:hint="default" w:ascii="Times New Roman" w:hAnsi="Times New Roman" w:eastAsia="仿宋_GB2312" w:cs="Times New Roman"/>
          <w:color w:val="auto"/>
          <w:highlight w:val="none"/>
        </w:rPr>
        <w:t>。到20</w:t>
      </w:r>
      <w:r>
        <w:rPr>
          <w:rFonts w:hint="default" w:ascii="Times New Roman" w:hAnsi="Times New Roman" w:cs="Times New Roman"/>
          <w:color w:val="auto"/>
          <w:highlight w:val="none"/>
          <w:lang w:val="en-US" w:eastAsia="zh-CN"/>
        </w:rPr>
        <w:t>30</w:t>
      </w:r>
      <w:r>
        <w:rPr>
          <w:rFonts w:hint="default" w:ascii="Times New Roman" w:hAnsi="Times New Roman" w:eastAsia="仿宋_GB2312" w:cs="Times New Roman"/>
          <w:color w:val="auto"/>
          <w:highlight w:val="none"/>
        </w:rPr>
        <w:t>年，全</w:t>
      </w:r>
      <w:r>
        <w:rPr>
          <w:rFonts w:hint="default" w:ascii="Times New Roman" w:hAnsi="Times New Roman" w:cs="Times New Roman"/>
          <w:color w:val="auto"/>
          <w:highlight w:val="none"/>
          <w:lang w:val="en-US" w:eastAsia="zh-CN"/>
        </w:rPr>
        <w:t>县</w:t>
      </w:r>
      <w:r>
        <w:rPr>
          <w:rFonts w:hint="default" w:ascii="Times New Roman" w:hAnsi="Times New Roman" w:eastAsia="仿宋_GB2312" w:cs="Times New Roman"/>
          <w:color w:val="auto"/>
          <w:highlight w:val="none"/>
        </w:rPr>
        <w:t>学前教育毛入园率保持在</w:t>
      </w:r>
      <w:r>
        <w:rPr>
          <w:rFonts w:hint="default" w:ascii="Times New Roman" w:hAnsi="Times New Roman" w:cs="Times New Roman"/>
          <w:color w:val="auto"/>
          <w:highlight w:val="none"/>
          <w:lang w:val="en-US" w:eastAsia="zh-CN"/>
        </w:rPr>
        <w:t>99</w:t>
      </w:r>
      <w:r>
        <w:rPr>
          <w:rFonts w:hint="default" w:ascii="Times New Roman" w:hAnsi="Times New Roman" w:eastAsia="仿宋_GB2312" w:cs="Times New Roman"/>
          <w:color w:val="auto"/>
          <w:highlight w:val="none"/>
        </w:rPr>
        <w:t>%以上</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全</w:t>
      </w:r>
      <w:r>
        <w:rPr>
          <w:rFonts w:hint="default" w:ascii="Times New Roman" w:hAnsi="Times New Roman" w:cs="Times New Roman"/>
          <w:color w:val="auto"/>
          <w:highlight w:val="none"/>
          <w:lang w:val="en-US" w:eastAsia="zh-CN"/>
        </w:rPr>
        <w:t>县</w:t>
      </w:r>
      <w:r>
        <w:rPr>
          <w:rFonts w:hint="default" w:ascii="Times New Roman" w:hAnsi="Times New Roman" w:eastAsia="仿宋_GB2312" w:cs="Times New Roman"/>
          <w:color w:val="auto"/>
          <w:highlight w:val="none"/>
        </w:rPr>
        <w:t>九年义务教育巩固率保持在</w:t>
      </w:r>
      <w:r>
        <w:rPr>
          <w:rFonts w:hint="default" w:ascii="Times New Roman" w:hAnsi="Times New Roman" w:cs="Times New Roman"/>
          <w:color w:val="auto"/>
          <w:highlight w:val="none"/>
          <w:lang w:val="en-US" w:eastAsia="zh-CN"/>
        </w:rPr>
        <w:t>98</w:t>
      </w:r>
      <w:r>
        <w:rPr>
          <w:rFonts w:hint="default" w:ascii="Times New Roman" w:hAnsi="Times New Roman" w:eastAsia="仿宋_GB2312" w:cs="Times New Roman"/>
          <w:color w:val="auto"/>
          <w:highlight w:val="none"/>
        </w:rPr>
        <w:t>%以上</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全</w:t>
      </w:r>
      <w:r>
        <w:rPr>
          <w:rFonts w:hint="default" w:ascii="Times New Roman" w:hAnsi="Times New Roman" w:cs="Times New Roman"/>
          <w:color w:val="auto"/>
          <w:highlight w:val="none"/>
          <w:lang w:val="en-US" w:eastAsia="zh-CN"/>
        </w:rPr>
        <w:t>县</w:t>
      </w:r>
      <w:r>
        <w:rPr>
          <w:rFonts w:hint="default" w:ascii="Times New Roman" w:hAnsi="Times New Roman" w:eastAsia="仿宋_GB2312" w:cs="Times New Roman"/>
          <w:color w:val="auto"/>
          <w:highlight w:val="none"/>
        </w:rPr>
        <w:t>高中阶段教育毛入学率保持在9</w:t>
      </w:r>
      <w:r>
        <w:rPr>
          <w:rFonts w:hint="default" w:ascii="Times New Roman" w:hAnsi="Times New Roman" w:cs="Times New Roman"/>
          <w:color w:val="auto"/>
          <w:highlight w:val="none"/>
          <w:lang w:val="en-US" w:eastAsia="zh-CN"/>
        </w:rPr>
        <w:t>5</w:t>
      </w:r>
      <w:r>
        <w:rPr>
          <w:rFonts w:hint="default" w:ascii="Times New Roman" w:hAnsi="Times New Roman" w:eastAsia="仿宋_GB2312" w:cs="Times New Roman"/>
          <w:color w:val="auto"/>
          <w:highlight w:val="none"/>
        </w:rPr>
        <w:t>%以上。</w:t>
      </w:r>
    </w:p>
    <w:p w14:paraId="1CA4F619">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48" w:name="_Toc21027"/>
      <w:bookmarkStart w:id="349" w:name="_Toc25538"/>
      <w:bookmarkStart w:id="350" w:name="_Toc15515"/>
      <w:bookmarkStart w:id="351" w:name="_Toc14078"/>
      <w:bookmarkStart w:id="352" w:name="_Toc2080"/>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提升医疗卫生服务水平</w:t>
      </w:r>
      <w:bookmarkEnd w:id="348"/>
      <w:bookmarkEnd w:id="349"/>
      <w:bookmarkEnd w:id="350"/>
      <w:bookmarkEnd w:id="351"/>
      <w:bookmarkEnd w:id="352"/>
    </w:p>
    <w:p w14:paraId="2D1439DE">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实施健康优先发展战略，</w:t>
      </w:r>
      <w:r>
        <w:rPr>
          <w:rFonts w:hint="default" w:ascii="Times New Roman" w:hAnsi="Times New Roman" w:cs="Times New Roman"/>
          <w:color w:val="auto"/>
          <w:highlight w:val="none"/>
          <w:lang w:val="en-US" w:eastAsia="zh-CN"/>
        </w:rPr>
        <w:t>健全健康促进的政策体系，提升爱国运动的成效。实施健康巩留建设专项行动，因地制宜开展“三减三健”活动，完善健康巩留建设工作机制。</w:t>
      </w:r>
      <w:r>
        <w:rPr>
          <w:rFonts w:hint="default" w:ascii="Times New Roman" w:hAnsi="Times New Roman" w:eastAsia="仿宋_GB2312" w:cs="Times New Roman"/>
          <w:color w:val="auto"/>
          <w:highlight w:val="none"/>
        </w:rPr>
        <w:t>践行“三明医改”经验，发挥总医院阵地作用，推动医疗、医保、医药“三医联动”。促进医疗优质资源扩容下沉和区域均衡布局，推进县级医院能力建设，持续推进医院病房改造，提升基层医疗服务水平。实施医疗卫生强基工程，深化紧密型县域医共体和城市医联体建设，加快建设分级诊疗体系，完善远程医疗服务网络，推广“分布式检查、集中式诊断”服务模式。统筹推进中医药传承创新，</w:t>
      </w:r>
      <w:r>
        <w:rPr>
          <w:rFonts w:hint="default" w:ascii="Times New Roman" w:hAnsi="Times New Roman" w:cs="Times New Roman"/>
          <w:color w:val="auto"/>
          <w:highlight w:val="none"/>
          <w:lang w:eastAsia="zh-CN"/>
        </w:rPr>
        <w:t>进一步巩固和深化中医医院中医药适宜技术推广中心建设成果</w:t>
      </w:r>
      <w:r>
        <w:rPr>
          <w:rFonts w:hint="default" w:ascii="Times New Roman" w:hAnsi="Times New Roman" w:eastAsia="仿宋_GB2312" w:cs="Times New Roman"/>
          <w:color w:val="auto"/>
          <w:highlight w:val="none"/>
        </w:rPr>
        <w:t>。深化以公益性为导向的公立医院改革，完善薪酬制度和编制动态调整机制</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打造中医医院中医药健康服务中心。加快推进健康医疗大数据平台，推动检查检验结果互认。健全公共卫生服务体系，加强疾控机构和重大疫情防控救治体系建设，完善传染病医疗救治体系，提升传染病防控和应急处置能力</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强化应急能力建设，健全医疗救治、物资储备、产能动员“三位一体”应急保障体系。加强重大慢性病健康管理，提升康复和护理服务能力。支持高水平医学人才向基层下沉，实施住院医师、专科医师规范化培训计划，加强基层医疗卫生人才队伍建设。</w:t>
      </w:r>
    </w:p>
    <w:p w14:paraId="363B964E">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53" w:name="_Toc18535"/>
      <w:bookmarkStart w:id="354" w:name="_Toc21021"/>
      <w:bookmarkStart w:id="355" w:name="_Toc15771"/>
      <w:bookmarkStart w:id="356" w:name="_Toc3197"/>
      <w:bookmarkStart w:id="357" w:name="_Toc20668"/>
      <w:bookmarkStart w:id="358" w:name="_Toc21715"/>
      <w:bookmarkStart w:id="359" w:name="_Toc1279"/>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五</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健全人口发展支持和服务体系</w:t>
      </w:r>
      <w:bookmarkEnd w:id="353"/>
      <w:bookmarkEnd w:id="354"/>
      <w:bookmarkEnd w:id="355"/>
      <w:bookmarkEnd w:id="356"/>
      <w:bookmarkEnd w:id="357"/>
    </w:p>
    <w:p w14:paraId="4E0D10E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健全覆盖全人群、全生命周期的人口服务体系，促进人口高质量发展。加强出生人口监测，强化孕产妇和婴幼儿健康服务，降低孕产妇和婴儿死亡率，保持人口出生率和自然增长率在合理水平。全面落实生育支持政策，完善生育补贴和休假制度，提高基本生育和儿童医疗服务保障水平，有效降低生育、养育、教育成本，建设生育友好型社会。推进普惠托育服务体系建设，增加公建托位供给，发展多元化托育服务，支持用人单位办托，推动普惠托育纳入职工福利体系，支持幼儿园延伸发展托育服务</w:t>
      </w:r>
      <w:r>
        <w:rPr>
          <w:rFonts w:hint="default" w:ascii="Times New Roman" w:hAnsi="Times New Roman" w:cs="Times New Roman"/>
          <w:color w:val="auto"/>
          <w:highlight w:val="none"/>
          <w:lang w:eastAsia="zh-CN"/>
        </w:rPr>
        <w:t>，打造“儿童友好”社区，完善投入长效保障机制</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eastAsia="zh-CN"/>
        </w:rPr>
        <w:t>逐步完善县、乡、村三级养老服务网络建设，持续完善县中心敬老院改造提升，</w:t>
      </w:r>
      <w:r>
        <w:rPr>
          <w:rFonts w:hint="default" w:ascii="Times New Roman" w:hAnsi="Times New Roman" w:cs="Times New Roman"/>
          <w:color w:val="auto"/>
          <w:highlight w:val="none"/>
          <w:lang w:eastAsia="zh-CN"/>
        </w:rPr>
        <w:t>优化居家、社区、机构、医养相结合的养老服务体系，加强公共设施适老化和无障碍改造，强化</w:t>
      </w:r>
      <w:r>
        <w:rPr>
          <w:rFonts w:hint="default" w:ascii="Times New Roman" w:hAnsi="Times New Roman" w:eastAsia="仿宋_GB2312" w:cs="Times New Roman"/>
          <w:color w:val="auto"/>
          <w:highlight w:val="none"/>
          <w:lang w:val="en-US" w:eastAsia="zh-CN"/>
        </w:rPr>
        <w:t>失能老人、高龄家庭</w:t>
      </w:r>
      <w:r>
        <w:rPr>
          <w:rFonts w:hint="default" w:ascii="Times New Roman" w:hAnsi="Times New Roman" w:cs="Times New Roman"/>
          <w:color w:val="auto"/>
          <w:highlight w:val="none"/>
          <w:lang w:val="en-US" w:eastAsia="zh-CN"/>
        </w:rPr>
        <w:t>照护，加快推广长期护理保险</w:t>
      </w:r>
      <w:r>
        <w:rPr>
          <w:rFonts w:hint="default" w:ascii="Times New Roman" w:hAnsi="Times New Roman" w:eastAsia="仿宋_GB2312" w:cs="Times New Roman"/>
          <w:color w:val="auto"/>
          <w:highlight w:val="none"/>
          <w:lang w:val="en-US" w:eastAsia="zh-CN"/>
        </w:rPr>
        <w:t>。</w:t>
      </w:r>
      <w:r>
        <w:rPr>
          <w:rFonts w:hint="default" w:ascii="Times New Roman" w:hAnsi="Times New Roman" w:cs="Times New Roman"/>
          <w:color w:val="auto"/>
          <w:highlight w:val="none"/>
          <w:lang w:val="en-US" w:eastAsia="zh-CN"/>
        </w:rPr>
        <w:t>针对</w:t>
      </w:r>
      <w:r>
        <w:rPr>
          <w:rFonts w:hint="default" w:ascii="Times New Roman" w:hAnsi="Times New Roman" w:eastAsia="仿宋_GB2312" w:cs="Times New Roman"/>
          <w:color w:val="auto"/>
          <w:highlight w:val="none"/>
          <w:lang w:val="en-US" w:eastAsia="zh-CN"/>
        </w:rPr>
        <w:t>老年人托养、护理、助餐等需求 ，吸引更多社会力量参与养老事业，推动形成“居家为基础、社区为依托、机构为补充”的一体化养老服务模式，全面提升养老服务能力水平和服务质量。不断深化殡葬改革，完善殡葬服务保障，推进节地生态安葬设施建设，加大殡葬改革宣传力度，通过多种渠道和形式，广泛宣传殡葬改革政策、文明殡葬理念和节地生态安葬方式。</w:t>
      </w:r>
      <w:r>
        <w:rPr>
          <w:rFonts w:hint="default" w:ascii="Times New Roman" w:hAnsi="Times New Roman" w:cs="Times New Roman"/>
          <w:color w:val="auto"/>
          <w:highlight w:val="none"/>
          <w:lang w:val="en-US" w:eastAsia="zh-CN"/>
        </w:rPr>
        <w:t>落实渐进式延迟法定退休年龄相关政策，构建老年友好型社会，</w:t>
      </w:r>
      <w:r>
        <w:rPr>
          <w:rFonts w:hint="default" w:ascii="Times New Roman" w:hAnsi="Times New Roman" w:eastAsia="仿宋_GB2312" w:cs="Times New Roman"/>
          <w:color w:val="auto"/>
          <w:highlight w:val="none"/>
          <w:lang w:val="en-US" w:eastAsia="zh-CN"/>
        </w:rPr>
        <w:t>推动银发经济发展，</w:t>
      </w:r>
      <w:r>
        <w:rPr>
          <w:rFonts w:hint="default" w:ascii="Times New Roman" w:hAnsi="Times New Roman" w:cs="Times New Roman"/>
          <w:color w:val="auto"/>
          <w:highlight w:val="none"/>
          <w:lang w:val="en-US" w:eastAsia="zh-CN"/>
        </w:rPr>
        <w:t>培育老年用品、智慧养老、康复辅助等高品质产品和服务。</w:t>
      </w:r>
      <w:r>
        <w:rPr>
          <w:rFonts w:hint="default" w:ascii="Times New Roman" w:hAnsi="Times New Roman" w:eastAsia="仿宋_GB2312" w:cs="Times New Roman"/>
          <w:color w:val="auto"/>
          <w:highlight w:val="none"/>
          <w:lang w:val="en-US" w:eastAsia="zh-CN"/>
        </w:rPr>
        <w:t>推动养老与文化旅游、生态环境、医疗健康等要素深度融合，依托本县旅游景区加快发展康养、颐养等特色产业</w:t>
      </w:r>
      <w:r>
        <w:rPr>
          <w:rFonts w:hint="default" w:ascii="Times New Roman" w:hAnsi="Times New Roman" w:eastAsia="仿宋_GB2312" w:cs="Times New Roman"/>
          <w:color w:val="auto"/>
          <w:highlight w:val="none"/>
        </w:rPr>
        <w:t>。</w:t>
      </w:r>
    </w:p>
    <w:p w14:paraId="18379393">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60" w:name="_Toc17552"/>
      <w:bookmarkStart w:id="361" w:name="_Toc21486"/>
      <w:bookmarkStart w:id="362" w:name="_Toc2698"/>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六</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健全社会保障体系</w:t>
      </w:r>
      <w:bookmarkEnd w:id="358"/>
      <w:bookmarkEnd w:id="359"/>
      <w:bookmarkEnd w:id="360"/>
      <w:bookmarkEnd w:id="361"/>
      <w:bookmarkEnd w:id="362"/>
    </w:p>
    <w:p w14:paraId="02538EA2">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坚持保基本、兜底线、织密网，健全覆盖全民、统筹城乡、公平统一、可持续的多层次社会保障体系。强化社会保险主体作用，</w:t>
      </w:r>
      <w:r>
        <w:rPr>
          <w:rFonts w:hint="default" w:ascii="Times New Roman" w:hAnsi="Times New Roman" w:eastAsia="仿宋_GB2312" w:cs="Times New Roman"/>
          <w:color w:val="auto"/>
          <w:highlight w:val="none"/>
          <w:lang w:val="en-US" w:eastAsia="zh-CN"/>
        </w:rPr>
        <w:t>积极对接全国统一社保服务平台，落实基本养老保险全国统筹制度，落实村集体补助和提档补费政策，完善城乡居民基本养老保险待遇确定和基础养老基金正常增长机制</w:t>
      </w:r>
      <w:r>
        <w:rPr>
          <w:rFonts w:hint="default" w:ascii="Times New Roman" w:hAnsi="Times New Roman" w:eastAsia="仿宋_GB2312" w:cs="Times New Roman"/>
          <w:color w:val="auto"/>
          <w:highlight w:val="none"/>
        </w:rPr>
        <w:t>。加快发展多层次多支柱养老保险体系，扩大企业年金覆盖范围，全面推开个人养老金制度。推进全民参保计划，稳步推动基本医疗保险自治区级统筹，完善大病保险和医疗救助制度，发展商业健康保险。</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十</w:t>
      </w:r>
      <w:r>
        <w:rPr>
          <w:rFonts w:hint="default" w:ascii="Times New Roman" w:hAnsi="Times New Roman" w:cs="Times New Roman"/>
          <w:color w:val="auto"/>
          <w:highlight w:val="none"/>
          <w:lang w:val="en-US" w:eastAsia="zh-CN"/>
        </w:rPr>
        <w:t>五</w:t>
      </w:r>
      <w:r>
        <w:rPr>
          <w:rFonts w:hint="default" w:ascii="Times New Roman" w:hAnsi="Times New Roman" w:eastAsia="仿宋_GB2312" w:cs="Times New Roman"/>
          <w:color w:val="auto"/>
          <w:highlight w:val="none"/>
        </w:rPr>
        <w:t>五</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rPr>
        <w:t>期间，全</w:t>
      </w:r>
      <w:r>
        <w:rPr>
          <w:rFonts w:hint="default" w:ascii="Times New Roman" w:hAnsi="Times New Roman" w:cs="Times New Roman"/>
          <w:color w:val="auto"/>
          <w:highlight w:val="none"/>
          <w:lang w:val="en-US" w:eastAsia="zh-CN"/>
        </w:rPr>
        <w:t>县</w:t>
      </w:r>
      <w:r>
        <w:rPr>
          <w:rFonts w:hint="default" w:ascii="Times New Roman" w:hAnsi="Times New Roman" w:eastAsia="仿宋_GB2312" w:cs="Times New Roman"/>
          <w:color w:val="auto"/>
          <w:highlight w:val="none"/>
        </w:rPr>
        <w:t>基本养老保险、基本医疗保险参保率保持在95%以上。</w:t>
      </w:r>
      <w:r>
        <w:rPr>
          <w:rFonts w:hint="default" w:ascii="Times New Roman" w:hAnsi="Times New Roman" w:eastAsia="仿宋_GB2312" w:cs="Times New Roman"/>
          <w:color w:val="auto"/>
          <w:highlight w:val="none"/>
          <w:lang w:val="en-US" w:eastAsia="zh-CN"/>
        </w:rPr>
        <w:t>有序推进新就业形态人员职业伤害保障试点，扩大工伤保险覆盖范围</w:t>
      </w:r>
      <w:r>
        <w:rPr>
          <w:rFonts w:hint="default" w:ascii="Times New Roman" w:hAnsi="Times New Roman" w:eastAsia="仿宋_GB2312" w:cs="Times New Roman"/>
          <w:color w:val="auto"/>
          <w:highlight w:val="none"/>
        </w:rPr>
        <w:t>。健全完善分层分类社会救助</w:t>
      </w:r>
      <w:r>
        <w:rPr>
          <w:rFonts w:hint="default" w:ascii="Times New Roman" w:hAnsi="Times New Roman" w:eastAsia="仿宋_GB2312" w:cs="Times New Roman"/>
          <w:color w:val="auto"/>
          <w:highlight w:val="none"/>
          <w:lang w:eastAsia="zh-CN"/>
        </w:rPr>
        <w:t>体系</w:t>
      </w:r>
      <w:r>
        <w:rPr>
          <w:rFonts w:hint="default" w:ascii="Times New Roman" w:hAnsi="Times New Roman" w:eastAsia="仿宋_GB2312" w:cs="Times New Roman"/>
          <w:color w:val="auto"/>
          <w:highlight w:val="none"/>
        </w:rPr>
        <w:t>，全面开展低收入人口困难家庭认定</w:t>
      </w:r>
      <w:r>
        <w:rPr>
          <w:rFonts w:hint="default" w:ascii="Times New Roman" w:hAnsi="Times New Roman" w:eastAsia="仿宋_GB2312" w:cs="Times New Roman"/>
          <w:color w:val="auto"/>
          <w:highlight w:val="none"/>
          <w:lang w:eastAsia="zh-CN"/>
        </w:rPr>
        <w:t>和动态监测，深化“物质</w:t>
      </w:r>
      <w:r>
        <w:rPr>
          <w:rFonts w:hint="default" w:ascii="Times New Roman" w:hAnsi="Times New Roman" w:eastAsia="仿宋_GB2312" w:cs="Times New Roman"/>
          <w:color w:val="auto"/>
          <w:highlight w:val="none"/>
          <w:lang w:val="en-US" w:eastAsia="zh-CN"/>
        </w:rPr>
        <w:t>+服务</w:t>
      </w:r>
      <w:r>
        <w:rPr>
          <w:rFonts w:hint="default" w:ascii="Times New Roman" w:hAnsi="Times New Roman" w:eastAsia="仿宋_GB2312" w:cs="Times New Roman"/>
          <w:color w:val="auto"/>
          <w:highlight w:val="none"/>
          <w:lang w:eastAsia="zh-CN"/>
        </w:rPr>
        <w:t>”多维救助</w:t>
      </w:r>
      <w:r>
        <w:rPr>
          <w:rFonts w:hint="default" w:ascii="Times New Roman" w:hAnsi="Times New Roman" w:eastAsia="仿宋_GB2312" w:cs="Times New Roman"/>
          <w:color w:val="auto"/>
          <w:highlight w:val="none"/>
        </w:rPr>
        <w:t>，推动医疗、教育、住房、就业等专项救助向困难家庭延伸。</w:t>
      </w:r>
      <w:r>
        <w:rPr>
          <w:rFonts w:hint="default" w:ascii="Times New Roman" w:hAnsi="Times New Roman" w:cs="Times New Roman"/>
          <w:color w:val="auto"/>
          <w:highlight w:val="none"/>
          <w:lang w:val="en-US" w:eastAsia="zh-CN"/>
        </w:rPr>
        <w:t>提升村集体补助提档补费，提高城乡居民养老保障水平</w:t>
      </w:r>
      <w:r>
        <w:rPr>
          <w:rFonts w:hint="default" w:ascii="Times New Roman" w:hAnsi="Times New Roman" w:eastAsia="仿宋_GB2312" w:cs="Times New Roman"/>
          <w:color w:val="auto"/>
          <w:highlight w:val="none"/>
        </w:rPr>
        <w:t>。</w:t>
      </w:r>
      <w:r>
        <w:rPr>
          <w:rFonts w:hint="default" w:ascii="Times New Roman" w:hAnsi="Times New Roman" w:eastAsia="仿宋_GB2312" w:cs="Times New Roman"/>
          <w:color w:val="auto"/>
          <w:highlight w:val="none"/>
          <w:lang w:eastAsia="zh-CN"/>
        </w:rPr>
        <w:t>落实好孤儿，事实无人抚养儿童和困境儿童基本生活保障，实施好“福彩圆梦</w:t>
      </w:r>
      <w:r>
        <w:rPr>
          <w:rFonts w:hint="default" w:ascii="Times New Roman" w:hAnsi="Times New Roman" w:eastAsia="仿宋_GB2312" w:cs="Times New Roman"/>
          <w:color w:val="auto"/>
          <w:highlight w:val="none"/>
          <w:lang w:val="en-US" w:eastAsia="zh-CN"/>
        </w:rPr>
        <w:t xml:space="preserve"> 孤儿助学工程</w:t>
      </w:r>
      <w:r>
        <w:rPr>
          <w:rFonts w:hint="default" w:ascii="Times New Roman" w:hAnsi="Times New Roman" w:eastAsia="仿宋_GB2312" w:cs="Times New Roman"/>
          <w:color w:val="auto"/>
          <w:highlight w:val="none"/>
          <w:lang w:eastAsia="zh-CN"/>
        </w:rPr>
        <w:t>”项目，保障好、服务好残疾人等特殊困难群体</w:t>
      </w:r>
      <w:r>
        <w:rPr>
          <w:rFonts w:hint="default" w:ascii="Times New Roman" w:hAnsi="Times New Roman" w:eastAsia="仿宋_GB2312" w:cs="Times New Roman"/>
          <w:color w:val="auto"/>
          <w:highlight w:val="none"/>
        </w:rPr>
        <w:t>。健全退役军人工作体系和保障制度，完善双拥优抚体系，巩固军政军民团结</w:t>
      </w:r>
      <w:r>
        <w:rPr>
          <w:rFonts w:hint="default" w:ascii="Times New Roman" w:hAnsi="Times New Roman" w:cs="Times New Roman"/>
          <w:color w:val="auto"/>
          <w:highlight w:val="none"/>
          <w:lang w:eastAsia="zh-CN"/>
        </w:rPr>
        <w:t>。</w:t>
      </w:r>
    </w:p>
    <w:p w14:paraId="161AB6A4">
      <w:pPr>
        <w:pStyle w:val="4"/>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bookmarkStart w:id="363" w:name="_Toc6665"/>
      <w:bookmarkStart w:id="364" w:name="_Toc19110"/>
      <w:bookmarkStart w:id="365" w:name="_Toc16998"/>
      <w:bookmarkStart w:id="366" w:name="_Toc17156"/>
      <w:bookmarkStart w:id="367" w:name="_Toc13928"/>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七</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363"/>
      <w:r>
        <w:rPr>
          <w:rFonts w:hint="default" w:ascii="Times New Roman" w:hAnsi="Times New Roman" w:eastAsia="楷体_GB2312" w:cs="Times New Roman"/>
          <w:b w:val="0"/>
          <w:color w:val="auto"/>
          <w:sz w:val="32"/>
          <w:szCs w:val="32"/>
          <w:highlight w:val="none"/>
          <w:lang w:val="en-US" w:eastAsia="zh-CN"/>
        </w:rPr>
        <w:t>提升居民住房水平</w:t>
      </w:r>
      <w:bookmarkEnd w:id="364"/>
      <w:bookmarkEnd w:id="365"/>
      <w:bookmarkEnd w:id="366"/>
      <w:bookmarkEnd w:id="367"/>
    </w:p>
    <w:p w14:paraId="08C185D1">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完善“市场+保障”住房供应体系，加快建立多主体供给、多渠道保障、租购并举的住房制度。稳妥实施配售型保障性住房建设，探索收购存量商品住房用作保障性住房。加快培育发展住房租赁市场，完善长租房政策，逐步实现租购住房在享受公共服务上同权，多渠道解决</w:t>
      </w:r>
      <w:r>
        <w:rPr>
          <w:rFonts w:hint="default" w:ascii="Times New Roman" w:hAnsi="Times New Roman" w:cs="Times New Roman"/>
          <w:color w:val="auto"/>
          <w:highlight w:val="none"/>
          <w:lang w:eastAsia="zh-CN"/>
        </w:rPr>
        <w:t>城镇低保、低收入、</w:t>
      </w:r>
      <w:r>
        <w:rPr>
          <w:rFonts w:hint="default" w:ascii="Times New Roman" w:hAnsi="Times New Roman" w:eastAsia="仿宋_GB2312" w:cs="Times New Roman"/>
          <w:color w:val="auto"/>
          <w:highlight w:val="none"/>
        </w:rPr>
        <w:t>新市民、青年人</w:t>
      </w:r>
      <w:r>
        <w:rPr>
          <w:rFonts w:hint="default" w:ascii="Times New Roman" w:hAnsi="Times New Roman" w:cs="Times New Roman"/>
          <w:color w:val="auto"/>
          <w:highlight w:val="none"/>
          <w:lang w:eastAsia="zh-CN"/>
        </w:rPr>
        <w:t>、引进人才</w:t>
      </w:r>
      <w:r>
        <w:rPr>
          <w:rFonts w:hint="default" w:ascii="Times New Roman" w:hAnsi="Times New Roman" w:eastAsia="仿宋_GB2312" w:cs="Times New Roman"/>
          <w:color w:val="auto"/>
          <w:highlight w:val="none"/>
        </w:rPr>
        <w:t>等群体住房问题。统筹推进住房管理、土地供应、房地产融资、财税等制度改革，加快构建房地产发展新模式。巩固农村安居和游牧民定居成果，继续开展农村住房抗震防灾加固改造，探索建立农村低收入人口基本住房安全保障机制，持续改善农村居民住房条件。</w:t>
      </w:r>
      <w:r>
        <w:rPr>
          <w:rFonts w:hint="default" w:ascii="Times New Roman" w:hAnsi="Times New Roman" w:eastAsia="仿宋_GB2312" w:cs="Times New Roman"/>
          <w:color w:val="auto"/>
          <w:highlight w:val="none"/>
          <w:lang w:val="en-US" w:eastAsia="zh-CN"/>
        </w:rPr>
        <w:t>大力推进改善型住房供给侧结构性改革，重点推动第四代、第五代绿色生态智慧住房建设</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打造宜居宜业高品质居住环境</w:t>
      </w:r>
      <w:r>
        <w:rPr>
          <w:rFonts w:hint="default" w:ascii="Times New Roman" w:hAnsi="Times New Roman" w:cs="Times New Roman"/>
          <w:color w:val="auto"/>
          <w:highlight w:val="none"/>
          <w:lang w:val="en-US" w:eastAsia="zh-CN"/>
        </w:rPr>
        <w:t>，优化住房供给结构、提升住房建设品质、完善居住配套体系，助力新型城镇化建设与民生改善深度融合。</w:t>
      </w:r>
    </w:p>
    <w:p w14:paraId="1506AA65">
      <w:pPr>
        <w:ind w:left="0" w:leftChars="0" w:firstLine="0" w:firstLineChars="0"/>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4C17B90B">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368" w:name="_Toc21122"/>
      <w:bookmarkStart w:id="369" w:name="_Toc19619"/>
      <w:bookmarkStart w:id="370" w:name="_Toc17791"/>
      <w:bookmarkStart w:id="371" w:name="_Toc1124"/>
      <w:bookmarkStart w:id="372" w:name="_Toc2433"/>
      <w:r>
        <w:rPr>
          <w:rFonts w:hint="default" w:ascii="Times New Roman" w:hAnsi="Times New Roman" w:eastAsia="黑体" w:cs="Times New Roman"/>
          <w:bCs/>
          <w:color w:val="auto"/>
          <w:kern w:val="44"/>
          <w:sz w:val="36"/>
          <w:szCs w:val="36"/>
          <w:highlight w:val="none"/>
          <w:lang w:val="en-US" w:eastAsia="zh-CN" w:bidi="ar"/>
        </w:rPr>
        <w:t>第十三章  加快经济社会发展全面绿色转型</w:t>
      </w:r>
      <w:bookmarkEnd w:id="368"/>
      <w:bookmarkEnd w:id="369"/>
      <w:r>
        <w:rPr>
          <w:rFonts w:hint="default" w:ascii="Times New Roman" w:hAnsi="Times New Roman" w:eastAsia="黑体" w:cs="Times New Roman"/>
          <w:bCs/>
          <w:color w:val="auto"/>
          <w:kern w:val="44"/>
          <w:sz w:val="36"/>
          <w:szCs w:val="36"/>
          <w:highlight w:val="none"/>
          <w:lang w:val="en-US" w:eastAsia="zh-CN" w:bidi="ar"/>
        </w:rPr>
        <w:t>，建设美丽巩留</w:t>
      </w:r>
      <w:bookmarkEnd w:id="370"/>
      <w:bookmarkEnd w:id="371"/>
      <w:bookmarkEnd w:id="372"/>
    </w:p>
    <w:p w14:paraId="053BC36B">
      <w:pPr>
        <w:keepNext w:val="0"/>
        <w:keepLines w:val="0"/>
        <w:pageBreakBefore w:val="0"/>
        <w:widowControl/>
        <w:tabs>
          <w:tab w:val="left" w:pos="312"/>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牢固树立绿水青山就是金山银山的理念，协同推进降碳减污扩绿增长，加快经济社会发展全面绿色转型，促进人与自然和谐共生，为美丽巩留建设奠定坚实的绿色根基。</w:t>
      </w:r>
    </w:p>
    <w:p w14:paraId="4F5A749E">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373" w:name="_Toc4811"/>
      <w:bookmarkStart w:id="374" w:name="_Toc26560"/>
      <w:bookmarkStart w:id="375" w:name="_Toc1733"/>
      <w:bookmarkStart w:id="376" w:name="_Toc17113"/>
      <w:bookmarkStart w:id="377" w:name="_Toc22295"/>
      <w:bookmarkStart w:id="378" w:name="_Toc23353"/>
      <w:bookmarkStart w:id="379" w:name="_Toc30803"/>
      <w:bookmarkStart w:id="380" w:name="_Toc2708"/>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373"/>
      <w:bookmarkEnd w:id="374"/>
      <w:r>
        <w:rPr>
          <w:rFonts w:hint="default" w:ascii="Times New Roman" w:hAnsi="Times New Roman" w:eastAsia="楷体_GB2312" w:cs="Times New Roman"/>
          <w:b w:val="0"/>
          <w:color w:val="auto"/>
          <w:sz w:val="32"/>
          <w:szCs w:val="32"/>
          <w:highlight w:val="none"/>
          <w:lang w:val="en-US" w:eastAsia="zh-CN"/>
        </w:rPr>
        <w:t>持续深入打好污染防治攻坚战</w:t>
      </w:r>
      <w:bookmarkEnd w:id="375"/>
      <w:bookmarkEnd w:id="376"/>
      <w:bookmarkEnd w:id="377"/>
    </w:p>
    <w:p w14:paraId="50C30E9C">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zh-CN" w:eastAsia="zh-CN"/>
        </w:rPr>
      </w:pPr>
      <w:r>
        <w:rPr>
          <w:rFonts w:hint="default" w:ascii="Times New Roman" w:hAnsi="Times New Roman" w:eastAsia="仿宋_GB2312" w:cs="Times New Roman"/>
          <w:color w:val="auto"/>
          <w:highlight w:val="none"/>
          <w:lang w:val="en-US" w:eastAsia="zh-CN"/>
        </w:rPr>
        <w:t>坚持生态优先、绿色发展，深化兵地协同治理，持续深入打好蓝天、碧水、净土保卫战，精准治污、科学治污、依法治污，落实以排污许可制为核心的固定污染源监管制度，建立新污染物协同治理和环境风险管控体系，推进多污染物协同减排，严密防控环境风险，守护“中国天然氧吧”和国家生态文明建设示范县品牌。</w:t>
      </w:r>
    </w:p>
    <w:p w14:paraId="41BABD47">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持续推进大气污染防治攻坚行动。</w:t>
      </w:r>
      <w:r>
        <w:rPr>
          <w:rFonts w:hint="default" w:ascii="Times New Roman" w:hAnsi="Times New Roman" w:eastAsia="仿宋_GB2312" w:cs="Times New Roman"/>
          <w:color w:val="auto"/>
          <w:highlight w:val="none"/>
          <w:lang w:val="en-US" w:eastAsia="zh-CN"/>
        </w:rPr>
        <w:t>以“生态绿城、水韵蝶城”建设为引领，全面开展大气污染治理，深化工业源、生活源、移动源等精细化管理，严格落实控煤、控污、控尘、控车“四项措施”，</w:t>
      </w:r>
      <w:r>
        <w:rPr>
          <w:rFonts w:hint="default" w:ascii="Times New Roman" w:hAnsi="Times New Roman" w:cs="Times New Roman"/>
          <w:color w:val="auto"/>
          <w:highlight w:val="none"/>
          <w:lang w:val="en-US" w:eastAsia="zh-CN"/>
        </w:rPr>
        <w:t>加快区域城乡结构的单位清洁能源替代</w:t>
      </w:r>
      <w:r>
        <w:rPr>
          <w:rFonts w:hint="default" w:ascii="Times New Roman" w:hAnsi="Times New Roman" w:eastAsia="仿宋_GB2312" w:cs="Times New Roman"/>
          <w:color w:val="auto"/>
          <w:highlight w:val="none"/>
          <w:lang w:val="en-US" w:eastAsia="zh-CN"/>
        </w:rPr>
        <w:t>，持续开展燃煤锅炉整治和燃气锅炉低氮燃烧改造，开展挥发性有机物污染摸排治理，因地制宜实施清洁能源行动计划，加快推进城镇平房居民区、</w:t>
      </w:r>
      <w:r>
        <w:rPr>
          <w:rFonts w:hint="default" w:ascii="Times New Roman" w:hAnsi="Times New Roman" w:cs="Times New Roman"/>
          <w:color w:val="auto"/>
          <w:highlight w:val="none"/>
          <w:lang w:val="en-US" w:eastAsia="zh-CN"/>
        </w:rPr>
        <w:t>城乡接合部</w:t>
      </w:r>
      <w:r>
        <w:rPr>
          <w:rFonts w:hint="default" w:ascii="Times New Roman" w:hAnsi="Times New Roman" w:eastAsia="仿宋_GB2312" w:cs="Times New Roman"/>
          <w:color w:val="auto"/>
          <w:highlight w:val="none"/>
          <w:lang w:val="en-US" w:eastAsia="zh-CN"/>
        </w:rPr>
        <w:t>、农村民用和农业生产散烧煤清洁能源替代，持续实施煤炭消费总量控制，推动空气质量持续改善。到2030年，空气</w:t>
      </w:r>
      <w:r>
        <w:rPr>
          <w:rFonts w:hint="default" w:ascii="Times New Roman" w:hAnsi="Times New Roman" w:cs="Times New Roman"/>
          <w:color w:val="auto"/>
          <w:highlight w:val="none"/>
          <w:lang w:val="en-US" w:eastAsia="zh-CN"/>
        </w:rPr>
        <w:t>环境质量</w:t>
      </w:r>
      <w:r>
        <w:rPr>
          <w:rFonts w:hint="default" w:ascii="Times New Roman" w:hAnsi="Times New Roman" w:eastAsia="仿宋_GB2312" w:cs="Times New Roman"/>
          <w:color w:val="auto"/>
          <w:highlight w:val="none"/>
          <w:lang w:val="en-US" w:eastAsia="zh-CN"/>
        </w:rPr>
        <w:t>完成上级</w:t>
      </w:r>
      <w:r>
        <w:rPr>
          <w:rFonts w:hint="default" w:ascii="Times New Roman" w:hAnsi="Times New Roman" w:cs="Times New Roman"/>
          <w:color w:val="auto"/>
          <w:highlight w:val="none"/>
          <w:lang w:val="en-US" w:eastAsia="zh-CN"/>
        </w:rPr>
        <w:t>下达</w:t>
      </w:r>
      <w:r>
        <w:rPr>
          <w:rFonts w:hint="default" w:ascii="Times New Roman" w:hAnsi="Times New Roman" w:eastAsia="仿宋_GB2312" w:cs="Times New Roman"/>
          <w:color w:val="auto"/>
          <w:highlight w:val="none"/>
          <w:lang w:val="en-US" w:eastAsia="zh-CN"/>
        </w:rPr>
        <w:t>约束性指标要求。</w:t>
      </w:r>
    </w:p>
    <w:p w14:paraId="39E59477">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大力实施水污染防治攻坚行动。</w:t>
      </w:r>
      <w:r>
        <w:rPr>
          <w:rFonts w:hint="default" w:ascii="Times New Roman" w:hAnsi="Times New Roman" w:eastAsia="仿宋_GB2312" w:cs="Times New Roman"/>
          <w:color w:val="auto"/>
          <w:highlight w:val="none"/>
          <w:lang w:val="en-US" w:eastAsia="zh-CN"/>
        </w:rPr>
        <w:t>统筹重点区域水资源、水环境、水生态治理，全面落实河湖长制，加强污染源和水生态系统治理，全面完成入河排污口排查整治，巩固提升饮用水安全保障，持续推进城市水源地规范化建设，完善城镇污水收集处理体系和再生水输配系统，加强污水再生利用工程建设，提高污水资源化利用水平和再生水回用率，确保水环境安全。强化水源地保护，开展集中式饮用水水源地环境保护专项行动。有序推进农村生活污水治理</w:t>
      </w:r>
      <w:r>
        <w:rPr>
          <w:rFonts w:hint="default" w:ascii="Times New Roman" w:hAnsi="Times New Roman" w:cs="Times New Roman"/>
          <w:color w:val="auto"/>
          <w:highlight w:val="none"/>
          <w:lang w:val="en-US" w:eastAsia="zh-CN"/>
        </w:rPr>
        <w:t>管理</w:t>
      </w:r>
      <w:r>
        <w:rPr>
          <w:rFonts w:hint="default" w:ascii="Times New Roman" w:hAnsi="Times New Roman" w:eastAsia="仿宋_GB2312" w:cs="Times New Roman"/>
          <w:color w:val="auto"/>
          <w:highlight w:val="none"/>
          <w:lang w:val="en-US" w:eastAsia="zh-CN"/>
        </w:rPr>
        <w:t>，持续开展农村污水收集处理设施建设，健全农村生活污水治理机制。</w:t>
      </w:r>
    </w:p>
    <w:p w14:paraId="3227B52D">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全面深化土壤污染防治攻坚行动。</w:t>
      </w:r>
      <w:r>
        <w:rPr>
          <w:rFonts w:hint="default" w:ascii="Times New Roman" w:hAnsi="Times New Roman" w:eastAsia="仿宋_GB2312" w:cs="Times New Roman"/>
          <w:color w:val="auto"/>
          <w:highlight w:val="none"/>
          <w:lang w:val="en-US" w:eastAsia="zh-CN"/>
        </w:rPr>
        <w:t>开展土壤污染源头防控行动，强化优先保护类耕地保护，分阶段推进农用地土壤重金属污染溯源和整治全覆盖。全面开展土壤污染重点监管单位周边土壤和地下水环境监测。强化白色污染治理和化肥农药减量，结合野核桃沟、雪岭云杉自然保护区生态保护需求，实施农业面源污染精准治理。到2030年，全县城镇生活垃圾无害化处理率、农村生活垃圾收集率稳定保持。</w:t>
      </w:r>
    </w:p>
    <w:p w14:paraId="56FB7C5C">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b/>
          <w:bCs/>
          <w:color w:val="auto"/>
          <w:highlight w:val="none"/>
          <w:lang w:val="en-US" w:eastAsia="zh-CN"/>
        </w:rPr>
        <w:t>加强</w:t>
      </w:r>
      <w:r>
        <w:rPr>
          <w:rFonts w:hint="default" w:ascii="Times New Roman" w:hAnsi="Times New Roman" w:cs="Times New Roman"/>
          <w:b/>
          <w:bCs/>
          <w:color w:val="auto"/>
          <w:highlight w:val="none"/>
          <w:lang w:val="en-US" w:eastAsia="zh-CN"/>
        </w:rPr>
        <w:t>固体废物综合治理</w:t>
      </w:r>
      <w:r>
        <w:rPr>
          <w:rFonts w:hint="default" w:ascii="Times New Roman" w:hAnsi="Times New Roman" w:eastAsia="仿宋_GB2312" w:cs="Times New Roman"/>
          <w:b/>
          <w:bCs/>
          <w:color w:val="auto"/>
          <w:highlight w:val="none"/>
          <w:lang w:val="en-US" w:eastAsia="zh-CN"/>
        </w:rPr>
        <w:t>。</w:t>
      </w:r>
      <w:r>
        <w:rPr>
          <w:rFonts w:hint="default" w:ascii="Times New Roman" w:hAnsi="Times New Roman" w:eastAsia="仿宋_GB2312" w:cs="Times New Roman"/>
          <w:color w:val="auto"/>
          <w:highlight w:val="none"/>
          <w:lang w:val="en-US" w:eastAsia="zh-CN"/>
        </w:rPr>
        <w:t>加强固体废物和新污染物治理，完善治污制度，推进危险废物全过程监控和信息化追溯。推进县域固废综合处置中心建设项目，建立和完善固体废弃物集中处置的区域协作机制和利益补偿机制，推进分类收集处理和企业回收利用，促进固体废弃物减量化、资源化、无害化。结合生态旅游发展需求，推广“环保+旅游”废弃物管理模式</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highlight w:val="none"/>
          <w:lang w:val="en-US" w:eastAsia="zh-CN"/>
        </w:rPr>
        <w:t>逐步提高固废综合利用率。</w:t>
      </w:r>
    </w:p>
    <w:p w14:paraId="45CA39D1">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81" w:name="_Toc5474"/>
      <w:bookmarkStart w:id="382" w:name="_Toc17279"/>
      <w:bookmarkStart w:id="383" w:name="_Toc13907"/>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二</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378"/>
      <w:bookmarkEnd w:id="379"/>
      <w:r>
        <w:rPr>
          <w:rFonts w:hint="default" w:ascii="Times New Roman" w:hAnsi="Times New Roman" w:eastAsia="楷体_GB2312" w:cs="Times New Roman"/>
          <w:b w:val="0"/>
          <w:color w:val="auto"/>
          <w:sz w:val="32"/>
          <w:szCs w:val="32"/>
          <w:highlight w:val="none"/>
          <w:lang w:val="en-US" w:eastAsia="zh-CN"/>
        </w:rPr>
        <w:t>提升生态系统多样性稳定性持续性</w:t>
      </w:r>
      <w:bookmarkEnd w:id="381"/>
      <w:bookmarkEnd w:id="382"/>
      <w:bookmarkEnd w:id="383"/>
    </w:p>
    <w:p w14:paraId="03F2A05E">
      <w:pPr>
        <w:keepNext w:val="0"/>
        <w:keepLines w:val="0"/>
        <w:pageBreakBefore w:val="0"/>
        <w:widowControl/>
        <w:tabs>
          <w:tab w:val="left" w:pos="312"/>
        </w:tabs>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bookmarkStart w:id="384" w:name="_Toc22229"/>
      <w:bookmarkStart w:id="385" w:name="_Toc14414"/>
      <w:r>
        <w:rPr>
          <w:rFonts w:hint="default" w:ascii="Times New Roman" w:hAnsi="Times New Roman" w:eastAsia="仿宋_GB2312" w:cs="Times New Roman"/>
          <w:color w:val="auto"/>
          <w:sz w:val="32"/>
          <w:szCs w:val="32"/>
          <w:highlight w:val="none"/>
          <w:lang w:val="en-US" w:eastAsia="zh-CN"/>
        </w:rPr>
        <w:t>坚持山水林田湖草沙一体化保护和系统治理，提高生态系统自我修复能力和稳定性，持续改善自然生态系统质量，增强优质生态产品供给能力。</w:t>
      </w:r>
    </w:p>
    <w:p w14:paraId="2BC21D8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提升生态系统质量和稳定性。</w:t>
      </w:r>
      <w:r>
        <w:rPr>
          <w:rFonts w:hint="default" w:ascii="Times New Roman" w:hAnsi="Times New Roman" w:eastAsia="仿宋_GB2312" w:cs="Times New Roman"/>
          <w:color w:val="auto"/>
          <w:sz w:val="32"/>
          <w:szCs w:val="22"/>
          <w:highlight w:val="none"/>
          <w:lang w:val="en-US" w:eastAsia="zh-CN"/>
        </w:rPr>
        <w:t>深化林长制、河（湖）长制，全面推进巩留县幸福河湖建设，扎实开展重点区域山水林田湖草沙一体化生态保护和修复治理，深入推进“三北”工程攻坚战，加强县域内公益林和天然林保护修复，重点开展野果林保护修复、封山育林和农田防护林建设，科学开展国土绿化行动，建立以伊犁河谷次生林和平原人工林为重点的网、片、带相结合的森林体系，巩固现有生态系统碳汇能力，提升生态系统碳汇增量。健全耕地休耕轮作制度，巩固退耕还林成果，加强草原禁牧、草畜平衡监管。加强生产建设项目水土保持监管和推进水土保持工程建设，提升水土流失治理水平。</w:t>
      </w:r>
    </w:p>
    <w:p w14:paraId="738924D7">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加强自然保护地体系建设与生物多样性保护。</w:t>
      </w:r>
      <w:r>
        <w:rPr>
          <w:rFonts w:hint="default" w:ascii="Times New Roman" w:hAnsi="Times New Roman" w:eastAsia="仿宋_GB2312" w:cs="Times New Roman"/>
          <w:color w:val="auto"/>
          <w:sz w:val="32"/>
          <w:szCs w:val="22"/>
          <w:highlight w:val="none"/>
          <w:lang w:val="en-US" w:eastAsia="zh-CN"/>
        </w:rPr>
        <w:t>实施</w:t>
      </w:r>
      <w:r>
        <w:rPr>
          <w:rFonts w:hint="eastAsia" w:ascii="Times New Roman" w:hAnsi="Times New Roman" w:eastAsia="仿宋_GB2312" w:cs="Times New Roman"/>
          <w:color w:val="auto"/>
          <w:sz w:val="32"/>
          <w:szCs w:val="22"/>
          <w:highlight w:val="none"/>
          <w:lang w:val="en-US" w:eastAsia="zh-CN"/>
        </w:rPr>
        <w:t>湿地保护修复</w:t>
      </w:r>
      <w:r>
        <w:rPr>
          <w:rFonts w:hint="default" w:ascii="Times New Roman" w:hAnsi="Times New Roman" w:eastAsia="仿宋_GB2312" w:cs="Times New Roman"/>
          <w:color w:val="auto"/>
          <w:sz w:val="32"/>
          <w:szCs w:val="22"/>
          <w:highlight w:val="none"/>
          <w:lang w:val="en-US" w:eastAsia="zh-CN"/>
        </w:rPr>
        <w:t>工程，重点推进县城一般</w:t>
      </w:r>
      <w:r>
        <w:rPr>
          <w:rFonts w:hint="eastAsia" w:ascii="Times New Roman" w:hAnsi="Times New Roman" w:eastAsia="仿宋_GB2312" w:cs="Times New Roman"/>
          <w:color w:val="auto"/>
          <w:sz w:val="32"/>
          <w:szCs w:val="22"/>
          <w:highlight w:val="none"/>
          <w:lang w:val="en-US" w:eastAsia="zh-CN"/>
        </w:rPr>
        <w:t>湿地保护修复</w:t>
      </w:r>
      <w:r>
        <w:rPr>
          <w:rFonts w:hint="default" w:ascii="Times New Roman" w:hAnsi="Times New Roman" w:eastAsia="仿宋_GB2312" w:cs="Times New Roman"/>
          <w:color w:val="auto"/>
          <w:sz w:val="32"/>
          <w:szCs w:val="22"/>
          <w:highlight w:val="none"/>
          <w:lang w:val="en-US" w:eastAsia="zh-CN"/>
        </w:rPr>
        <w:t>，开展可持续利用示范和能力建设工程。推进以恰西国家森林公园为主体、以自然保护区为基础、以自然公园为补充的自然保护地体系建设，加快县域内自然保护地整合优化，实施生物多样性保护重大工程，加快推进河湖水生态保护工程，实施水土保持清洁小流域治理项目以及小吉尔格朗河幸福河湖建设项目。加强外来物种管控，完善野生动植物保护管理体系，重点保护雪豹、北山羊、黑鹳等珍稀物种栖息地。</w:t>
      </w:r>
    </w:p>
    <w:p w14:paraId="3E215A2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系统提升适应气候变化能力。</w:t>
      </w:r>
      <w:r>
        <w:rPr>
          <w:rFonts w:hint="default" w:ascii="Times New Roman" w:hAnsi="Times New Roman" w:eastAsia="仿宋_GB2312" w:cs="Times New Roman"/>
          <w:color w:val="auto"/>
          <w:sz w:val="32"/>
          <w:szCs w:val="22"/>
          <w:highlight w:val="none"/>
          <w:lang w:val="en-US" w:eastAsia="zh-CN"/>
        </w:rPr>
        <w:t>落实国家适应气候变化战略，完善巩留县适应气候变化政策体系和体制机制，针对草原退化、冰川退缩等脆弱区域开展重点领域适应气候变化行动，提升战略发展空间、脆弱区域适应气候变化能力。提升县域内自然生态系统和经济社会系统对气候变化适应性，普及适应气候变化理念，加快气候适应型社会建设。健全人工影响天气工作体系，重点提升针对林果业、农牧业的智慧化人工影响天气作业能力，保障特色产业稳产增收。</w:t>
      </w:r>
    </w:p>
    <w:p w14:paraId="0B928C4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textAlignment w:val="auto"/>
        <w:rPr>
          <w:rFonts w:hint="default" w:ascii="Times New Roman" w:hAnsi="Times New Roman" w:eastAsia="仿宋_GB2312" w:cs="Times New Roman"/>
          <w:b/>
          <w:bCs/>
          <w:color w:val="auto"/>
          <w:sz w:val="32"/>
          <w:szCs w:val="22"/>
          <w:highlight w:val="none"/>
          <w:lang w:val="en-US" w:eastAsia="zh-CN"/>
        </w:rPr>
      </w:pPr>
      <w:r>
        <w:rPr>
          <w:rFonts w:hint="default" w:ascii="Times New Roman" w:hAnsi="Times New Roman" w:eastAsia="仿宋_GB2312" w:cs="Times New Roman"/>
          <w:b/>
          <w:bCs/>
          <w:color w:val="auto"/>
          <w:sz w:val="32"/>
          <w:szCs w:val="22"/>
          <w:highlight w:val="none"/>
          <w:lang w:val="en-US" w:eastAsia="zh-CN"/>
        </w:rPr>
        <w:t>加强水资源集中统一管理。</w:t>
      </w:r>
      <w:r>
        <w:rPr>
          <w:rFonts w:hint="default" w:ascii="Times New Roman" w:hAnsi="Times New Roman" w:eastAsia="仿宋_GB2312" w:cs="Times New Roman"/>
          <w:color w:val="auto"/>
          <w:sz w:val="32"/>
          <w:szCs w:val="22"/>
          <w:highlight w:val="none"/>
          <w:lang w:val="en-US" w:eastAsia="zh-CN"/>
        </w:rPr>
        <w:t>坚持“节水优先、空间均衡、系统治理、两手发力”的治水思路，构建统一高效的水资源管理体系。推动地方与兵团、流域与区域协同治理，实现水资源管理向精细化、科学化转变。健全以流域为单元的治水管水体系，强化河湖长制和水利行业监管。巩固节水型社会创建成果，健全生产生活用水节水机制，落实水资源刚性约束制度，坚持以水定城、以水定地、以水定人、以水定产，全面推行水资源费改税，健全地下水管控制度，提升水资源节约集约利用水平。</w:t>
      </w:r>
    </w:p>
    <w:p w14:paraId="45909D07">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86" w:name="_Toc15264"/>
      <w:bookmarkStart w:id="387" w:name="_Toc23358"/>
      <w:bookmarkStart w:id="388" w:name="_Toc25212"/>
      <w:bookmarkStart w:id="389" w:name="_Toc26562"/>
      <w:bookmarkStart w:id="390" w:name="_Toc19804"/>
    </w:p>
    <w:p w14:paraId="64CACBA3">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三</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健全生态环境治理保护体制机制</w:t>
      </w:r>
      <w:bookmarkEnd w:id="386"/>
      <w:bookmarkEnd w:id="387"/>
      <w:bookmarkEnd w:id="388"/>
      <w:bookmarkEnd w:id="389"/>
      <w:bookmarkEnd w:id="390"/>
    </w:p>
    <w:p w14:paraId="267D173D">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落实生态保护红线管理制度，建立分类管控机制和监督体系，加强生态保护红线监测能力建设，扎实开展“绿盾”专项行动，守住自然生态安全边界。健全覆盖全域的生态环境分区管控制度，全面实行排污许可制。完善</w:t>
      </w:r>
      <w:r>
        <w:rPr>
          <w:rFonts w:hint="default" w:ascii="Times New Roman" w:hAnsi="Times New Roman" w:cs="Times New Roman"/>
          <w:color w:val="auto"/>
          <w:highlight w:val="none"/>
          <w:lang w:eastAsia="zh-CN"/>
        </w:rPr>
        <w:t>生态保护补偿制度</w:t>
      </w:r>
      <w:r>
        <w:rPr>
          <w:rFonts w:hint="default" w:ascii="Times New Roman" w:hAnsi="Times New Roman" w:eastAsia="仿宋_GB2312" w:cs="Times New Roman"/>
          <w:color w:val="auto"/>
          <w:highlight w:val="none"/>
        </w:rPr>
        <w:t>，严格落实生态环境损害赔偿制度，落实企业环境信用评价制度。推进碳排放权、排污权、用水权、林权市场化交易，推广“绿证”和绿电交易，落实税收优惠政策，探索区域性环保项目金融支持模式，建立生态修复产权激励机制，引导社会资本参与生态修复。深化生态环境体制机制改革，健全兵地生态环境联合执法和联合监测长效机制，加强生态环境保护综合执法队伍建设，强化科技人才支撑，提升生态环保数字化智能化水平。抓好中央生态环境保护督察反馈问题整改，持续深化县级生态环境保护督察，推动形成权责清晰、多方协同、高效运行的生态环境治理体系。</w:t>
      </w:r>
    </w:p>
    <w:p w14:paraId="67046BA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91" w:name="_Toc1016"/>
      <w:bookmarkStart w:id="392" w:name="_Toc8637"/>
      <w:bookmarkStart w:id="393" w:name="_Toc9189"/>
      <w:bookmarkStart w:id="394" w:name="_Toc30850"/>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积极稳妥推进碳达峰</w:t>
      </w:r>
      <w:bookmarkEnd w:id="391"/>
      <w:bookmarkEnd w:id="392"/>
      <w:bookmarkEnd w:id="393"/>
      <w:bookmarkEnd w:id="394"/>
    </w:p>
    <w:p w14:paraId="6383C8D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全面落实碳达峰碳中和战略部署，建立健全碳排放总量和强度双控制度体系，推动能耗“双控”向碳排放“双控”全面转型。坚持政府引导与市场机制相结合，以强度控制为主、总量控制为辅，科学分解落实碳排放控制目标，建立覆盖县、乡两级的碳排放预算管理制度。统筹就地消纳与外送通道建设，完善新能源消纳与调控政策，健全绿色电力交易机制，促进非化石能源安全可靠替代。深入实施节能减排“十大工程”，加快重点行业节能降碳技术改造，推动煤炭、电力、建材、化工等高耗能行业绿色化、低碳化升级</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开展甲烷等非二氧化碳温室气体排放控制行动。支持重点企业参与全国碳排放权交易市场，推动可再生能源绿色电力证书与碳市场有效衔接，探索建立碳足迹核算与</w:t>
      </w:r>
      <w:r>
        <w:rPr>
          <w:rFonts w:hint="eastAsia" w:ascii="Times New Roman" w:hAnsi="Times New Roman" w:cs="Times New Roman"/>
          <w:color w:val="auto"/>
          <w:highlight w:val="none"/>
          <w:lang w:eastAsia="zh-CN"/>
        </w:rPr>
        <w:t>产品碳标识认证制度</w:t>
      </w:r>
      <w:r>
        <w:rPr>
          <w:rFonts w:hint="default" w:ascii="Times New Roman" w:hAnsi="Times New Roman" w:eastAsia="仿宋_GB2312" w:cs="Times New Roman"/>
          <w:color w:val="auto"/>
          <w:highlight w:val="none"/>
        </w:rPr>
        <w:t>，推动重点行业企业开展碳资产管理。</w:t>
      </w:r>
    </w:p>
    <w:p w14:paraId="39EE2871">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395" w:name="_Toc14030"/>
      <w:bookmarkStart w:id="396" w:name="_Toc21053"/>
      <w:bookmarkStart w:id="397" w:name="_Toc380"/>
      <w:bookmarkStart w:id="398" w:name="_Toc24368"/>
      <w:bookmarkStart w:id="399" w:name="_Toc32596"/>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五</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395"/>
      <w:r>
        <w:rPr>
          <w:rFonts w:hint="default" w:ascii="Times New Roman" w:hAnsi="Times New Roman" w:eastAsia="楷体_GB2312" w:cs="Times New Roman"/>
          <w:b w:val="0"/>
          <w:color w:val="auto"/>
          <w:sz w:val="32"/>
          <w:szCs w:val="32"/>
          <w:highlight w:val="none"/>
          <w:lang w:val="en-US" w:eastAsia="zh-CN"/>
        </w:rPr>
        <w:t>加快形成绿色生产生活方式</w:t>
      </w:r>
      <w:bookmarkEnd w:id="396"/>
      <w:bookmarkEnd w:id="397"/>
      <w:bookmarkEnd w:id="398"/>
      <w:bookmarkEnd w:id="399"/>
    </w:p>
    <w:p w14:paraId="23DC11FF">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highlight w:val="none"/>
        </w:rPr>
        <w:t>坚持绿色低碳发展导向，全面推进工业、城乡建设、交通运输等重点领域绿色转型。在工业领域，实施绿色制造工程，推广绿色设计、绿色工艺和绿色供应链管理，推进重点用能企业节能诊断和能效提升，推动工业园区循环化改造。在城乡建设领域，严守城镇开发边界，控制新增建设用地规模，推广绿色建筑和装配式建筑，鼓励既有建筑节能改造，发展近零能耗建筑。推动公共机构节能降碳示范项目</w:t>
      </w:r>
      <w:r>
        <w:rPr>
          <w:rFonts w:hint="default" w:ascii="Times New Roman" w:hAnsi="Times New Roman" w:cs="Times New Roman"/>
          <w:color w:val="auto"/>
          <w:highlight w:val="none"/>
          <w:lang w:val="en-US" w:eastAsia="zh-CN"/>
        </w:rPr>
        <w:t>建设</w:t>
      </w:r>
      <w:r>
        <w:rPr>
          <w:rFonts w:hint="default" w:ascii="Times New Roman" w:hAnsi="Times New Roman" w:eastAsia="仿宋_GB2312" w:cs="Times New Roman"/>
          <w:color w:val="auto"/>
          <w:highlight w:val="none"/>
        </w:rPr>
        <w:t>。在交通运输领域，优化运输结构，大力发展多式联运和绿色集疏运体系，加快新能源公交车、出租车推广应用，鼓励重型货运车辆使用氢燃料电池和纯电动技术，提升城市绿色出行比例。全面实施资源节约战略，推进能源、水、土地、矿产等资源总量管理、科学配置和循环利用，提高资源综合利用效率，推动形成节约资源和保护环境的空间格局、产业结构和生产方式。</w:t>
      </w:r>
      <w:r>
        <w:rPr>
          <w:rFonts w:hint="default" w:ascii="Times New Roman" w:hAnsi="Times New Roman" w:cs="Times New Roman"/>
          <w:color w:val="auto"/>
          <w:highlight w:val="none"/>
          <w:lang w:eastAsia="zh-CN"/>
        </w:rPr>
        <w:t>推进垃圾分类和资源化利用，积极发展循环经济，扩大绿色消费，倡导绿色低碳生活方式。</w:t>
      </w:r>
    </w:p>
    <w:bookmarkEnd w:id="380"/>
    <w:bookmarkEnd w:id="384"/>
    <w:bookmarkEnd w:id="385"/>
    <w:p w14:paraId="715C90CF">
      <w:pPr>
        <w:ind w:left="0" w:leftChars="0" w:firstLine="0" w:firstLineChars="0"/>
        <w:rPr>
          <w:rFonts w:hint="default" w:ascii="Times New Roman" w:hAnsi="Times New Roman" w:eastAsia="仿宋_GB2312" w:cs="Times New Roman"/>
          <w:b/>
          <w:bCs/>
          <w:color w:val="auto"/>
          <w:sz w:val="32"/>
          <w:szCs w:val="32"/>
          <w:highlight w:val="none"/>
        </w:rPr>
      </w:pPr>
      <w:bookmarkStart w:id="400" w:name="_Toc2429"/>
      <w:r>
        <w:rPr>
          <w:rFonts w:hint="default" w:ascii="Times New Roman" w:hAnsi="Times New Roman" w:eastAsia="黑体" w:cs="Times New Roman"/>
          <w:b/>
          <w:bCs/>
          <w:color w:val="auto"/>
          <w:sz w:val="32"/>
          <w:szCs w:val="32"/>
          <w:highlight w:val="none"/>
        </w:rPr>
        <w:br w:type="page"/>
      </w:r>
      <w:bookmarkEnd w:id="48"/>
      <w:bookmarkEnd w:id="400"/>
    </w:p>
    <w:bookmarkEnd w:id="49"/>
    <w:p w14:paraId="1282ED27">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401" w:name="_Toc25123"/>
      <w:bookmarkStart w:id="402" w:name="_Toc23518"/>
      <w:bookmarkStart w:id="403" w:name="_Toc30055"/>
      <w:bookmarkStart w:id="404" w:name="_Toc14694"/>
      <w:bookmarkStart w:id="405" w:name="_Toc14267"/>
      <w:bookmarkStart w:id="406" w:name="_Toc30617"/>
      <w:bookmarkStart w:id="407" w:name="_Toc18914"/>
      <w:r>
        <w:rPr>
          <w:rFonts w:hint="default" w:ascii="Times New Roman" w:hAnsi="Times New Roman" w:eastAsia="黑体" w:cs="Times New Roman"/>
          <w:bCs/>
          <w:color w:val="auto"/>
          <w:kern w:val="44"/>
          <w:sz w:val="36"/>
          <w:szCs w:val="36"/>
          <w:highlight w:val="none"/>
          <w:lang w:val="en-US" w:eastAsia="zh-CN" w:bidi="ar"/>
        </w:rPr>
        <w:t>第十</w:t>
      </w:r>
      <w:r>
        <w:rPr>
          <w:rFonts w:hint="eastAsia" w:ascii="Times New Roman" w:hAnsi="Times New Roman" w:eastAsia="黑体" w:cs="Times New Roman"/>
          <w:bCs/>
          <w:color w:val="auto"/>
          <w:kern w:val="44"/>
          <w:sz w:val="36"/>
          <w:szCs w:val="36"/>
          <w:highlight w:val="none"/>
          <w:lang w:val="en-US" w:eastAsia="zh-CN" w:bidi="ar"/>
        </w:rPr>
        <w:t>四</w:t>
      </w:r>
      <w:r>
        <w:rPr>
          <w:rFonts w:hint="default" w:ascii="Times New Roman" w:hAnsi="Times New Roman" w:eastAsia="黑体" w:cs="Times New Roman"/>
          <w:bCs/>
          <w:color w:val="auto"/>
          <w:kern w:val="44"/>
          <w:sz w:val="36"/>
          <w:szCs w:val="36"/>
          <w:highlight w:val="none"/>
          <w:lang w:val="en-US" w:eastAsia="zh-CN" w:bidi="ar"/>
        </w:rPr>
        <w:t>章  牢固树立</w:t>
      </w:r>
      <w:r>
        <w:rPr>
          <w:rFonts w:hint="eastAsia" w:ascii="Times New Roman" w:hAnsi="Times New Roman" w:eastAsia="黑体" w:cs="Times New Roman"/>
          <w:bCs/>
          <w:color w:val="auto"/>
          <w:kern w:val="44"/>
          <w:sz w:val="36"/>
          <w:szCs w:val="36"/>
          <w:highlight w:val="none"/>
          <w:lang w:val="en-US" w:eastAsia="zh-CN" w:bidi="ar"/>
        </w:rPr>
        <w:t>“</w:t>
      </w:r>
      <w:r>
        <w:rPr>
          <w:rFonts w:hint="default" w:ascii="Times New Roman" w:hAnsi="Times New Roman" w:eastAsia="黑体" w:cs="Times New Roman"/>
          <w:bCs/>
          <w:color w:val="auto"/>
          <w:kern w:val="44"/>
          <w:sz w:val="36"/>
          <w:szCs w:val="36"/>
          <w:highlight w:val="none"/>
          <w:lang w:val="en-US" w:eastAsia="zh-CN" w:bidi="ar"/>
        </w:rPr>
        <w:t>兵地一盘棋</w:t>
      </w:r>
      <w:r>
        <w:rPr>
          <w:rFonts w:hint="eastAsia" w:ascii="Times New Roman" w:hAnsi="Times New Roman" w:eastAsia="黑体" w:cs="Times New Roman"/>
          <w:bCs/>
          <w:color w:val="auto"/>
          <w:kern w:val="44"/>
          <w:sz w:val="36"/>
          <w:szCs w:val="36"/>
          <w:highlight w:val="none"/>
          <w:lang w:val="en-US" w:eastAsia="zh-CN" w:bidi="ar"/>
        </w:rPr>
        <w:t>”</w:t>
      </w:r>
      <w:r>
        <w:rPr>
          <w:rFonts w:hint="default" w:ascii="Times New Roman" w:hAnsi="Times New Roman" w:eastAsia="黑体" w:cs="Times New Roman"/>
          <w:bCs/>
          <w:color w:val="auto"/>
          <w:kern w:val="44"/>
          <w:sz w:val="36"/>
          <w:szCs w:val="36"/>
          <w:highlight w:val="none"/>
          <w:lang w:val="en-US" w:eastAsia="zh-CN" w:bidi="ar"/>
        </w:rPr>
        <w:t>思想，支持兵团更好履行维稳戍边职责使命</w:t>
      </w:r>
      <w:bookmarkEnd w:id="401"/>
      <w:bookmarkEnd w:id="402"/>
      <w:bookmarkEnd w:id="403"/>
      <w:bookmarkEnd w:id="404"/>
      <w:bookmarkEnd w:id="405"/>
    </w:p>
    <w:p w14:paraId="75CD1BD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zh-TW" w:eastAsia="zh-CN" w:bidi="ar-SA"/>
        </w:rPr>
        <w:t>坚持兵地一盘棋、兵地是一家，</w:t>
      </w:r>
      <w:r>
        <w:rPr>
          <w:rFonts w:hint="default" w:ascii="Times New Roman" w:hAnsi="Times New Roman" w:eastAsia="仿宋_GB2312" w:cs="Times New Roman"/>
          <w:color w:val="auto"/>
          <w:kern w:val="2"/>
          <w:sz w:val="32"/>
          <w:szCs w:val="32"/>
          <w:highlight w:val="none"/>
          <w:lang w:val="en-US" w:eastAsia="zh-CN" w:bidi="ar-SA"/>
        </w:rPr>
        <w:t>积极构建经济共融、设施共建、资源共享、社会协同的发展新格局。</w:t>
      </w:r>
    </w:p>
    <w:p w14:paraId="14B5AB65">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408" w:name="_Toc3978"/>
      <w:bookmarkStart w:id="409" w:name="_Toc28535"/>
      <w:bookmarkStart w:id="410" w:name="_Toc14161"/>
      <w:bookmarkStart w:id="411" w:name="_Toc8186"/>
      <w:bookmarkStart w:id="412" w:name="_Toc28638"/>
      <w:r>
        <w:rPr>
          <w:rFonts w:hint="default" w:ascii="Times New Roman" w:hAnsi="Times New Roman" w:eastAsia="楷体_GB2312" w:cs="Times New Roman"/>
          <w:b w:val="0"/>
          <w:color w:val="auto"/>
          <w:sz w:val="32"/>
          <w:szCs w:val="32"/>
          <w:highlight w:val="none"/>
          <w:lang w:val="en-US" w:eastAsia="zh-CN"/>
        </w:rPr>
        <w:t xml:space="preserve">第一节 </w:t>
      </w:r>
      <w:bookmarkEnd w:id="408"/>
      <w:bookmarkEnd w:id="409"/>
      <w:bookmarkEnd w:id="410"/>
      <w:bookmarkEnd w:id="411"/>
      <w:bookmarkEnd w:id="412"/>
      <w:bookmarkStart w:id="413" w:name="_Toc10410"/>
      <w:bookmarkStart w:id="414" w:name="_Toc20462"/>
      <w:bookmarkStart w:id="415" w:name="_Toc10043"/>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推动兵地</w:t>
      </w:r>
      <w:r>
        <w:rPr>
          <w:rFonts w:hint="default" w:ascii="Times New Roman" w:hAnsi="Times New Roman" w:eastAsia="楷体_GB2312" w:cs="Times New Roman"/>
          <w:b w:val="0"/>
          <w:color w:val="auto"/>
          <w:sz w:val="32"/>
          <w:szCs w:val="32"/>
          <w:highlight w:val="none"/>
          <w:lang w:val="en-US" w:eastAsia="zh-CN"/>
        </w:rPr>
        <w:t>产业</w:t>
      </w:r>
      <w:r>
        <w:rPr>
          <w:rFonts w:hint="default" w:ascii="Times New Roman" w:hAnsi="Times New Roman" w:eastAsia="楷体_GB2312" w:cs="Times New Roman"/>
          <w:b w:val="0"/>
          <w:color w:val="auto"/>
          <w:sz w:val="32"/>
          <w:szCs w:val="32"/>
          <w:highlight w:val="none"/>
          <w:lang w:eastAsia="zh-CN"/>
        </w:rPr>
        <w:t>深度融合发展</w:t>
      </w:r>
      <w:bookmarkEnd w:id="413"/>
      <w:bookmarkEnd w:id="414"/>
      <w:bookmarkEnd w:id="415"/>
    </w:p>
    <w:p w14:paraId="37B67ED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支持兵团深度融入巩留县经济社会发展大局，鼓励兵地在现代农业、新能源、文化旅游、现代物流等重点领域开展协同合作，共同打造具有区域竞争力的产业集群。加快兵地共建产业园区建设，重点推进巩留工业园区与兵团产业园区联动发展，推动土地、能源、水资源等要素配置共享，实现产业链上下游协同布局。加强兵地农业资源整合，共建优质农产品生产基地和现代育制种基地，推动农产品加工、冷链物流、品牌营销一体化发展，共同打响“世界遗产·康养巩留”文旅品牌，联合打造精品旅游线路和特色景区。</w:t>
      </w:r>
    </w:p>
    <w:p w14:paraId="0D57FA8F">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416" w:name="_Toc13187"/>
      <w:bookmarkStart w:id="417" w:name="_Toc31486"/>
      <w:bookmarkStart w:id="418" w:name="_Toc25066"/>
      <w:r>
        <w:rPr>
          <w:rFonts w:hint="default" w:ascii="Times New Roman" w:hAnsi="Times New Roman" w:eastAsia="楷体_GB2312" w:cs="Times New Roman"/>
          <w:b w:val="0"/>
          <w:color w:val="auto"/>
          <w:sz w:val="32"/>
          <w:szCs w:val="32"/>
          <w:highlight w:val="none"/>
          <w:lang w:eastAsia="zh-CN"/>
        </w:rPr>
        <w:t>第</w:t>
      </w:r>
      <w:r>
        <w:rPr>
          <w:rFonts w:hint="eastAsia" w:cs="Times New Roman"/>
          <w:b w:val="0"/>
          <w:color w:val="auto"/>
          <w:sz w:val="32"/>
          <w:szCs w:val="32"/>
          <w:highlight w:val="none"/>
          <w:lang w:val="en-US" w:eastAsia="zh-CN"/>
        </w:rPr>
        <w:t>二</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推动兵地互通共融发展</w:t>
      </w:r>
      <w:bookmarkEnd w:id="416"/>
      <w:bookmarkEnd w:id="417"/>
      <w:bookmarkEnd w:id="418"/>
    </w:p>
    <w:p w14:paraId="017752BF">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推进兵地基础设施互联互通，统筹规划建设交通、水利、电力、通信等重大基础设施项目。推动基本公共服务共建共享，提升教育、医疗、科技、社会保障等资源在兵地间的均衡配置水平。</w:t>
      </w:r>
      <w:r>
        <w:rPr>
          <w:rFonts w:hint="default" w:ascii="Times New Roman" w:hAnsi="Times New Roman" w:eastAsia="仿宋_GB2312" w:cs="Times New Roman"/>
          <w:color w:val="auto"/>
          <w:kern w:val="21"/>
          <w:sz w:val="32"/>
          <w:szCs w:val="32"/>
          <w:highlight w:val="none"/>
          <w:u w:val="none" w:color="auto"/>
          <w:lang w:val="en-US" w:eastAsia="zh-CN"/>
        </w:rPr>
        <w:t>推动兵地科技教育医疗卫生资源共享，加强兵地科技特派员队伍交流，大力推进兵地教师挂职互派，加大兵地医联体建设。推动兵地干部交叉兼职、交流任职、学习挂职常态化，创新兵地结对共建、民族团结载体。</w:t>
      </w:r>
      <w:r>
        <w:rPr>
          <w:rFonts w:hint="default" w:ascii="Times New Roman" w:hAnsi="Times New Roman" w:eastAsia="仿宋_GB2312" w:cs="Times New Roman"/>
          <w:color w:val="auto"/>
          <w:highlight w:val="none"/>
        </w:rPr>
        <w:t>支持兵团学校、医院与地方机构建立结对帮扶机制，推动优质教育资源和医疗资源双向流动。加强兵地环境共治共保，联合开展大气、水、土壤污染防治和生态修复工程，协同推进山水林田湖草沙系统治理，共同建设美丽宜居家园。</w:t>
      </w:r>
    </w:p>
    <w:p w14:paraId="0763BE2F">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br w:type="page"/>
      </w:r>
    </w:p>
    <w:p w14:paraId="722A8A2D">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bookmarkStart w:id="419" w:name="_Toc31810"/>
      <w:bookmarkStart w:id="420" w:name="_Toc26077"/>
      <w:bookmarkStart w:id="421" w:name="_Toc26376"/>
      <w:r>
        <w:rPr>
          <w:rFonts w:hint="default" w:ascii="Times New Roman" w:hAnsi="Times New Roman" w:eastAsia="黑体" w:cs="Times New Roman"/>
          <w:bCs/>
          <w:color w:val="auto"/>
          <w:kern w:val="44"/>
          <w:sz w:val="36"/>
          <w:szCs w:val="36"/>
          <w:highlight w:val="none"/>
          <w:lang w:val="en-US" w:eastAsia="zh-CN" w:bidi="ar"/>
        </w:rPr>
        <w:t>第十</w:t>
      </w:r>
      <w:r>
        <w:rPr>
          <w:rFonts w:hint="eastAsia" w:ascii="Times New Roman" w:hAnsi="Times New Roman" w:eastAsia="黑体" w:cs="Times New Roman"/>
          <w:bCs/>
          <w:color w:val="auto"/>
          <w:kern w:val="44"/>
          <w:sz w:val="36"/>
          <w:szCs w:val="36"/>
          <w:highlight w:val="none"/>
          <w:lang w:val="en-US" w:eastAsia="zh-CN" w:bidi="ar"/>
        </w:rPr>
        <w:t>五</w:t>
      </w:r>
      <w:r>
        <w:rPr>
          <w:rFonts w:hint="default" w:ascii="Times New Roman" w:hAnsi="Times New Roman" w:eastAsia="黑体" w:cs="Times New Roman"/>
          <w:bCs/>
          <w:color w:val="auto"/>
          <w:kern w:val="44"/>
          <w:sz w:val="36"/>
          <w:szCs w:val="36"/>
          <w:highlight w:val="none"/>
          <w:lang w:val="en-US" w:eastAsia="zh-CN" w:bidi="ar"/>
        </w:rPr>
        <w:t>章  高质量开展新时代对口援疆，提升对口支援综合效益</w:t>
      </w:r>
      <w:bookmarkEnd w:id="406"/>
      <w:bookmarkEnd w:id="407"/>
      <w:bookmarkEnd w:id="419"/>
      <w:bookmarkEnd w:id="420"/>
      <w:bookmarkEnd w:id="421"/>
    </w:p>
    <w:p w14:paraId="682D1F91">
      <w:pPr>
        <w:pStyle w:val="14"/>
        <w:keepNext w:val="0"/>
        <w:keepLines w:val="0"/>
        <w:pageBreakBefore w:val="0"/>
        <w:widowControl/>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sz w:val="32"/>
          <w:szCs w:val="22"/>
          <w:highlight w:val="none"/>
        </w:rPr>
      </w:pPr>
      <w:r>
        <w:rPr>
          <w:rFonts w:hint="default" w:ascii="Times New Roman" w:hAnsi="Times New Roman" w:eastAsia="仿宋_GB2312" w:cs="Times New Roman"/>
          <w:color w:val="auto"/>
          <w:sz w:val="32"/>
          <w:szCs w:val="22"/>
          <w:highlight w:val="none"/>
          <w:lang w:val="en-US" w:eastAsia="zh-CN"/>
        </w:rPr>
        <w:t>坚持全面援疆、精准援疆、长期援疆</w:t>
      </w:r>
      <w:r>
        <w:rPr>
          <w:rFonts w:hint="default" w:ascii="Times New Roman" w:hAnsi="Times New Roman" w:eastAsia="仿宋_GB2312" w:cs="Times New Roman"/>
          <w:color w:val="auto"/>
          <w:sz w:val="32"/>
          <w:szCs w:val="22"/>
          <w:highlight w:val="none"/>
        </w:rPr>
        <w:t>，深化产业、</w:t>
      </w:r>
      <w:r>
        <w:rPr>
          <w:rFonts w:hint="default" w:ascii="Times New Roman" w:hAnsi="Times New Roman" w:eastAsia="仿宋_GB2312" w:cs="Times New Roman"/>
          <w:color w:val="auto"/>
          <w:sz w:val="32"/>
          <w:szCs w:val="22"/>
          <w:highlight w:val="none"/>
          <w:lang w:val="en-US" w:eastAsia="zh-CN"/>
        </w:rPr>
        <w:t>教育、医疗</w:t>
      </w:r>
      <w:r>
        <w:rPr>
          <w:rFonts w:hint="default" w:ascii="Times New Roman" w:hAnsi="Times New Roman" w:eastAsia="仿宋_GB2312" w:cs="Times New Roman"/>
          <w:color w:val="auto"/>
          <w:sz w:val="32"/>
          <w:szCs w:val="22"/>
          <w:highlight w:val="none"/>
        </w:rPr>
        <w:t>、文化等全方位合作，创新援疆模式，提升综合效益，推动援受双方优势互补、协同发展，</w:t>
      </w:r>
      <w:r>
        <w:rPr>
          <w:rFonts w:hint="default" w:ascii="Times New Roman" w:hAnsi="Times New Roman" w:eastAsia="仿宋_GB2312" w:cs="Times New Roman"/>
          <w:color w:val="auto"/>
          <w:sz w:val="32"/>
          <w:szCs w:val="22"/>
          <w:highlight w:val="none"/>
          <w:lang w:val="en-US" w:eastAsia="zh-CN"/>
        </w:rPr>
        <w:t>进一步提升对口支援综合效益</w:t>
      </w:r>
      <w:r>
        <w:rPr>
          <w:rFonts w:hint="default" w:ascii="Times New Roman" w:hAnsi="Times New Roman" w:eastAsia="仿宋_GB2312" w:cs="Times New Roman"/>
          <w:color w:val="auto"/>
          <w:sz w:val="32"/>
          <w:szCs w:val="22"/>
          <w:highlight w:val="none"/>
        </w:rPr>
        <w:t>。</w:t>
      </w:r>
    </w:p>
    <w:p w14:paraId="6BD489CA">
      <w:pPr>
        <w:pStyle w:val="4"/>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bookmarkStart w:id="422" w:name="_Toc30728"/>
      <w:bookmarkStart w:id="423" w:name="_Toc31666"/>
      <w:bookmarkStart w:id="424" w:name="_Toc3810"/>
      <w:bookmarkStart w:id="425" w:name="_Toc20736"/>
      <w:bookmarkStart w:id="426" w:name="_Toc10782"/>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一</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422"/>
      <w:bookmarkEnd w:id="423"/>
      <w:r>
        <w:rPr>
          <w:rFonts w:hint="default" w:ascii="Times New Roman" w:hAnsi="Times New Roman" w:eastAsia="楷体_GB2312" w:cs="Times New Roman"/>
          <w:b w:val="0"/>
          <w:color w:val="auto"/>
          <w:sz w:val="32"/>
          <w:szCs w:val="32"/>
          <w:highlight w:val="none"/>
          <w:lang w:eastAsia="zh-CN"/>
        </w:rPr>
        <w:t>深化民族</w:t>
      </w:r>
      <w:bookmarkEnd w:id="424"/>
      <w:bookmarkEnd w:id="425"/>
      <w:bookmarkEnd w:id="426"/>
      <w:r>
        <w:rPr>
          <w:rFonts w:hint="default" w:ascii="Times New Roman" w:hAnsi="Times New Roman" w:eastAsia="楷体_GB2312" w:cs="Times New Roman"/>
          <w:b w:val="0"/>
          <w:color w:val="auto"/>
          <w:sz w:val="32"/>
          <w:szCs w:val="32"/>
          <w:highlight w:val="none"/>
          <w:lang w:eastAsia="zh-CN"/>
        </w:rPr>
        <w:t>交往交流交融</w:t>
      </w:r>
    </w:p>
    <w:p w14:paraId="3AAD2586">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highlight w:val="none"/>
          <w:lang w:val="en-US" w:eastAsia="zh-CN"/>
        </w:rPr>
      </w:pPr>
      <w:bookmarkStart w:id="477" w:name="_GoBack"/>
      <w:bookmarkEnd w:id="477"/>
      <w:r>
        <w:rPr>
          <w:rFonts w:hint="default" w:ascii="Times New Roman" w:hAnsi="Times New Roman" w:cs="Times New Roman"/>
          <w:color w:val="auto"/>
          <w:highlight w:val="none"/>
          <w:lang w:val="en-US" w:eastAsia="zh-CN"/>
        </w:rPr>
        <w:t>推动基层群体广泛交流，</w:t>
      </w:r>
      <w:r>
        <w:rPr>
          <w:rFonts w:hint="default" w:ascii="Times New Roman" w:hAnsi="Times New Roman" w:eastAsia="仿宋_GB2312" w:cs="Times New Roman"/>
          <w:color w:val="auto"/>
          <w:highlight w:val="none"/>
        </w:rPr>
        <w:t>组织巩留县</w:t>
      </w:r>
      <w:r>
        <w:rPr>
          <w:rFonts w:hint="default" w:ascii="Times New Roman" w:hAnsi="Times New Roman" w:cs="Times New Roman"/>
          <w:color w:val="auto"/>
          <w:highlight w:val="none"/>
          <w:lang w:val="en-US" w:eastAsia="zh-CN"/>
        </w:rPr>
        <w:t>最美家庭、</w:t>
      </w:r>
      <w:r>
        <w:rPr>
          <w:rFonts w:hint="default" w:ascii="Times New Roman" w:hAnsi="Times New Roman" w:eastAsia="仿宋_GB2312" w:cs="Times New Roman"/>
          <w:color w:val="auto"/>
          <w:highlight w:val="none"/>
        </w:rPr>
        <w:t>村干部、致富带头人、</w:t>
      </w:r>
      <w:r>
        <w:rPr>
          <w:rFonts w:hint="default" w:ascii="Times New Roman" w:hAnsi="Times New Roman" w:cs="Times New Roman"/>
          <w:color w:val="auto"/>
          <w:highlight w:val="none"/>
          <w:lang w:eastAsia="zh-CN"/>
        </w:rPr>
        <w:t>民族团结进步模范</w:t>
      </w:r>
      <w:r>
        <w:rPr>
          <w:rFonts w:hint="default" w:ascii="Times New Roman" w:hAnsi="Times New Roman" w:cs="Times New Roman"/>
          <w:color w:val="auto"/>
          <w:highlight w:val="none"/>
          <w:lang w:val="en-US" w:eastAsia="zh-CN"/>
        </w:rPr>
        <w:t>、爱国宗教人士、基层文化工作者</w:t>
      </w:r>
      <w:r>
        <w:rPr>
          <w:rFonts w:hint="default" w:ascii="Times New Roman" w:hAnsi="Times New Roman" w:eastAsia="仿宋_GB2312" w:cs="Times New Roman"/>
          <w:color w:val="auto"/>
          <w:highlight w:val="none"/>
        </w:rPr>
        <w:t>等赴</w:t>
      </w:r>
      <w:r>
        <w:rPr>
          <w:rFonts w:hint="default" w:ascii="Times New Roman" w:hAnsi="Times New Roman" w:cs="Times New Roman"/>
          <w:color w:val="auto"/>
          <w:highlight w:val="none"/>
          <w:lang w:val="en-US" w:eastAsia="zh-CN"/>
        </w:rPr>
        <w:t>疆外</w:t>
      </w:r>
      <w:r>
        <w:rPr>
          <w:rFonts w:hint="default" w:ascii="Times New Roman" w:hAnsi="Times New Roman" w:eastAsia="仿宋_GB2312" w:cs="Times New Roman"/>
          <w:color w:val="auto"/>
          <w:highlight w:val="none"/>
        </w:rPr>
        <w:t>开展参观学习、文化体验</w:t>
      </w:r>
      <w:r>
        <w:rPr>
          <w:rFonts w:hint="default" w:ascii="Times New Roman" w:hAnsi="Times New Roman" w:cs="Times New Roman"/>
          <w:color w:val="auto"/>
          <w:highlight w:val="none"/>
          <w:lang w:val="en-US" w:eastAsia="zh-CN"/>
        </w:rPr>
        <w:t>等活动</w:t>
      </w:r>
      <w:r>
        <w:rPr>
          <w:rFonts w:hint="default" w:ascii="Times New Roman" w:hAnsi="Times New Roman" w:eastAsia="仿宋_GB2312" w:cs="Times New Roman"/>
          <w:color w:val="auto"/>
          <w:highlight w:val="none"/>
        </w:rPr>
        <w:t>。</w:t>
      </w:r>
      <w:r>
        <w:rPr>
          <w:rFonts w:hint="default" w:ascii="Times New Roman" w:hAnsi="Times New Roman" w:cs="Times New Roman"/>
          <w:color w:val="auto"/>
          <w:highlight w:val="none"/>
          <w:lang w:val="en-US" w:eastAsia="zh-CN"/>
        </w:rPr>
        <w:t>优化</w:t>
      </w:r>
      <w:r>
        <w:rPr>
          <w:rFonts w:hint="default" w:ascii="Times New Roman" w:hAnsi="Times New Roman" w:eastAsia="仿宋_GB2312" w:cs="Times New Roman"/>
          <w:color w:val="auto"/>
          <w:highlight w:val="none"/>
        </w:rPr>
        <w:t>结对共建机制，推进</w:t>
      </w:r>
      <w:r>
        <w:rPr>
          <w:rFonts w:hint="default" w:ascii="Times New Roman" w:hAnsi="Times New Roman" w:cs="Times New Roman"/>
          <w:color w:val="auto"/>
          <w:highlight w:val="none"/>
          <w:lang w:val="en-US" w:eastAsia="zh-CN"/>
        </w:rPr>
        <w:t>受援两地乡镇、村（社区）</w:t>
      </w:r>
      <w:r>
        <w:rPr>
          <w:rFonts w:hint="default" w:ascii="Times New Roman" w:hAnsi="Times New Roman" w:eastAsia="仿宋_GB2312" w:cs="Times New Roman"/>
          <w:color w:val="auto"/>
          <w:highlight w:val="none"/>
        </w:rPr>
        <w:t>教育、医疗、农业等领域深度合作。深化“万企兴万村”行动，引导援疆企业与巩留县乡村开展产业帮扶、就业对接和公益援助。推动“请进来”行动，邀请援疆省市群众、企业家、文化团体来巩留旅游观光、投资考察、结对帮扶。</w:t>
      </w:r>
      <w:r>
        <w:rPr>
          <w:rFonts w:hint="default" w:ascii="Times New Roman" w:hAnsi="Times New Roman" w:cs="Times New Roman"/>
          <w:color w:val="auto"/>
          <w:highlight w:val="none"/>
          <w:lang w:val="en-US" w:eastAsia="zh-CN"/>
        </w:rPr>
        <w:t>推动青少年深入交流，</w:t>
      </w:r>
      <w:r>
        <w:rPr>
          <w:rFonts w:hint="default" w:ascii="Times New Roman" w:hAnsi="Times New Roman" w:eastAsia="仿宋_GB2312" w:cs="Times New Roman"/>
          <w:color w:val="auto"/>
          <w:highlight w:val="none"/>
        </w:rPr>
        <w:t>深化“手拉手”“心连心”活动，持续开展中小学生“书信往来”“夏（冬）令营”“祖国行”等爱国主义研学活动，</w:t>
      </w:r>
      <w:r>
        <w:rPr>
          <w:rFonts w:hint="default" w:ascii="Times New Roman" w:hAnsi="Times New Roman" w:cs="Times New Roman"/>
          <w:color w:val="auto"/>
          <w:highlight w:val="none"/>
          <w:lang w:val="en-US" w:eastAsia="zh-CN"/>
        </w:rPr>
        <w:t>进一步拓展“五个认同”宣传教育途径</w:t>
      </w:r>
      <w:r>
        <w:rPr>
          <w:rFonts w:hint="default" w:ascii="Times New Roman" w:hAnsi="Times New Roman" w:eastAsia="仿宋_GB2312" w:cs="Times New Roman"/>
          <w:color w:val="auto"/>
          <w:highlight w:val="none"/>
        </w:rPr>
        <w:t>。加强劳务协作，支持巩留县农村劳动力到援疆省市稳定就业，鼓励援疆省市人员来巩留创业兴业、定居生活，促进人口双向流动和互嵌式发展。</w:t>
      </w:r>
    </w:p>
    <w:p w14:paraId="11B9AB50">
      <w:pPr>
        <w:pStyle w:val="4"/>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bookmarkStart w:id="427" w:name="_Toc13841"/>
      <w:bookmarkStart w:id="428" w:name="_Toc19104"/>
      <w:bookmarkStart w:id="429" w:name="_Toc26973"/>
      <w:bookmarkStart w:id="430" w:name="_Toc7835"/>
      <w:bookmarkStart w:id="431" w:name="_Toc7848"/>
    </w:p>
    <w:p w14:paraId="4CD50814">
      <w:pPr>
        <w:pStyle w:val="4"/>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cs="Times New Roman"/>
          <w:b w:val="0"/>
          <w:color w:val="auto"/>
          <w:sz w:val="32"/>
          <w:szCs w:val="32"/>
          <w:highlight w:val="none"/>
          <w:lang w:val="en-US" w:eastAsia="zh-CN"/>
        </w:rPr>
        <w:t>二</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w:t>
      </w:r>
      <w:bookmarkEnd w:id="427"/>
      <w:bookmarkEnd w:id="428"/>
      <w:r>
        <w:rPr>
          <w:rFonts w:hint="default" w:ascii="Times New Roman" w:hAnsi="Times New Roman" w:eastAsia="楷体_GB2312" w:cs="Times New Roman"/>
          <w:b w:val="0"/>
          <w:color w:val="auto"/>
          <w:sz w:val="32"/>
          <w:szCs w:val="32"/>
          <w:highlight w:val="none"/>
          <w:lang w:eastAsia="zh-CN"/>
        </w:rPr>
        <w:t>推进产业支援促进就业</w:t>
      </w:r>
      <w:bookmarkEnd w:id="429"/>
      <w:bookmarkEnd w:id="430"/>
      <w:bookmarkEnd w:id="431"/>
    </w:p>
    <w:p w14:paraId="61843E64">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rPr>
      </w:pPr>
      <w:r>
        <w:rPr>
          <w:rFonts w:hint="default" w:ascii="Times New Roman" w:hAnsi="Times New Roman" w:eastAsia="仿宋_GB2312" w:cs="Times New Roman"/>
          <w:color w:val="auto"/>
          <w:highlight w:val="none"/>
        </w:rPr>
        <w:t>坚持产业援疆导向，聚焦增加就业、促进人口集聚和提升产业能级，依托张家港等对口援疆省市的产业优势和市场资源，推动巩留县承接东部地区高质量产业转移，重点支持农副产品精深加工、新能源、文化旅游等特色优势产业发展，培育壮大具有区域竞争力的产业集群。深化市场援疆行动，加快完善冷链物流、仓储配送等基础设施，依托援疆省市市场渠道，推动巩留县乳制品、冷水鱼、绿色果蔬、中药材等优质农产品进入</w:t>
      </w:r>
      <w:r>
        <w:rPr>
          <w:rFonts w:hint="default" w:ascii="Times New Roman" w:hAnsi="Times New Roman" w:cs="Times New Roman"/>
          <w:color w:val="auto"/>
          <w:highlight w:val="none"/>
          <w:lang w:val="en-US" w:eastAsia="zh-CN"/>
        </w:rPr>
        <w:t>国内</w:t>
      </w:r>
      <w:r>
        <w:rPr>
          <w:rFonts w:hint="default" w:ascii="Times New Roman" w:hAnsi="Times New Roman" w:eastAsia="仿宋_GB2312" w:cs="Times New Roman"/>
          <w:color w:val="auto"/>
          <w:highlight w:val="none"/>
        </w:rPr>
        <w:t>重点消费市场，拓展国内市场</w:t>
      </w:r>
      <w:r>
        <w:rPr>
          <w:rFonts w:hint="default" w:ascii="Times New Roman" w:hAnsi="Times New Roman" w:cs="Times New Roman"/>
          <w:color w:val="auto"/>
          <w:highlight w:val="none"/>
          <w:lang w:eastAsia="zh-CN"/>
        </w:rPr>
        <w:t>空</w:t>
      </w:r>
      <w:r>
        <w:rPr>
          <w:rFonts w:hint="default" w:ascii="Times New Roman" w:hAnsi="Times New Roman" w:eastAsia="仿宋_GB2312" w:cs="Times New Roman"/>
          <w:color w:val="auto"/>
          <w:highlight w:val="none"/>
        </w:rPr>
        <w:t>间。支持在援疆省市设立巩留特色产品展销中心、</w:t>
      </w:r>
      <w:r>
        <w:rPr>
          <w:rFonts w:hint="default" w:ascii="Times New Roman" w:hAnsi="Times New Roman" w:cs="Times New Roman"/>
          <w:color w:val="auto"/>
          <w:highlight w:val="none"/>
          <w:lang w:val="en-US" w:eastAsia="zh-CN"/>
        </w:rPr>
        <w:t>牛羊肉</w:t>
      </w:r>
      <w:r>
        <w:rPr>
          <w:rFonts w:hint="default" w:ascii="Times New Roman" w:hAnsi="Times New Roman" w:eastAsia="仿宋_GB2312" w:cs="Times New Roman"/>
          <w:color w:val="auto"/>
          <w:highlight w:val="none"/>
        </w:rPr>
        <w:t>直营店或电商专区，提升北纬43°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润疆好物等消费援疆品牌影响力。推动旅游业提质发展，支持文旅相关规划编制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推进库尔德宁、恰西等景区基础设施提升。继续支持科技创新项目。</w:t>
      </w:r>
    </w:p>
    <w:p w14:paraId="72FC75BA">
      <w:pPr>
        <w:pStyle w:val="4"/>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bookmarkStart w:id="432" w:name="_Toc31777"/>
      <w:bookmarkStart w:id="433" w:name="_Toc17497"/>
      <w:bookmarkStart w:id="434" w:name="_Toc25084"/>
      <w:bookmarkStart w:id="435" w:name="_Toc27764"/>
      <w:bookmarkStart w:id="436" w:name="_Toc17368"/>
      <w:r>
        <w:rPr>
          <w:rFonts w:hint="default" w:ascii="Times New Roman" w:hAnsi="Times New Roman" w:eastAsia="楷体_GB2312" w:cs="Times New Roman"/>
          <w:b w:val="0"/>
          <w:color w:val="auto"/>
          <w:sz w:val="32"/>
          <w:szCs w:val="32"/>
          <w:highlight w:val="none"/>
          <w:lang w:eastAsia="zh-CN"/>
        </w:rPr>
        <w:t>第三节</w:t>
      </w:r>
      <w:r>
        <w:rPr>
          <w:rFonts w:hint="default" w:ascii="Times New Roman" w:hAnsi="Times New Roman" w:eastAsia="楷体_GB2312" w:cs="Times New Roman"/>
          <w:b w:val="0"/>
          <w:color w:val="auto"/>
          <w:sz w:val="32"/>
          <w:szCs w:val="32"/>
          <w:highlight w:val="none"/>
          <w:lang w:val="en-US" w:eastAsia="zh-CN"/>
        </w:rPr>
        <w:t xml:space="preserve"> </w:t>
      </w:r>
      <w:bookmarkEnd w:id="432"/>
      <w:bookmarkEnd w:id="433"/>
      <w:r>
        <w:rPr>
          <w:rFonts w:hint="default" w:ascii="Times New Roman" w:hAnsi="Times New Roman" w:eastAsia="楷体_GB2312" w:cs="Times New Roman"/>
          <w:b w:val="0"/>
          <w:color w:val="auto"/>
          <w:sz w:val="32"/>
          <w:szCs w:val="32"/>
          <w:highlight w:val="none"/>
          <w:lang w:val="en-US" w:eastAsia="zh-CN"/>
        </w:rPr>
        <w:t>扎实做好文化教育事业</w:t>
      </w:r>
      <w:bookmarkEnd w:id="434"/>
      <w:bookmarkEnd w:id="435"/>
      <w:bookmarkEnd w:id="436"/>
    </w:p>
    <w:p w14:paraId="4222B4B7">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加大教育援疆投入，</w:t>
      </w:r>
      <w:r>
        <w:rPr>
          <w:rFonts w:hint="default" w:ascii="Times New Roman" w:hAnsi="Times New Roman" w:cs="Times New Roman"/>
          <w:color w:val="auto"/>
          <w:highlight w:val="none"/>
          <w:lang w:val="en-US" w:eastAsia="zh-CN"/>
        </w:rPr>
        <w:t>支持学校基础设施及教学设施设备提升，推进功能教室、校园文化体育设施完善，持续改善巩留县学校办学条件。强化受援两地学校</w:t>
      </w:r>
      <w:r>
        <w:rPr>
          <w:rFonts w:hint="default" w:ascii="Times New Roman" w:hAnsi="Times New Roman" w:eastAsia="仿宋_GB2312" w:cs="Times New Roman"/>
          <w:color w:val="auto"/>
          <w:highlight w:val="none"/>
        </w:rPr>
        <w:t>结对帮扶，支持职业教育发展，</w:t>
      </w:r>
      <w:r>
        <w:rPr>
          <w:rFonts w:hint="default" w:ascii="Times New Roman" w:hAnsi="Times New Roman" w:cs="Times New Roman"/>
          <w:color w:val="auto"/>
          <w:highlight w:val="none"/>
          <w:lang w:val="en-US" w:eastAsia="zh-CN"/>
        </w:rPr>
        <w:t>加强师资队伍培养培训，完善</w:t>
      </w:r>
      <w:r>
        <w:rPr>
          <w:rFonts w:hint="default" w:ascii="Times New Roman" w:hAnsi="Times New Roman" w:eastAsia="仿宋_GB2312" w:cs="Times New Roman"/>
          <w:color w:val="auto"/>
          <w:highlight w:val="none"/>
        </w:rPr>
        <w:t>“组团式”援教、名师工作室、远程教学等</w:t>
      </w:r>
      <w:r>
        <w:rPr>
          <w:rFonts w:hint="default" w:ascii="Times New Roman" w:hAnsi="Times New Roman" w:cs="Times New Roman"/>
          <w:color w:val="auto"/>
          <w:highlight w:val="none"/>
          <w:lang w:val="en-US" w:eastAsia="zh-CN"/>
        </w:rPr>
        <w:t>模式，组织骨干教师赴江苏跟岗学习，</w:t>
      </w:r>
      <w:r>
        <w:rPr>
          <w:rFonts w:hint="default" w:ascii="Times New Roman" w:hAnsi="Times New Roman" w:eastAsia="仿宋_GB2312" w:cs="Times New Roman"/>
          <w:color w:val="auto"/>
          <w:highlight w:val="none"/>
        </w:rPr>
        <w:t>扩大银龄教师、“西部计划”志愿者选派规模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持续提升巩留县教育水平。</w:t>
      </w:r>
      <w:r>
        <w:rPr>
          <w:rFonts w:hint="default" w:ascii="Times New Roman" w:hAnsi="Times New Roman" w:eastAsia="仿宋_GB2312" w:cs="Times New Roman"/>
          <w:color w:val="auto"/>
          <w:highlight w:val="none"/>
        </w:rPr>
        <w:t>争取扩大疆内外高校双向招生规模，加强内地新疆班办学管理，支持巩留籍学生赴援疆省市就读。加大文化援疆力度，支持巩留县基层公共文化服务体系建设，</w:t>
      </w:r>
      <w:r>
        <w:rPr>
          <w:rFonts w:hint="default" w:ascii="Times New Roman" w:hAnsi="Times New Roman" w:cs="Times New Roman"/>
          <w:color w:val="auto"/>
          <w:highlight w:val="none"/>
          <w:lang w:val="en-US" w:eastAsia="zh-CN"/>
        </w:rPr>
        <w:t>推广“石榴籽”书屋、文化大院等嵌入式文化空间，常态化开展文化演出、全民健身赛事等活动，</w:t>
      </w:r>
      <w:r>
        <w:rPr>
          <w:rFonts w:hint="default" w:ascii="Times New Roman" w:hAnsi="Times New Roman" w:eastAsia="仿宋_GB2312" w:cs="Times New Roman"/>
          <w:color w:val="auto"/>
          <w:highlight w:val="none"/>
        </w:rPr>
        <w:t>增强中华文化在基层的传播力和影响力。</w:t>
      </w:r>
      <w:r>
        <w:rPr>
          <w:rFonts w:hint="default" w:ascii="Times New Roman" w:hAnsi="Times New Roman" w:cs="Times New Roman"/>
          <w:color w:val="auto"/>
          <w:highlight w:val="none"/>
          <w:lang w:val="en-US" w:eastAsia="zh-CN"/>
        </w:rPr>
        <w:t>支持</w:t>
      </w:r>
      <w:r>
        <w:rPr>
          <w:rFonts w:hint="default" w:ascii="Times New Roman" w:hAnsi="Times New Roman" w:eastAsia="仿宋_GB2312" w:cs="Times New Roman"/>
          <w:color w:val="auto"/>
          <w:highlight w:val="none"/>
        </w:rPr>
        <w:t>文化精品创作</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遗址遗迹保护利用，</w:t>
      </w:r>
      <w:r>
        <w:rPr>
          <w:rFonts w:hint="default" w:ascii="Times New Roman" w:hAnsi="Times New Roman" w:eastAsia="仿宋_GB2312" w:cs="Times New Roman"/>
          <w:color w:val="auto"/>
          <w:highlight w:val="none"/>
        </w:rPr>
        <w:t>推动文化交融互鉴，挖掘历史文化资源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促进受援两地文化深度融合。</w:t>
      </w:r>
    </w:p>
    <w:p w14:paraId="3C256060">
      <w:pPr>
        <w:pStyle w:val="4"/>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bookmarkStart w:id="437" w:name="_Toc18832"/>
      <w:bookmarkStart w:id="438" w:name="_Toc30586"/>
      <w:bookmarkStart w:id="439" w:name="_Toc22579"/>
      <w:bookmarkStart w:id="440" w:name="_Toc1499"/>
      <w:bookmarkStart w:id="441" w:name="_Toc20339"/>
      <w:r>
        <w:rPr>
          <w:rFonts w:hint="default" w:ascii="Times New Roman" w:hAnsi="Times New Roman" w:eastAsia="楷体_GB2312" w:cs="Times New Roman"/>
          <w:b w:val="0"/>
          <w:color w:val="auto"/>
          <w:sz w:val="32"/>
          <w:szCs w:val="32"/>
          <w:highlight w:val="none"/>
          <w:lang w:eastAsia="zh-CN"/>
        </w:rPr>
        <w:t>第四节</w:t>
      </w:r>
      <w:r>
        <w:rPr>
          <w:rFonts w:hint="default" w:ascii="Times New Roman" w:hAnsi="Times New Roman" w:eastAsia="楷体_GB2312" w:cs="Times New Roman"/>
          <w:b w:val="0"/>
          <w:color w:val="auto"/>
          <w:sz w:val="32"/>
          <w:szCs w:val="32"/>
          <w:highlight w:val="none"/>
          <w:lang w:val="en-US" w:eastAsia="zh-CN"/>
        </w:rPr>
        <w:t xml:space="preserve"> </w:t>
      </w:r>
      <w:bookmarkEnd w:id="437"/>
      <w:bookmarkEnd w:id="438"/>
      <w:r>
        <w:rPr>
          <w:rFonts w:hint="default" w:ascii="Times New Roman" w:hAnsi="Times New Roman" w:eastAsia="楷体_GB2312" w:cs="Times New Roman"/>
          <w:b w:val="0"/>
          <w:color w:val="auto"/>
          <w:sz w:val="32"/>
          <w:szCs w:val="32"/>
          <w:highlight w:val="none"/>
          <w:lang w:eastAsia="zh-CN"/>
        </w:rPr>
        <w:t>加强干部人才交流合作</w:t>
      </w:r>
      <w:bookmarkEnd w:id="439"/>
      <w:bookmarkEnd w:id="440"/>
      <w:bookmarkEnd w:id="441"/>
    </w:p>
    <w:p w14:paraId="6CCD46AF">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健全援疆干部人才管理服务机制，优化岗位配置，充分发挥其专业优势和管理经验。推动“组团式”援疆向教育、医疗、农业、科技等领域拓展，提升援疆工作精准性和实效性。深化人才智力援疆，鼓励两院院士、知名专家在巩留设立工作站或实验室，支持援疆省市科研机构、高校、企业在巩留建立分支机构或研发平台。实施“柔性引才”计划，通过项目合作、技术指导、短期讲学等方式引进急需紧缺人才。加强本地人才培养，</w:t>
      </w:r>
      <w:r>
        <w:rPr>
          <w:rFonts w:hint="default" w:ascii="Times New Roman" w:hAnsi="Times New Roman" w:cs="Times New Roman"/>
          <w:color w:val="auto"/>
          <w:highlight w:val="none"/>
          <w:lang w:val="en-US" w:eastAsia="zh-CN"/>
        </w:rPr>
        <w:t>继续</w:t>
      </w:r>
      <w:r>
        <w:rPr>
          <w:rFonts w:hint="default" w:ascii="Times New Roman" w:hAnsi="Times New Roman" w:eastAsia="仿宋_GB2312" w:cs="Times New Roman"/>
          <w:color w:val="auto"/>
          <w:highlight w:val="none"/>
        </w:rPr>
        <w:t>支持开展</w:t>
      </w:r>
      <w:r>
        <w:rPr>
          <w:rFonts w:hint="default" w:ascii="Times New Roman" w:hAnsi="Times New Roman" w:cs="Times New Roman"/>
          <w:color w:val="auto"/>
          <w:highlight w:val="none"/>
          <w:lang w:val="en-US" w:eastAsia="zh-CN"/>
        </w:rPr>
        <w:t>基层干部、</w:t>
      </w:r>
      <w:r>
        <w:rPr>
          <w:rFonts w:hint="default" w:ascii="Times New Roman" w:hAnsi="Times New Roman" w:eastAsia="仿宋_GB2312" w:cs="Times New Roman"/>
          <w:color w:val="auto"/>
          <w:highlight w:val="none"/>
        </w:rPr>
        <w:t>科技骨干、文旅人才、企业管理人才等专项培训。</w:t>
      </w:r>
    </w:p>
    <w:p w14:paraId="726C2F6F">
      <w:pPr>
        <w:pStyle w:val="4"/>
        <w:keepNext w:val="0"/>
        <w:keepLines w:val="0"/>
        <w:pageBreakBefore w:val="0"/>
        <w:widowControl/>
        <w:numPr>
          <w:ilvl w:val="0"/>
          <w:numId w:val="0"/>
        </w:numPr>
        <w:kinsoku/>
        <w:wordWrap/>
        <w:overflowPunct/>
        <w:topLinePunct w:val="0"/>
        <w:autoSpaceDE/>
        <w:autoSpaceDN/>
        <w:bidi w:val="0"/>
        <w:adjustRightInd/>
        <w:snapToGrid/>
        <w:ind w:left="0" w:leftChars="0" w:right="0" w:rightChars="0" w:firstLine="0" w:firstLineChars="0"/>
        <w:textAlignment w:val="auto"/>
        <w:rPr>
          <w:rFonts w:hint="default" w:ascii="Times New Roman" w:hAnsi="Times New Roman" w:eastAsia="楷体_GB2312" w:cs="Times New Roman"/>
          <w:b w:val="0"/>
          <w:color w:val="auto"/>
          <w:sz w:val="32"/>
          <w:szCs w:val="32"/>
          <w:highlight w:val="none"/>
          <w:lang w:eastAsia="zh-CN"/>
        </w:rPr>
      </w:pPr>
      <w:bookmarkStart w:id="442" w:name="_Toc27902"/>
      <w:bookmarkStart w:id="443" w:name="_Toc5325"/>
      <w:bookmarkStart w:id="444" w:name="_Toc12094"/>
      <w:bookmarkStart w:id="445" w:name="_Toc16183"/>
      <w:bookmarkStart w:id="446" w:name="_Toc10848"/>
      <w:r>
        <w:rPr>
          <w:rFonts w:hint="default" w:ascii="Times New Roman" w:hAnsi="Times New Roman" w:eastAsia="楷体_GB2312" w:cs="Times New Roman"/>
          <w:b w:val="0"/>
          <w:color w:val="auto"/>
          <w:sz w:val="32"/>
          <w:szCs w:val="32"/>
          <w:highlight w:val="none"/>
          <w:lang w:eastAsia="zh-CN"/>
        </w:rPr>
        <w:t>第五节</w:t>
      </w:r>
      <w:r>
        <w:rPr>
          <w:rFonts w:hint="default" w:ascii="Times New Roman" w:hAnsi="Times New Roman" w:eastAsia="楷体_GB2312" w:cs="Times New Roman"/>
          <w:b w:val="0"/>
          <w:color w:val="auto"/>
          <w:sz w:val="32"/>
          <w:szCs w:val="32"/>
          <w:highlight w:val="none"/>
          <w:lang w:val="en-US" w:eastAsia="zh-CN"/>
        </w:rPr>
        <w:t xml:space="preserve"> </w:t>
      </w:r>
      <w:bookmarkEnd w:id="442"/>
      <w:bookmarkEnd w:id="443"/>
      <w:r>
        <w:rPr>
          <w:rFonts w:hint="default" w:ascii="Times New Roman" w:hAnsi="Times New Roman" w:eastAsia="楷体_GB2312" w:cs="Times New Roman"/>
          <w:b w:val="0"/>
          <w:color w:val="auto"/>
          <w:sz w:val="32"/>
          <w:szCs w:val="32"/>
          <w:highlight w:val="none"/>
          <w:lang w:eastAsia="zh-CN"/>
        </w:rPr>
        <w:t>持续保障和改善民生</w:t>
      </w:r>
      <w:bookmarkEnd w:id="444"/>
      <w:bookmarkEnd w:id="445"/>
      <w:bookmarkEnd w:id="446"/>
    </w:p>
    <w:p w14:paraId="7E467912">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highlight w:val="none"/>
          <w:lang w:val="en-US" w:eastAsia="zh-CN"/>
        </w:rPr>
        <w:t>推进新型城镇化建设，支持开展城区国土空间详细规划编制，提升新型城镇化建设水平。围绕便民利民，支持建设与提升巩留县城乡公共服务设施，构建功能完善的公共服务体系。推进乡村全面振兴，持续改善住房、饮水、交通等基础设施，动员各方社会力量协同开展民生关爱项目。提升基层治理能力建设，推进村（社区）石榴籽服务站建设，支持应急物资储备。完善医疗卫生服务体系，支持重点专科建设，加强关键医疗设备配置，补齐医疗卫生基础设施短板。支持乡镇卫生院、村卫生室改造提升，增强基层医疗能力，推动优质医疗资源下沉。加强医疗骨干人才培养，优化“组团式”“师带徒”等帮扶机制，为巩留医疗卫生事业高质量发展提供人才支撑。</w:t>
      </w:r>
    </w:p>
    <w:p w14:paraId="591D0C8B">
      <w:pPr>
        <w:keepNext w:val="0"/>
        <w:keepLines w:val="0"/>
        <w:pageBreakBefore w:val="0"/>
        <w:widowControl w:val="0"/>
        <w:numPr>
          <w:ilvl w:val="0"/>
          <w:numId w:val="0"/>
        </w:numPr>
        <w:kinsoku/>
        <w:wordWrap/>
        <w:overflowPunct/>
        <w:topLinePunct w:val="0"/>
        <w:autoSpaceDE/>
        <w:autoSpaceDN/>
        <w:bidi w:val="0"/>
        <w:adjustRightInd/>
        <w:snapToGrid/>
        <w:spacing w:before="361" w:beforeLines="100" w:beforeAutospacing="0" w:after="361" w:afterLines="100" w:afterAutospacing="0" w:line="240" w:lineRule="auto"/>
        <w:ind w:right="0" w:rightChars="0"/>
        <w:jc w:val="center"/>
        <w:textAlignment w:val="auto"/>
        <w:outlineLvl w:val="0"/>
        <w:rPr>
          <w:rFonts w:hint="default" w:ascii="Times New Roman" w:hAnsi="Times New Roman" w:eastAsia="黑体" w:cs="Times New Roman"/>
          <w:bCs/>
          <w:color w:val="auto"/>
          <w:kern w:val="44"/>
          <w:sz w:val="36"/>
          <w:szCs w:val="36"/>
          <w:highlight w:val="none"/>
          <w:lang w:val="en-US" w:eastAsia="zh-CN" w:bidi="ar"/>
        </w:rPr>
      </w:pPr>
      <w:r>
        <w:rPr>
          <w:rFonts w:hint="default" w:ascii="Times New Roman" w:hAnsi="Times New Roman" w:eastAsia="仿宋_GB2312" w:cs="Times New Roman"/>
          <w:b/>
          <w:bCs/>
          <w:color w:val="auto"/>
          <w:sz w:val="32"/>
          <w:szCs w:val="32"/>
          <w:highlight w:val="none"/>
        </w:rPr>
        <w:br w:type="page"/>
      </w:r>
      <w:bookmarkStart w:id="447" w:name="_Toc31151"/>
      <w:bookmarkStart w:id="448" w:name="_Toc27448"/>
      <w:bookmarkStart w:id="449" w:name="_Toc29642"/>
      <w:bookmarkStart w:id="450" w:name="_Toc27360"/>
      <w:bookmarkStart w:id="451" w:name="_Toc27575"/>
      <w:r>
        <w:rPr>
          <w:rFonts w:hint="default" w:ascii="Times New Roman" w:hAnsi="Times New Roman" w:eastAsia="黑体" w:cs="Times New Roman"/>
          <w:bCs/>
          <w:color w:val="auto"/>
          <w:kern w:val="44"/>
          <w:sz w:val="36"/>
          <w:szCs w:val="36"/>
          <w:highlight w:val="none"/>
          <w:lang w:val="en-US" w:eastAsia="zh-CN" w:bidi="ar"/>
        </w:rPr>
        <w:t>第十</w:t>
      </w:r>
      <w:r>
        <w:rPr>
          <w:rFonts w:hint="eastAsia" w:ascii="Times New Roman" w:hAnsi="Times New Roman" w:eastAsia="黑体" w:cs="Times New Roman"/>
          <w:bCs/>
          <w:color w:val="auto"/>
          <w:kern w:val="44"/>
          <w:sz w:val="36"/>
          <w:szCs w:val="36"/>
          <w:highlight w:val="none"/>
          <w:lang w:val="en-US" w:eastAsia="zh-CN" w:bidi="ar"/>
        </w:rPr>
        <w:t>六</w:t>
      </w:r>
      <w:r>
        <w:rPr>
          <w:rFonts w:hint="default" w:ascii="Times New Roman" w:hAnsi="Times New Roman" w:eastAsia="黑体" w:cs="Times New Roman"/>
          <w:bCs/>
          <w:color w:val="auto"/>
          <w:kern w:val="44"/>
          <w:sz w:val="36"/>
          <w:szCs w:val="36"/>
          <w:highlight w:val="none"/>
          <w:lang w:val="en-US" w:eastAsia="zh-CN" w:bidi="ar"/>
        </w:rPr>
        <w:t>章  加强党的全面领导，保障规划顺利实施</w:t>
      </w:r>
      <w:bookmarkEnd w:id="447"/>
      <w:bookmarkEnd w:id="448"/>
      <w:bookmarkEnd w:id="449"/>
      <w:bookmarkEnd w:id="450"/>
      <w:bookmarkEnd w:id="451"/>
    </w:p>
    <w:p w14:paraId="1A6009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坚持以党的自我革命引领社会革命，持之以恒推进全面从严治党，增强党的政治领导力、思想引领力、群众组织力、社会号召力，提高党领导经济社会发展能力和水平，充分调动各方面积极性主动性创造性，为深入实施“十五五”规划凝聚磅礴力量。</w:t>
      </w:r>
    </w:p>
    <w:p w14:paraId="68B0B4C2">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eastAsia="zh-CN"/>
        </w:rPr>
      </w:pPr>
      <w:bookmarkStart w:id="452" w:name="_Toc15986"/>
      <w:bookmarkStart w:id="453" w:name="_Toc22098"/>
      <w:bookmarkStart w:id="454" w:name="_Toc27014"/>
      <w:bookmarkStart w:id="455" w:name="_Toc20137"/>
      <w:bookmarkStart w:id="456" w:name="_Toc50"/>
      <w:r>
        <w:rPr>
          <w:rFonts w:hint="default" w:ascii="Times New Roman" w:hAnsi="Times New Roman" w:eastAsia="楷体_GB2312" w:cs="Times New Roman"/>
          <w:b w:val="0"/>
          <w:color w:val="auto"/>
          <w:sz w:val="32"/>
          <w:szCs w:val="32"/>
          <w:highlight w:val="none"/>
          <w:lang w:eastAsia="zh-CN"/>
        </w:rPr>
        <w:t>第一节</w:t>
      </w:r>
      <w:r>
        <w:rPr>
          <w:rFonts w:hint="default" w:ascii="Times New Roman" w:hAnsi="Times New Roman" w:eastAsia="楷体_GB2312" w:cs="Times New Roman"/>
          <w:b w:val="0"/>
          <w:color w:val="auto"/>
          <w:sz w:val="32"/>
          <w:szCs w:val="32"/>
          <w:highlight w:val="none"/>
          <w:lang w:val="en-US" w:eastAsia="zh-CN"/>
        </w:rPr>
        <w:t xml:space="preserve"> </w:t>
      </w:r>
      <w:r>
        <w:rPr>
          <w:rFonts w:hint="default" w:ascii="Times New Roman" w:hAnsi="Times New Roman" w:eastAsia="楷体_GB2312" w:cs="Times New Roman"/>
          <w:b w:val="0"/>
          <w:color w:val="auto"/>
          <w:sz w:val="32"/>
          <w:szCs w:val="32"/>
          <w:highlight w:val="none"/>
          <w:lang w:eastAsia="zh-CN"/>
        </w:rPr>
        <w:t>坚持和加强党的全面领导</w:t>
      </w:r>
      <w:bookmarkEnd w:id="452"/>
      <w:bookmarkEnd w:id="453"/>
      <w:bookmarkEnd w:id="454"/>
      <w:bookmarkEnd w:id="455"/>
      <w:bookmarkEnd w:id="456"/>
    </w:p>
    <w:p w14:paraId="21F4E9D5">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坚持把党的领导</w:t>
      </w:r>
      <w:r>
        <w:rPr>
          <w:rFonts w:hint="default" w:ascii="Times New Roman" w:hAnsi="Times New Roman" w:cs="Times New Roman"/>
          <w:color w:val="auto"/>
          <w:highlight w:val="none"/>
          <w:lang w:eastAsia="zh-CN"/>
        </w:rPr>
        <w:t>贯彻落实</w:t>
      </w:r>
      <w:r>
        <w:rPr>
          <w:rFonts w:hint="default" w:ascii="Times New Roman" w:hAnsi="Times New Roman" w:eastAsia="仿宋_GB2312" w:cs="Times New Roman"/>
          <w:color w:val="auto"/>
          <w:highlight w:val="none"/>
        </w:rPr>
        <w:t>到经济社会发展各方面全过程，</w:t>
      </w:r>
      <w:r>
        <w:rPr>
          <w:rFonts w:hint="default" w:ascii="Times New Roman" w:hAnsi="Times New Roman" w:cs="Times New Roman"/>
          <w:color w:val="auto"/>
          <w:highlight w:val="none"/>
          <w:lang w:eastAsia="zh-CN"/>
        </w:rPr>
        <w:t>坚定拥护“两个确立”、坚决做到“两个维护”</w:t>
      </w:r>
      <w:r>
        <w:rPr>
          <w:rFonts w:hint="default" w:ascii="Times New Roman" w:hAnsi="Times New Roman" w:eastAsia="仿宋_GB2312" w:cs="Times New Roman"/>
          <w:color w:val="auto"/>
          <w:highlight w:val="none"/>
        </w:rPr>
        <w:t>，始终在政治立场、政治方向、政治原则、政治道路上保持高度一致，确保习近平总书记和党中央决策部署贯彻落实到位。切实发挥党把大局、管方向、促落实作用，推动各级党组织和党员干部深入学习贯彻习近平新时代中国特色社会主义思想、习近平总书记系列重要讲话重要指示批示精神和新时代党的治疆方略，</w:t>
      </w:r>
      <w:r>
        <w:rPr>
          <w:rFonts w:hint="default" w:ascii="Times New Roman" w:hAnsi="Times New Roman" w:eastAsia="仿宋_GB2312" w:cs="Times New Roman"/>
          <w:color w:val="auto"/>
          <w:highlight w:val="none"/>
          <w:lang w:val="zh-CN" w:eastAsia="zh-CN"/>
        </w:rPr>
        <w:t>完善上下贯通、执行有力的组织体系，持续优化加强驻村工作，着力加强党的基层建设，牢固树立和践行正确政绩观</w:t>
      </w:r>
      <w:r>
        <w:rPr>
          <w:rFonts w:hint="default" w:ascii="Times New Roman" w:hAnsi="Times New Roman" w:cs="Times New Roman"/>
          <w:color w:val="auto"/>
          <w:highlight w:val="none"/>
          <w:lang w:val="zh-CN" w:eastAsia="zh-CN"/>
        </w:rPr>
        <w:t>，</w:t>
      </w:r>
      <w:r>
        <w:rPr>
          <w:rFonts w:hint="default" w:ascii="Times New Roman" w:hAnsi="Times New Roman" w:eastAsia="仿宋_GB2312" w:cs="Times New Roman"/>
          <w:color w:val="auto"/>
          <w:highlight w:val="none"/>
        </w:rPr>
        <w:t>提高各级领导班子和干部能力水平，弘扬求真务实优良作风，推动全县上下形成重实干、敢担当、善作为的新风正气。坚持新时代好干部标准，鲜明选人用人正确导向，选优配强各级领导班子，加强优秀年轻干部、少数民族干部、女干部、党外干部培养，深化干部人事制度改革，推进领导干部能上能下常态化，健全完善基层干部关心关爱措施，落实常态化培训特别是基层培训机制，着力建设政治坚强、锐意进取、埋头苦干的高素质干部队伍。加强和改进党员教育培训工作，重点加强农牧民党员对党忠诚培训，着力锻造政治合格、执行纪律合格、品德合格、发挥作用合格的稳疆兴疆党员队伍。深入推进党风廉政建设和反腐败斗争，严格落实中央八项规定及其实施细则精神，</w:t>
      </w:r>
      <w:r>
        <w:rPr>
          <w:rFonts w:hint="default" w:ascii="Times New Roman" w:hAnsi="Times New Roman" w:cs="Times New Roman"/>
          <w:color w:val="auto"/>
          <w:highlight w:val="none"/>
          <w:lang w:val="en-US" w:eastAsia="zh-CN"/>
        </w:rPr>
        <w:t>巩固</w:t>
      </w:r>
      <w:r>
        <w:rPr>
          <w:rFonts w:hint="default" w:ascii="Times New Roman" w:hAnsi="Times New Roman" w:eastAsia="仿宋_GB2312" w:cs="Times New Roman"/>
          <w:color w:val="auto"/>
          <w:highlight w:val="none"/>
        </w:rPr>
        <w:t>深化群众身边不正之风和腐败问题集中整治，充分发挥巡视监督作用，抓住“关键少数”以上率下，健全完善一体推进不敢腐、不能腐、不想腐工作机制，营造风清气正的良好政治生态。强化对权力运行的制约和监督，完善党内监督体系，推动纪律监督、监察监督、派驻监督、巡视巡察监督统筹衔接，形成监督合力，确保权力在阳光下运行。</w:t>
      </w:r>
    </w:p>
    <w:p w14:paraId="5A5726EC">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457" w:name="_Toc1117720957"/>
      <w:bookmarkStart w:id="458" w:name="_Toc3262"/>
      <w:bookmarkStart w:id="459" w:name="_Toc965325184"/>
      <w:bookmarkStart w:id="460" w:name="_Toc7479"/>
      <w:bookmarkStart w:id="461" w:name="_Toc1523682814"/>
      <w:bookmarkStart w:id="462" w:name="_Toc250490352"/>
      <w:bookmarkStart w:id="463" w:name="_Toc952137876"/>
      <w:bookmarkStart w:id="464" w:name="_Toc29670"/>
      <w:bookmarkStart w:id="465" w:name="_Toc2006855116"/>
      <w:bookmarkStart w:id="466" w:name="_Toc1921425893"/>
      <w:bookmarkStart w:id="467" w:name="_Toc29691"/>
      <w:bookmarkStart w:id="468" w:name="_Toc24520"/>
      <w:r>
        <w:rPr>
          <w:rFonts w:hint="default" w:ascii="Times New Roman" w:hAnsi="Times New Roman" w:eastAsia="楷体_GB2312" w:cs="Times New Roman"/>
          <w:b w:val="0"/>
          <w:color w:val="auto"/>
          <w:sz w:val="32"/>
          <w:szCs w:val="32"/>
          <w:highlight w:val="none"/>
          <w:lang w:val="en-US" w:eastAsia="zh-CN"/>
        </w:rPr>
        <w:t>第二节 发展社会主义民主政治</w:t>
      </w:r>
      <w:bookmarkEnd w:id="457"/>
      <w:bookmarkEnd w:id="458"/>
      <w:bookmarkEnd w:id="459"/>
      <w:bookmarkEnd w:id="460"/>
      <w:bookmarkEnd w:id="461"/>
      <w:bookmarkEnd w:id="462"/>
      <w:bookmarkEnd w:id="463"/>
      <w:bookmarkEnd w:id="464"/>
      <w:bookmarkEnd w:id="465"/>
      <w:bookmarkEnd w:id="466"/>
      <w:bookmarkEnd w:id="467"/>
    </w:p>
    <w:p w14:paraId="3EB559A6">
      <w:pPr>
        <w:pStyle w:val="14"/>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lang w:val="en-US" w:eastAsia="zh-CN"/>
        </w:rPr>
        <w:t>坚定不移走中国特色社会主义政治发展道路，</w:t>
      </w:r>
      <w:r>
        <w:rPr>
          <w:rFonts w:hint="default" w:ascii="Times New Roman" w:hAnsi="Times New Roman" w:cs="Times New Roman"/>
          <w:color w:val="auto"/>
          <w:highlight w:val="none"/>
          <w:lang w:val="en-US" w:eastAsia="zh-CN"/>
        </w:rPr>
        <w:t>坚持党的领导、人民当家作主、依法治国有机统一</w:t>
      </w:r>
      <w:r>
        <w:rPr>
          <w:rFonts w:hint="default" w:ascii="Times New Roman" w:hAnsi="Times New Roman" w:eastAsia="仿宋_GB2312" w:cs="Times New Roman"/>
          <w:color w:val="auto"/>
          <w:highlight w:val="none"/>
          <w:lang w:val="en-US" w:eastAsia="zh-CN"/>
        </w:rPr>
        <w:t>，践行全过程人民民主理念，加强人民当家作主制度保障，充分发挥各族各界人士在建设美好巩留中的积极作用。加强和改进新时代人大工作，充分发挥人大在地方立法、监督、代表作用，加强对法律法规实施情况的监督检查、对“一府一委两院”的工作监督，支持人大代表依法履职，健全吸纳民意、汇集民智的工作机制。发挥人民政协专门协商机构作用和政协委员主体作用，加强经济社会重大问题和涉及群众切身利益问题的深入协商、集中议政，推动协商民主广泛多层制度化发展，广泛凝聚社会共识。坚持和完善大统战工作格局，支持民主党派加强自身建设、积极建言献策，加强党外知识分子和新的社会阶层人士统战工作，创新开展网络统战工作，做好基层统战工作。健全完善政企沟通协商和民营企业家座谈会制度，落实领导干部联系民营企业（商会、协会）制度，完善政企沟通协商和民营企业家座谈会常态化机制，发挥工商联桥梁纽带作用，构建亲清政商关系。深化工会、共青团、妇联等群团组织改革和建设，有效发挥桥梁纽带作用。加强军政军民团结，凝聚起团结奋进的强大力量。</w:t>
      </w:r>
    </w:p>
    <w:p w14:paraId="3B5328ED">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469" w:name="_Toc8816"/>
      <w:bookmarkStart w:id="470" w:name="_Toc21009"/>
      <w:bookmarkStart w:id="471" w:name="_Toc4372"/>
      <w:bookmarkStart w:id="472" w:name="_Toc28495"/>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三节</w:t>
      </w:r>
      <w:r>
        <w:rPr>
          <w:rFonts w:hint="default" w:ascii="Times New Roman" w:hAnsi="Times New Roman" w:eastAsia="楷体_GB2312" w:cs="Times New Roman"/>
          <w:b w:val="0"/>
          <w:color w:val="auto"/>
          <w:sz w:val="32"/>
          <w:szCs w:val="32"/>
          <w:highlight w:val="none"/>
          <w:lang w:eastAsia="zh-CN"/>
        </w:rPr>
        <w:t xml:space="preserve"> </w:t>
      </w:r>
      <w:bookmarkEnd w:id="469"/>
      <w:r>
        <w:rPr>
          <w:rFonts w:hint="default" w:ascii="Times New Roman" w:hAnsi="Times New Roman" w:eastAsia="楷体_GB2312" w:cs="Times New Roman"/>
          <w:b w:val="0"/>
          <w:color w:val="auto"/>
          <w:sz w:val="32"/>
          <w:szCs w:val="32"/>
          <w:highlight w:val="none"/>
          <w:lang w:val="en-US" w:eastAsia="zh-CN"/>
        </w:rPr>
        <w:t>全面推进法治政府建设</w:t>
      </w:r>
      <w:bookmarkEnd w:id="470"/>
      <w:bookmarkEnd w:id="471"/>
      <w:bookmarkEnd w:id="472"/>
    </w:p>
    <w:p w14:paraId="241303B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弘扬法治精神，树牢法治思维，更好发挥法治固根本、稳预期、利长远的保障作用，坚持依法治县、依法执政、依法行政共同推进，法治巩留、法治政府、法治社会一体建设。强化法治政府建设，全面落实重大行政决策、行政规范性文件合法性审（核）查，完善实质性化解行政争议机制。规范司法权力运行，提高司法裁判公正性﹑稳定性﹑权威性。强化检察监督，加强公益诉讼，依法保障人身权﹑财产权﹑人格权。加强行政执法监督，健全规范涉企执法长效机制，防止和纠正违规异地执法﹑趋利执法，积极稳妥推进行政执法体制改革，推行包容审慎监管和柔性执法。加强领导干部依法办事监督检查，完善综合性法治评价机制。深入推进法治社会建设，健全公共法律服务体系，推进党政机关法律顾问和公职律师制度。加强法治宣传教育，着力提升全民法治素养，严格落实“九五”普法规划，加强法治文化建设，完善覆盖城乡的公共法律服务体系，营造全社会崇尚法治，恪守规则，尊重契约﹑维护公正的良好环境。</w:t>
      </w:r>
    </w:p>
    <w:p w14:paraId="0F84CCA0">
      <w:pPr>
        <w:pStyle w:val="4"/>
        <w:widowControl/>
        <w:numPr>
          <w:ilvl w:val="0"/>
          <w:numId w:val="0"/>
        </w:numPr>
        <w:ind w:left="0" w:leftChars="0" w:right="0" w:rightChars="0" w:firstLine="0" w:firstLineChars="0"/>
        <w:rPr>
          <w:rFonts w:hint="default" w:ascii="Times New Roman" w:hAnsi="Times New Roman" w:eastAsia="楷体_GB2312" w:cs="Times New Roman"/>
          <w:b w:val="0"/>
          <w:color w:val="auto"/>
          <w:sz w:val="32"/>
          <w:szCs w:val="32"/>
          <w:highlight w:val="none"/>
          <w:lang w:val="en-US" w:eastAsia="zh-CN"/>
        </w:rPr>
      </w:pPr>
      <w:bookmarkStart w:id="473" w:name="_Toc18315"/>
      <w:bookmarkStart w:id="474" w:name="_Toc9827"/>
      <w:bookmarkStart w:id="475" w:name="_Toc3360"/>
      <w:bookmarkStart w:id="476" w:name="_Toc21445"/>
      <w:r>
        <w:rPr>
          <w:rFonts w:hint="default" w:ascii="Times New Roman" w:hAnsi="Times New Roman" w:eastAsia="楷体_GB2312" w:cs="Times New Roman"/>
          <w:b w:val="0"/>
          <w:color w:val="auto"/>
          <w:sz w:val="32"/>
          <w:szCs w:val="32"/>
          <w:highlight w:val="none"/>
          <w:lang w:eastAsia="zh-CN"/>
        </w:rPr>
        <w:t>第</w:t>
      </w:r>
      <w:r>
        <w:rPr>
          <w:rFonts w:hint="default" w:ascii="Times New Roman" w:hAnsi="Times New Roman" w:eastAsia="楷体_GB2312" w:cs="Times New Roman"/>
          <w:b w:val="0"/>
          <w:color w:val="auto"/>
          <w:sz w:val="32"/>
          <w:szCs w:val="32"/>
          <w:highlight w:val="none"/>
          <w:lang w:val="en-US" w:eastAsia="zh-CN"/>
        </w:rPr>
        <w:t>四</w:t>
      </w:r>
      <w:r>
        <w:rPr>
          <w:rFonts w:hint="default" w:ascii="Times New Roman" w:hAnsi="Times New Roman" w:eastAsia="楷体_GB2312" w:cs="Times New Roman"/>
          <w:b w:val="0"/>
          <w:color w:val="auto"/>
          <w:sz w:val="32"/>
          <w:szCs w:val="32"/>
          <w:highlight w:val="none"/>
          <w:lang w:eastAsia="zh-CN"/>
        </w:rPr>
        <w:t>节</w:t>
      </w:r>
      <w:r>
        <w:rPr>
          <w:rFonts w:hint="default" w:ascii="Times New Roman" w:hAnsi="Times New Roman" w:eastAsia="楷体_GB2312" w:cs="Times New Roman"/>
          <w:b w:val="0"/>
          <w:color w:val="auto"/>
          <w:sz w:val="32"/>
          <w:szCs w:val="32"/>
          <w:highlight w:val="none"/>
          <w:lang w:val="en-US" w:eastAsia="zh-CN"/>
        </w:rPr>
        <w:t xml:space="preserve"> 强化规划纲要实施保障</w:t>
      </w:r>
      <w:bookmarkEnd w:id="473"/>
      <w:bookmarkEnd w:id="474"/>
      <w:bookmarkEnd w:id="475"/>
    </w:p>
    <w:p w14:paraId="40BE335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健全重大政策、重大改革和重大工程与本规划纲要协同实施机制，有力保障本规划纲要目标任务落实落地。强化重大政策支撑，加强本规划纲要与产业、投资、消费、价格、就业、财政、金融等政策的协调联动，发挥对产业政策、区域政策等的引导约束作用，强化财政性资金支持，引导金融要素资源配置，重大生产力布局和土地、人口、环境、社会等公共政策的制定，也要服从和服务于本规划纲要，增强政策取向一致性。强化重大改革举措支撑，围绕破解制约高质量发展的体制机制障碍和建设更高水平社会主义市场经济体制需要，推出一批重大改革措施，提高改革综合效能，推动改革取得重大突破，有效保障本规划纲要实施。强化重大项目支撑。围绕本规划纲要既定的目标任务，科学编制全县重点项目年度计划，加强对重点项目建设的政策支持，强化资源要素保障。</w:t>
      </w:r>
      <w:bookmarkEnd w:id="468"/>
      <w:bookmarkEnd w:id="476"/>
    </w:p>
    <w:sectPr>
      <w:footerReference r:id="rId6" w:type="default"/>
      <w:pgSz w:w="11906" w:h="16838"/>
      <w:pgMar w:top="2098" w:right="1531" w:bottom="1984" w:left="1531" w:header="708" w:footer="708" w:gutter="0"/>
      <w:pgNumType w:fmt="numberInDash"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780189-816F-4B95-9EF3-6B58519795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B58B82C5-1924-4443-8FC5-46E2DB67DF8F}"/>
  </w:font>
  <w:font w:name="仿宋_GB2312">
    <w:panose1 w:val="02010609030101010101"/>
    <w:charset w:val="86"/>
    <w:family w:val="auto"/>
    <w:pitch w:val="default"/>
    <w:sig w:usb0="00000001" w:usb1="080E0000" w:usb2="00000000" w:usb3="00000000" w:csb0="00040000" w:csb1="00000000"/>
    <w:embedRegular r:id="rId3" w:fontKey="{6656596A-CD94-4577-B9BC-0395DE731AB6}"/>
  </w:font>
  <w:font w:name="方正公文小标宋">
    <w:altName w:val="宋体"/>
    <w:panose1 w:val="02000500000000000000"/>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4" w:fontKey="{8DF2EE1B-E50E-4FD1-BEA8-BDBF1E6FBF67}"/>
  </w:font>
  <w:font w:name="方正仿宋_GBK">
    <w:panose1 w:val="03000509000000000000"/>
    <w:charset w:val="86"/>
    <w:family w:val="auto"/>
    <w:pitch w:val="default"/>
    <w:sig w:usb0="00000001" w:usb1="080E0000" w:usb2="00000000" w:usb3="00000000" w:csb0="00040000" w:csb1="00000000"/>
    <w:embedRegular r:id="rId5" w:fontKey="{E91A7C7C-BD3E-4BF8-B314-A4F65F4B91CC}"/>
  </w:font>
  <w:font w:name="方正小标宋_GBK">
    <w:panose1 w:val="02000000000000000000"/>
    <w:charset w:val="86"/>
    <w:family w:val="auto"/>
    <w:pitch w:val="default"/>
    <w:sig w:usb0="A00002BF" w:usb1="38CF7CFA" w:usb2="00082016" w:usb3="00000000" w:csb0="00040001" w:csb1="00000000"/>
    <w:embedRegular r:id="rId6" w:fontKey="{5596E742-B336-4AB5-A5B2-E3BEE1FFEE14}"/>
  </w:font>
  <w:font w:name="方正楷体_GBK">
    <w:panose1 w:val="03000509000000000000"/>
    <w:charset w:val="86"/>
    <w:family w:val="auto"/>
    <w:pitch w:val="default"/>
    <w:sig w:usb0="00000001" w:usb1="080E0000" w:usb2="00000000" w:usb3="00000000" w:csb0="00040000" w:csb1="00000000"/>
    <w:embedRegular r:id="rId7" w:fontKey="{D9AD5528-DE77-42F9-BFA3-6C0A14995C4A}"/>
  </w:font>
  <w:font w:name="WPSEMBED1">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ADC35">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19EE4">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5DFCAF">
                          <w:pPr>
                            <w:pStyle w:val="15"/>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PAGE  \* MERGEFORMAT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05DFCAF">
                    <w:pPr>
                      <w:pStyle w:val="15"/>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fldChar w:fldCharType="begin"/>
                    </w:r>
                    <w:r>
                      <w:rPr>
                        <w:rFonts w:hint="default" w:ascii="Times New Roman" w:hAnsi="Times New Roman" w:eastAsia="仿宋_GB2312" w:cs="Times New Roman"/>
                        <w:sz w:val="24"/>
                        <w:szCs w:val="24"/>
                      </w:rPr>
                      <w:instrText xml:space="preserve"> PAGE  \* MERGEFORMAT </w:instrText>
                    </w:r>
                    <w:r>
                      <w:rPr>
                        <w:rFonts w:hint="default" w:ascii="Times New Roman" w:hAnsi="Times New Roman" w:eastAsia="仿宋_GB2312" w:cs="Times New Roman"/>
                        <w:sz w:val="24"/>
                        <w:szCs w:val="24"/>
                      </w:rPr>
                      <w:fldChar w:fldCharType="separate"/>
                    </w: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34"/>
      <w:lvlText w:val="%1."/>
      <w:lvlJc w:val="left"/>
      <w:pPr>
        <w:tabs>
          <w:tab w:val="left" w:pos="2040"/>
        </w:tabs>
        <w:ind w:left="2040" w:hanging="360"/>
      </w:p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172A27"/>
    <w:rsid w:val="00145DAE"/>
    <w:rsid w:val="00AC3E2D"/>
    <w:rsid w:val="01323CE1"/>
    <w:rsid w:val="01444C23"/>
    <w:rsid w:val="01616D8E"/>
    <w:rsid w:val="01811D93"/>
    <w:rsid w:val="019E463E"/>
    <w:rsid w:val="01D923B9"/>
    <w:rsid w:val="0208315A"/>
    <w:rsid w:val="02226815"/>
    <w:rsid w:val="02370C6F"/>
    <w:rsid w:val="029909A5"/>
    <w:rsid w:val="02BE3A7E"/>
    <w:rsid w:val="02E01910"/>
    <w:rsid w:val="040C31A3"/>
    <w:rsid w:val="041F70EA"/>
    <w:rsid w:val="04391CD4"/>
    <w:rsid w:val="0439760D"/>
    <w:rsid w:val="044B0FAB"/>
    <w:rsid w:val="044C20EF"/>
    <w:rsid w:val="047065C9"/>
    <w:rsid w:val="04D325D2"/>
    <w:rsid w:val="04E33A5F"/>
    <w:rsid w:val="04FB6483"/>
    <w:rsid w:val="05004B55"/>
    <w:rsid w:val="05137986"/>
    <w:rsid w:val="0563090D"/>
    <w:rsid w:val="058E7957"/>
    <w:rsid w:val="05936304"/>
    <w:rsid w:val="05A91BD8"/>
    <w:rsid w:val="05DC036A"/>
    <w:rsid w:val="05ED6429"/>
    <w:rsid w:val="064415F4"/>
    <w:rsid w:val="06591792"/>
    <w:rsid w:val="067B075B"/>
    <w:rsid w:val="069D39AB"/>
    <w:rsid w:val="06A22382"/>
    <w:rsid w:val="06A579C3"/>
    <w:rsid w:val="06A64F55"/>
    <w:rsid w:val="06C913BB"/>
    <w:rsid w:val="07940642"/>
    <w:rsid w:val="07AC0471"/>
    <w:rsid w:val="082C799B"/>
    <w:rsid w:val="084207E8"/>
    <w:rsid w:val="089A1545"/>
    <w:rsid w:val="08D16391"/>
    <w:rsid w:val="091603AF"/>
    <w:rsid w:val="098546CE"/>
    <w:rsid w:val="09965104"/>
    <w:rsid w:val="09FD7A5F"/>
    <w:rsid w:val="0A117F7B"/>
    <w:rsid w:val="0AAA69D4"/>
    <w:rsid w:val="0AED7096"/>
    <w:rsid w:val="0AFD0EBC"/>
    <w:rsid w:val="0AFD19DD"/>
    <w:rsid w:val="0B4137BC"/>
    <w:rsid w:val="0BCC5F2F"/>
    <w:rsid w:val="0BDB744F"/>
    <w:rsid w:val="0BEF1D5B"/>
    <w:rsid w:val="0BFA5365"/>
    <w:rsid w:val="0C466793"/>
    <w:rsid w:val="0C580AA0"/>
    <w:rsid w:val="0C965FB8"/>
    <w:rsid w:val="0CAB1394"/>
    <w:rsid w:val="0D8609C6"/>
    <w:rsid w:val="0DC05EC0"/>
    <w:rsid w:val="0DF27946"/>
    <w:rsid w:val="0E1E6590"/>
    <w:rsid w:val="0E8F35FC"/>
    <w:rsid w:val="0ED7207E"/>
    <w:rsid w:val="101F06EF"/>
    <w:rsid w:val="1055436E"/>
    <w:rsid w:val="106B7DA8"/>
    <w:rsid w:val="10A2678D"/>
    <w:rsid w:val="10AF0EAA"/>
    <w:rsid w:val="10D031C5"/>
    <w:rsid w:val="110E3B42"/>
    <w:rsid w:val="11DE386A"/>
    <w:rsid w:val="120E426E"/>
    <w:rsid w:val="122029D4"/>
    <w:rsid w:val="124D7972"/>
    <w:rsid w:val="12643027"/>
    <w:rsid w:val="139741F9"/>
    <w:rsid w:val="13D80718"/>
    <w:rsid w:val="13DA7FEC"/>
    <w:rsid w:val="13DC1FB6"/>
    <w:rsid w:val="1445680A"/>
    <w:rsid w:val="14C77181"/>
    <w:rsid w:val="15062F45"/>
    <w:rsid w:val="150F6808"/>
    <w:rsid w:val="15981F0D"/>
    <w:rsid w:val="15B260BB"/>
    <w:rsid w:val="16097616"/>
    <w:rsid w:val="16646A1B"/>
    <w:rsid w:val="174F23B4"/>
    <w:rsid w:val="179903CC"/>
    <w:rsid w:val="17B15508"/>
    <w:rsid w:val="17B8585F"/>
    <w:rsid w:val="17CC7CCF"/>
    <w:rsid w:val="17DF4AC8"/>
    <w:rsid w:val="187730D5"/>
    <w:rsid w:val="194B7296"/>
    <w:rsid w:val="19960E59"/>
    <w:rsid w:val="19971397"/>
    <w:rsid w:val="1B673A07"/>
    <w:rsid w:val="1B736662"/>
    <w:rsid w:val="1B7F1479"/>
    <w:rsid w:val="1B9679EF"/>
    <w:rsid w:val="1BAF6A22"/>
    <w:rsid w:val="1BB25AD5"/>
    <w:rsid w:val="1BE162D5"/>
    <w:rsid w:val="1BF52B9A"/>
    <w:rsid w:val="1C042AFF"/>
    <w:rsid w:val="1CB03FE0"/>
    <w:rsid w:val="1CC3154D"/>
    <w:rsid w:val="1D5B63E7"/>
    <w:rsid w:val="1DF02AB0"/>
    <w:rsid w:val="1E443D9E"/>
    <w:rsid w:val="1E4916E0"/>
    <w:rsid w:val="1E7F7F57"/>
    <w:rsid w:val="1EBC5191"/>
    <w:rsid w:val="1EBE3D9F"/>
    <w:rsid w:val="1ECB236C"/>
    <w:rsid w:val="1ED54475"/>
    <w:rsid w:val="1F0A4AC5"/>
    <w:rsid w:val="1F59797F"/>
    <w:rsid w:val="1F6B5634"/>
    <w:rsid w:val="1FBB1078"/>
    <w:rsid w:val="1FBF68F9"/>
    <w:rsid w:val="1FFF0D2E"/>
    <w:rsid w:val="20FF72E4"/>
    <w:rsid w:val="21EE4FDE"/>
    <w:rsid w:val="21F7453F"/>
    <w:rsid w:val="2201522C"/>
    <w:rsid w:val="225E003A"/>
    <w:rsid w:val="22644208"/>
    <w:rsid w:val="22AF6AE8"/>
    <w:rsid w:val="22C60046"/>
    <w:rsid w:val="23511D12"/>
    <w:rsid w:val="23A221A9"/>
    <w:rsid w:val="23AD35C5"/>
    <w:rsid w:val="23DC1A9A"/>
    <w:rsid w:val="246A59FD"/>
    <w:rsid w:val="246F652F"/>
    <w:rsid w:val="24B74FF1"/>
    <w:rsid w:val="24E422B9"/>
    <w:rsid w:val="24FB3714"/>
    <w:rsid w:val="25083BE9"/>
    <w:rsid w:val="259C15A5"/>
    <w:rsid w:val="25A62424"/>
    <w:rsid w:val="25CC2205"/>
    <w:rsid w:val="25F211C5"/>
    <w:rsid w:val="2682024D"/>
    <w:rsid w:val="26837716"/>
    <w:rsid w:val="26910426"/>
    <w:rsid w:val="26A505B5"/>
    <w:rsid w:val="26BB3CAD"/>
    <w:rsid w:val="26BC336E"/>
    <w:rsid w:val="27464C37"/>
    <w:rsid w:val="279146CA"/>
    <w:rsid w:val="27A77775"/>
    <w:rsid w:val="281C4C20"/>
    <w:rsid w:val="2823680C"/>
    <w:rsid w:val="28CD1A76"/>
    <w:rsid w:val="29363B9A"/>
    <w:rsid w:val="2937379B"/>
    <w:rsid w:val="295F542A"/>
    <w:rsid w:val="2964062C"/>
    <w:rsid w:val="29671ECA"/>
    <w:rsid w:val="29C9059D"/>
    <w:rsid w:val="29DC6721"/>
    <w:rsid w:val="2A1B7C05"/>
    <w:rsid w:val="2A2B40D9"/>
    <w:rsid w:val="2AA62E2E"/>
    <w:rsid w:val="2AD0155C"/>
    <w:rsid w:val="2AE31651"/>
    <w:rsid w:val="2B193AF1"/>
    <w:rsid w:val="2B3A6999"/>
    <w:rsid w:val="2B6477F0"/>
    <w:rsid w:val="2BAE0C32"/>
    <w:rsid w:val="2BC81799"/>
    <w:rsid w:val="2C0833D1"/>
    <w:rsid w:val="2C3A2475"/>
    <w:rsid w:val="2C4F416E"/>
    <w:rsid w:val="2C667138"/>
    <w:rsid w:val="2CA226C0"/>
    <w:rsid w:val="2CBB70BA"/>
    <w:rsid w:val="2CE60315"/>
    <w:rsid w:val="2CFF1140"/>
    <w:rsid w:val="2D0C1C2F"/>
    <w:rsid w:val="2D26209C"/>
    <w:rsid w:val="2D306A77"/>
    <w:rsid w:val="2D5B3AF4"/>
    <w:rsid w:val="2D5E5392"/>
    <w:rsid w:val="2DC168CF"/>
    <w:rsid w:val="2DCD42C6"/>
    <w:rsid w:val="2DDD3FC1"/>
    <w:rsid w:val="2E18226E"/>
    <w:rsid w:val="2E9266F5"/>
    <w:rsid w:val="2E953036"/>
    <w:rsid w:val="2ECE6548"/>
    <w:rsid w:val="2ED33B5E"/>
    <w:rsid w:val="2EF75A9F"/>
    <w:rsid w:val="2F1C63DF"/>
    <w:rsid w:val="2F6A0915"/>
    <w:rsid w:val="2F741104"/>
    <w:rsid w:val="2FEE7E8B"/>
    <w:rsid w:val="30015684"/>
    <w:rsid w:val="3011493E"/>
    <w:rsid w:val="306C6942"/>
    <w:rsid w:val="308F3332"/>
    <w:rsid w:val="30F5279E"/>
    <w:rsid w:val="311B69B1"/>
    <w:rsid w:val="31381C75"/>
    <w:rsid w:val="317800C2"/>
    <w:rsid w:val="31D16A7B"/>
    <w:rsid w:val="31F938DC"/>
    <w:rsid w:val="321E3894"/>
    <w:rsid w:val="327B69E7"/>
    <w:rsid w:val="32E12CEE"/>
    <w:rsid w:val="33364789"/>
    <w:rsid w:val="33A855B9"/>
    <w:rsid w:val="33DF14EB"/>
    <w:rsid w:val="341354DD"/>
    <w:rsid w:val="34491C1C"/>
    <w:rsid w:val="34635E0F"/>
    <w:rsid w:val="34796F56"/>
    <w:rsid w:val="347D4D3B"/>
    <w:rsid w:val="34900678"/>
    <w:rsid w:val="34BF2BBB"/>
    <w:rsid w:val="35714BF8"/>
    <w:rsid w:val="35A32C4E"/>
    <w:rsid w:val="35CE1BF3"/>
    <w:rsid w:val="36274EBB"/>
    <w:rsid w:val="366C3343"/>
    <w:rsid w:val="36C73FA8"/>
    <w:rsid w:val="36F86858"/>
    <w:rsid w:val="36FF2197"/>
    <w:rsid w:val="372169D8"/>
    <w:rsid w:val="372341D0"/>
    <w:rsid w:val="37545F43"/>
    <w:rsid w:val="375C4D80"/>
    <w:rsid w:val="37941808"/>
    <w:rsid w:val="37D724AC"/>
    <w:rsid w:val="37F7266B"/>
    <w:rsid w:val="380B3F24"/>
    <w:rsid w:val="382A074E"/>
    <w:rsid w:val="38480341"/>
    <w:rsid w:val="38D34FF7"/>
    <w:rsid w:val="38DAE6C1"/>
    <w:rsid w:val="391334D5"/>
    <w:rsid w:val="393D2A00"/>
    <w:rsid w:val="39462ABC"/>
    <w:rsid w:val="394D6597"/>
    <w:rsid w:val="397F0B6A"/>
    <w:rsid w:val="398630E1"/>
    <w:rsid w:val="39CC3B2F"/>
    <w:rsid w:val="39EA7E2F"/>
    <w:rsid w:val="3A362570"/>
    <w:rsid w:val="3B1F6AAF"/>
    <w:rsid w:val="3B2C64FD"/>
    <w:rsid w:val="3B7452E6"/>
    <w:rsid w:val="3BF515B8"/>
    <w:rsid w:val="3C0D5B5B"/>
    <w:rsid w:val="3C5E53AF"/>
    <w:rsid w:val="3D086E8B"/>
    <w:rsid w:val="3D267578"/>
    <w:rsid w:val="3D521C01"/>
    <w:rsid w:val="3D54230E"/>
    <w:rsid w:val="3D6D6A5B"/>
    <w:rsid w:val="3D8447B6"/>
    <w:rsid w:val="3DA604A6"/>
    <w:rsid w:val="3DF23210"/>
    <w:rsid w:val="3E276731"/>
    <w:rsid w:val="3E636CAD"/>
    <w:rsid w:val="3E724BB7"/>
    <w:rsid w:val="3F3C4311"/>
    <w:rsid w:val="3F7B4C69"/>
    <w:rsid w:val="3FD53D39"/>
    <w:rsid w:val="3FD6498D"/>
    <w:rsid w:val="3FF952CB"/>
    <w:rsid w:val="404D5C87"/>
    <w:rsid w:val="405A7D93"/>
    <w:rsid w:val="408657C7"/>
    <w:rsid w:val="40F51626"/>
    <w:rsid w:val="41036525"/>
    <w:rsid w:val="410670A8"/>
    <w:rsid w:val="41291108"/>
    <w:rsid w:val="412D70DB"/>
    <w:rsid w:val="41474664"/>
    <w:rsid w:val="415B4202"/>
    <w:rsid w:val="41947FB3"/>
    <w:rsid w:val="421C041D"/>
    <w:rsid w:val="422E137F"/>
    <w:rsid w:val="42D635B0"/>
    <w:rsid w:val="430637F4"/>
    <w:rsid w:val="435A3EC5"/>
    <w:rsid w:val="43A04FD8"/>
    <w:rsid w:val="43AE36B3"/>
    <w:rsid w:val="43AF6949"/>
    <w:rsid w:val="43E43ADF"/>
    <w:rsid w:val="43F65ECD"/>
    <w:rsid w:val="4440539A"/>
    <w:rsid w:val="44884E24"/>
    <w:rsid w:val="44B53FC2"/>
    <w:rsid w:val="44F01A2D"/>
    <w:rsid w:val="45026707"/>
    <w:rsid w:val="45505B10"/>
    <w:rsid w:val="45527859"/>
    <w:rsid w:val="46080FDE"/>
    <w:rsid w:val="4647312E"/>
    <w:rsid w:val="465B470D"/>
    <w:rsid w:val="46783EAC"/>
    <w:rsid w:val="467F21AA"/>
    <w:rsid w:val="469E4000"/>
    <w:rsid w:val="46F07AD4"/>
    <w:rsid w:val="46FE3A16"/>
    <w:rsid w:val="470D5A07"/>
    <w:rsid w:val="47646D84"/>
    <w:rsid w:val="476D2ADE"/>
    <w:rsid w:val="47745A86"/>
    <w:rsid w:val="4774716C"/>
    <w:rsid w:val="477A307F"/>
    <w:rsid w:val="47A4295B"/>
    <w:rsid w:val="47A57C4A"/>
    <w:rsid w:val="480119D9"/>
    <w:rsid w:val="48017E0A"/>
    <w:rsid w:val="483B2B67"/>
    <w:rsid w:val="486A633B"/>
    <w:rsid w:val="48764E95"/>
    <w:rsid w:val="488B6788"/>
    <w:rsid w:val="48AD192C"/>
    <w:rsid w:val="48D569F9"/>
    <w:rsid w:val="48F914FB"/>
    <w:rsid w:val="490C1B6F"/>
    <w:rsid w:val="49115557"/>
    <w:rsid w:val="498520E6"/>
    <w:rsid w:val="49A93DBB"/>
    <w:rsid w:val="4A177C8B"/>
    <w:rsid w:val="4A2F0735"/>
    <w:rsid w:val="4A825B76"/>
    <w:rsid w:val="4A997368"/>
    <w:rsid w:val="4AA01E5E"/>
    <w:rsid w:val="4AA907BB"/>
    <w:rsid w:val="4AF55130"/>
    <w:rsid w:val="4B0A74AF"/>
    <w:rsid w:val="4B1F6C62"/>
    <w:rsid w:val="4B275875"/>
    <w:rsid w:val="4B2B2900"/>
    <w:rsid w:val="4B596626"/>
    <w:rsid w:val="4B6401FB"/>
    <w:rsid w:val="4B671752"/>
    <w:rsid w:val="4B866646"/>
    <w:rsid w:val="4BA23842"/>
    <w:rsid w:val="4BFB65CA"/>
    <w:rsid w:val="4C187820"/>
    <w:rsid w:val="4C9474EA"/>
    <w:rsid w:val="4CEE6ADF"/>
    <w:rsid w:val="4D5F22FE"/>
    <w:rsid w:val="4D6B792C"/>
    <w:rsid w:val="4D821B8C"/>
    <w:rsid w:val="4D93478D"/>
    <w:rsid w:val="4DB017E2"/>
    <w:rsid w:val="4DCF7936"/>
    <w:rsid w:val="4DF42152"/>
    <w:rsid w:val="4E1D0B24"/>
    <w:rsid w:val="4E327879"/>
    <w:rsid w:val="4E854C8E"/>
    <w:rsid w:val="4EAA72A2"/>
    <w:rsid w:val="4EDF1932"/>
    <w:rsid w:val="4EE16863"/>
    <w:rsid w:val="4EF656C1"/>
    <w:rsid w:val="4EF81CF4"/>
    <w:rsid w:val="4F0A0A7E"/>
    <w:rsid w:val="4F583EE0"/>
    <w:rsid w:val="4F950C90"/>
    <w:rsid w:val="4FEA0C93"/>
    <w:rsid w:val="4FF2182F"/>
    <w:rsid w:val="4FFC2ABD"/>
    <w:rsid w:val="501E1222"/>
    <w:rsid w:val="503E6C32"/>
    <w:rsid w:val="50F10148"/>
    <w:rsid w:val="515F5F01"/>
    <w:rsid w:val="51892F1F"/>
    <w:rsid w:val="51C24A34"/>
    <w:rsid w:val="52004ECF"/>
    <w:rsid w:val="52065E75"/>
    <w:rsid w:val="524C5999"/>
    <w:rsid w:val="52851792"/>
    <w:rsid w:val="529E7EE8"/>
    <w:rsid w:val="52A829E9"/>
    <w:rsid w:val="53163654"/>
    <w:rsid w:val="5320725D"/>
    <w:rsid w:val="537A4860"/>
    <w:rsid w:val="537C6A62"/>
    <w:rsid w:val="53940307"/>
    <w:rsid w:val="53AC5F4C"/>
    <w:rsid w:val="53AE7179"/>
    <w:rsid w:val="542902D8"/>
    <w:rsid w:val="54A035B3"/>
    <w:rsid w:val="54BF230B"/>
    <w:rsid w:val="54C70856"/>
    <w:rsid w:val="55596752"/>
    <w:rsid w:val="556E2112"/>
    <w:rsid w:val="562F7C6B"/>
    <w:rsid w:val="56B715C0"/>
    <w:rsid w:val="56C23126"/>
    <w:rsid w:val="56CB79B7"/>
    <w:rsid w:val="570851BD"/>
    <w:rsid w:val="57130599"/>
    <w:rsid w:val="575E22AF"/>
    <w:rsid w:val="57C45237"/>
    <w:rsid w:val="580276A5"/>
    <w:rsid w:val="580F7106"/>
    <w:rsid w:val="5864436E"/>
    <w:rsid w:val="589A0AB2"/>
    <w:rsid w:val="592A27AB"/>
    <w:rsid w:val="592C0174"/>
    <w:rsid w:val="599C0E6D"/>
    <w:rsid w:val="59B054EF"/>
    <w:rsid w:val="59DE022E"/>
    <w:rsid w:val="5A082DC0"/>
    <w:rsid w:val="5A2D3C46"/>
    <w:rsid w:val="5A366CD4"/>
    <w:rsid w:val="5A3B0001"/>
    <w:rsid w:val="5A940D8C"/>
    <w:rsid w:val="5A981634"/>
    <w:rsid w:val="5B675923"/>
    <w:rsid w:val="5B720C46"/>
    <w:rsid w:val="5C1B76CE"/>
    <w:rsid w:val="5C1F733C"/>
    <w:rsid w:val="5C734A4A"/>
    <w:rsid w:val="5CAE3391"/>
    <w:rsid w:val="5CD027B7"/>
    <w:rsid w:val="5CF04174"/>
    <w:rsid w:val="5D030818"/>
    <w:rsid w:val="5D4C3E7E"/>
    <w:rsid w:val="5D9F6B7E"/>
    <w:rsid w:val="5DEC1442"/>
    <w:rsid w:val="5E106709"/>
    <w:rsid w:val="5E1536F6"/>
    <w:rsid w:val="5E6C2BD7"/>
    <w:rsid w:val="5E7062EB"/>
    <w:rsid w:val="5EC345FA"/>
    <w:rsid w:val="5F17542A"/>
    <w:rsid w:val="5F1E72BE"/>
    <w:rsid w:val="5F586C61"/>
    <w:rsid w:val="5F9728E0"/>
    <w:rsid w:val="5FDF5FA0"/>
    <w:rsid w:val="5FFB84BB"/>
    <w:rsid w:val="5FFDF401"/>
    <w:rsid w:val="604F411B"/>
    <w:rsid w:val="609B1263"/>
    <w:rsid w:val="60AA0A00"/>
    <w:rsid w:val="61137C17"/>
    <w:rsid w:val="61476585"/>
    <w:rsid w:val="615A6DA9"/>
    <w:rsid w:val="61896CE4"/>
    <w:rsid w:val="6198037A"/>
    <w:rsid w:val="61A8784E"/>
    <w:rsid w:val="61C1310B"/>
    <w:rsid w:val="628E0D36"/>
    <w:rsid w:val="62AE430A"/>
    <w:rsid w:val="62E25DCB"/>
    <w:rsid w:val="62E5179C"/>
    <w:rsid w:val="62EC5E9C"/>
    <w:rsid w:val="632717A7"/>
    <w:rsid w:val="638F1633"/>
    <w:rsid w:val="64306ABD"/>
    <w:rsid w:val="64AD03EB"/>
    <w:rsid w:val="64B1567A"/>
    <w:rsid w:val="64B67287"/>
    <w:rsid w:val="64C00105"/>
    <w:rsid w:val="64C86FBA"/>
    <w:rsid w:val="64CA4649"/>
    <w:rsid w:val="64ED46CA"/>
    <w:rsid w:val="65745F75"/>
    <w:rsid w:val="657B480C"/>
    <w:rsid w:val="65CC7A0B"/>
    <w:rsid w:val="65DD0A81"/>
    <w:rsid w:val="65E46C8B"/>
    <w:rsid w:val="65EE47FE"/>
    <w:rsid w:val="665C66CA"/>
    <w:rsid w:val="6660394E"/>
    <w:rsid w:val="66910B1B"/>
    <w:rsid w:val="66D4157A"/>
    <w:rsid w:val="672524A2"/>
    <w:rsid w:val="67565A07"/>
    <w:rsid w:val="67592787"/>
    <w:rsid w:val="67697291"/>
    <w:rsid w:val="67E81E4D"/>
    <w:rsid w:val="68503913"/>
    <w:rsid w:val="6879E057"/>
    <w:rsid w:val="68AC2EBA"/>
    <w:rsid w:val="68CE27AC"/>
    <w:rsid w:val="68D875D8"/>
    <w:rsid w:val="69D57ABA"/>
    <w:rsid w:val="6A3B5CC5"/>
    <w:rsid w:val="6AFA3F1E"/>
    <w:rsid w:val="6B286A04"/>
    <w:rsid w:val="6B564F76"/>
    <w:rsid w:val="6B6F1EDB"/>
    <w:rsid w:val="6B855955"/>
    <w:rsid w:val="6C003FFF"/>
    <w:rsid w:val="6C082BEE"/>
    <w:rsid w:val="6C1C5B50"/>
    <w:rsid w:val="6C373231"/>
    <w:rsid w:val="6C62291E"/>
    <w:rsid w:val="6C8C6B1F"/>
    <w:rsid w:val="6CB46B3A"/>
    <w:rsid w:val="6CCB17B2"/>
    <w:rsid w:val="6CD90324"/>
    <w:rsid w:val="6D18512F"/>
    <w:rsid w:val="6D4B558C"/>
    <w:rsid w:val="6D8417E4"/>
    <w:rsid w:val="6D9A2F35"/>
    <w:rsid w:val="6D9A4CFC"/>
    <w:rsid w:val="6DC04CD2"/>
    <w:rsid w:val="6DD69205"/>
    <w:rsid w:val="6DF125AB"/>
    <w:rsid w:val="6E157BFF"/>
    <w:rsid w:val="6E7463DD"/>
    <w:rsid w:val="6E824E85"/>
    <w:rsid w:val="6EAB1173"/>
    <w:rsid w:val="6EC136B7"/>
    <w:rsid w:val="6EC95317"/>
    <w:rsid w:val="6ED25BA8"/>
    <w:rsid w:val="6F3B4F58"/>
    <w:rsid w:val="6F9B4F30"/>
    <w:rsid w:val="6FA7496F"/>
    <w:rsid w:val="70315E32"/>
    <w:rsid w:val="707029DF"/>
    <w:rsid w:val="70915C26"/>
    <w:rsid w:val="70A66C1F"/>
    <w:rsid w:val="712B3E5E"/>
    <w:rsid w:val="71E13469"/>
    <w:rsid w:val="72847D1C"/>
    <w:rsid w:val="729E1242"/>
    <w:rsid w:val="72B85F88"/>
    <w:rsid w:val="72D34D82"/>
    <w:rsid w:val="72E96A79"/>
    <w:rsid w:val="72F732CC"/>
    <w:rsid w:val="7308719F"/>
    <w:rsid w:val="7344280B"/>
    <w:rsid w:val="73C6551E"/>
    <w:rsid w:val="73CC0B75"/>
    <w:rsid w:val="73E115D0"/>
    <w:rsid w:val="73ED0631"/>
    <w:rsid w:val="745A6A4D"/>
    <w:rsid w:val="74A434CA"/>
    <w:rsid w:val="74A71AF3"/>
    <w:rsid w:val="74BA0EE9"/>
    <w:rsid w:val="74E75E9D"/>
    <w:rsid w:val="75611E78"/>
    <w:rsid w:val="75824BD9"/>
    <w:rsid w:val="759F5B15"/>
    <w:rsid w:val="75D200FF"/>
    <w:rsid w:val="75EB0D5A"/>
    <w:rsid w:val="75EE702B"/>
    <w:rsid w:val="75F145C2"/>
    <w:rsid w:val="75FF4C18"/>
    <w:rsid w:val="76057036"/>
    <w:rsid w:val="76315255"/>
    <w:rsid w:val="764C03CE"/>
    <w:rsid w:val="766D664D"/>
    <w:rsid w:val="767139A2"/>
    <w:rsid w:val="76A2766B"/>
    <w:rsid w:val="76F77AE6"/>
    <w:rsid w:val="773C275A"/>
    <w:rsid w:val="77471FC0"/>
    <w:rsid w:val="77764653"/>
    <w:rsid w:val="77C20D27"/>
    <w:rsid w:val="77C90690"/>
    <w:rsid w:val="78177BE5"/>
    <w:rsid w:val="785F442F"/>
    <w:rsid w:val="78B2528A"/>
    <w:rsid w:val="78F74CE4"/>
    <w:rsid w:val="78FB707D"/>
    <w:rsid w:val="79175100"/>
    <w:rsid w:val="795D4180"/>
    <w:rsid w:val="796D4C26"/>
    <w:rsid w:val="79C72C2F"/>
    <w:rsid w:val="7A141107"/>
    <w:rsid w:val="7A230AC3"/>
    <w:rsid w:val="7A977C0B"/>
    <w:rsid w:val="7BA13F79"/>
    <w:rsid w:val="7BA76A06"/>
    <w:rsid w:val="7BAA34BA"/>
    <w:rsid w:val="7BBDA3DC"/>
    <w:rsid w:val="7C235C2F"/>
    <w:rsid w:val="7C3869C0"/>
    <w:rsid w:val="7C63468C"/>
    <w:rsid w:val="7CB5014B"/>
    <w:rsid w:val="7D061A63"/>
    <w:rsid w:val="7D2334DD"/>
    <w:rsid w:val="7D655BE2"/>
    <w:rsid w:val="7DB639FC"/>
    <w:rsid w:val="7DD11175"/>
    <w:rsid w:val="7E040C0B"/>
    <w:rsid w:val="7E6F0D11"/>
    <w:rsid w:val="7E7651FA"/>
    <w:rsid w:val="7EAF2C64"/>
    <w:rsid w:val="7F2F1B61"/>
    <w:rsid w:val="7F710AA7"/>
    <w:rsid w:val="7F77306A"/>
    <w:rsid w:val="7FC76394"/>
    <w:rsid w:val="7FDE06B1"/>
    <w:rsid w:val="7FDE6F4E"/>
    <w:rsid w:val="ACCF8CDB"/>
    <w:rsid w:val="AED9E851"/>
    <w:rsid w:val="BFBFBFEB"/>
    <w:rsid w:val="BFDFC5DD"/>
    <w:rsid w:val="BFFD0C98"/>
    <w:rsid w:val="C9DFF1C1"/>
    <w:rsid w:val="D7F648B2"/>
    <w:rsid w:val="DFDF4751"/>
    <w:rsid w:val="DFF86253"/>
    <w:rsid w:val="E76FDF7C"/>
    <w:rsid w:val="EB7E60C5"/>
    <w:rsid w:val="F2F74685"/>
    <w:rsid w:val="F53E16F4"/>
    <w:rsid w:val="F5D9EE67"/>
    <w:rsid w:val="F66EFE7F"/>
    <w:rsid w:val="F7FF46BD"/>
    <w:rsid w:val="FBADE739"/>
    <w:rsid w:val="FBFF18DF"/>
    <w:rsid w:val="FDEF5C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pPr>
    <w:rPr>
      <w:rFonts w:asciiTheme="minorHAnsi" w:hAnsiTheme="minorHAnsi" w:eastAsiaTheme="minorEastAsia" w:cstheme="minorBidi"/>
      <w:sz w:val="21"/>
      <w:szCs w:val="22"/>
    </w:rPr>
  </w:style>
  <w:style w:type="paragraph" w:styleId="3">
    <w:name w:val="heading 1"/>
    <w:next w:val="1"/>
    <w:qFormat/>
    <w:uiPriority w:val="0"/>
    <w:pPr>
      <w:keepNext w:val="0"/>
      <w:keepLines w:val="0"/>
      <w:pageBreakBefore w:val="0"/>
      <w:widowControl/>
      <w:kinsoku/>
      <w:wordWrap/>
      <w:overflowPunct/>
      <w:topLinePunct w:val="0"/>
      <w:autoSpaceDE/>
      <w:autoSpaceDN/>
      <w:bidi w:val="0"/>
      <w:adjustRightInd/>
      <w:spacing w:before="260" w:after="260" w:line="580" w:lineRule="exact"/>
      <w:ind w:left="0" w:leftChars="0" w:firstLine="0" w:firstLineChars="0"/>
      <w:jc w:val="center"/>
      <w:textAlignment w:val="auto"/>
      <w:outlineLvl w:val="0"/>
    </w:pPr>
    <w:rPr>
      <w:rFonts w:ascii="Times New Roman" w:hAnsi="Times New Roman" w:eastAsia="黑体" w:cs="Times New Roman"/>
      <w:b/>
      <w:bCs/>
      <w:color w:val="000000"/>
      <w:sz w:val="32"/>
      <w:szCs w:val="32"/>
    </w:rPr>
  </w:style>
  <w:style w:type="paragraph" w:styleId="4">
    <w:name w:val="heading 2"/>
    <w:basedOn w:val="1"/>
    <w:next w:val="1"/>
    <w:qFormat/>
    <w:uiPriority w:val="0"/>
    <w:pPr>
      <w:keepNext w:val="0"/>
      <w:keepLines w:val="0"/>
      <w:pageBreakBefore w:val="0"/>
      <w:widowControl/>
      <w:kinsoku/>
      <w:wordWrap/>
      <w:overflowPunct/>
      <w:topLinePunct w:val="0"/>
      <w:autoSpaceDE/>
      <w:autoSpaceDN/>
      <w:bidi w:val="0"/>
      <w:adjustRightInd/>
      <w:spacing w:before="260" w:after="260" w:line="580" w:lineRule="exact"/>
      <w:ind w:left="0" w:leftChars="0" w:firstLine="0" w:firstLineChars="0"/>
      <w:jc w:val="center"/>
      <w:textAlignment w:val="auto"/>
      <w:outlineLvl w:val="1"/>
    </w:pPr>
    <w:rPr>
      <w:rFonts w:ascii="Times New Roman" w:hAnsi="Times New Roman" w:eastAsia="楷体_GB2312" w:cs="Times New Roman"/>
      <w:color w:val="000000"/>
      <w:sz w:val="32"/>
      <w:szCs w:val="32"/>
    </w:rPr>
  </w:style>
  <w:style w:type="paragraph" w:styleId="2">
    <w:name w:val="heading 3"/>
    <w:basedOn w:val="1"/>
    <w:next w:val="1"/>
    <w:qFormat/>
    <w:uiPriority w:val="0"/>
    <w:pPr>
      <w:keepNext/>
      <w:keepLines/>
      <w:widowControl w:val="0"/>
      <w:adjustRightInd w:val="0"/>
      <w:spacing w:before="100" w:after="100" w:line="360" w:lineRule="auto"/>
      <w:jc w:val="both"/>
      <w:outlineLvl w:val="2"/>
    </w:pPr>
    <w:rPr>
      <w:rFonts w:ascii="Times New Roman" w:hAnsi="Times New Roman" w:eastAsia="宋体" w:cs="Times New Roman"/>
      <w:b/>
      <w:kern w:val="2"/>
      <w:sz w:val="30"/>
      <w:szCs w:val="24"/>
      <w:lang w:bidi="ar-SA"/>
    </w:rPr>
  </w:style>
  <w:style w:type="paragraph" w:styleId="5">
    <w:name w:val="heading 4"/>
    <w:next w:val="1"/>
    <w:qFormat/>
    <w:uiPriority w:val="0"/>
    <w:pPr>
      <w:keepNext/>
      <w:keepLines/>
      <w:widowControl w:val="0"/>
      <w:adjustRightInd w:val="0"/>
      <w:spacing w:before="100" w:after="100" w:line="360" w:lineRule="auto"/>
      <w:jc w:val="both"/>
      <w:outlineLvl w:val="3"/>
    </w:pPr>
    <w:rPr>
      <w:rFonts w:ascii="Times New Roman" w:hAnsi="Times New Roman" w:eastAsia="宋体" w:cs="Times New Roman"/>
      <w:b/>
      <w:bCs/>
      <w:kern w:val="2"/>
      <w:sz w:val="28"/>
      <w:szCs w:val="28"/>
      <w:lang w:bidi="ar-SA"/>
    </w:rPr>
  </w:style>
  <w:style w:type="paragraph" w:styleId="6">
    <w:name w:val="heading 5"/>
    <w:next w:val="1"/>
    <w:qFormat/>
    <w:uiPriority w:val="0"/>
    <w:pPr>
      <w:keepNext/>
      <w:keepLines/>
      <w:widowControl w:val="0"/>
      <w:adjustRightInd w:val="0"/>
      <w:spacing w:before="100" w:after="100" w:line="360" w:lineRule="auto"/>
      <w:jc w:val="both"/>
      <w:outlineLvl w:val="4"/>
    </w:pPr>
    <w:rPr>
      <w:rFonts w:ascii="Times New Roman" w:hAnsi="Times New Roman" w:eastAsia="宋体" w:cs="Times New Roman"/>
      <w:b/>
      <w:bCs/>
      <w:kern w:val="2"/>
      <w:sz w:val="28"/>
      <w:szCs w:val="28"/>
      <w:lang w:bidi="ar-SA"/>
    </w:rPr>
  </w:style>
  <w:style w:type="paragraph" w:styleId="7">
    <w:name w:val="heading 6"/>
    <w:next w:val="1"/>
    <w:qFormat/>
    <w:uiPriority w:val="0"/>
    <w:pPr>
      <w:keepNext/>
      <w:keepLines/>
      <w:widowControl w:val="0"/>
      <w:adjustRightInd w:val="0"/>
      <w:spacing w:before="100" w:after="100" w:line="360" w:lineRule="auto"/>
      <w:jc w:val="both"/>
      <w:outlineLvl w:val="5"/>
    </w:pPr>
    <w:rPr>
      <w:rFonts w:ascii="Times New Roman" w:hAnsi="Times New Roman" w:eastAsia="宋体" w:cs="Times New Roman"/>
      <w:b/>
      <w:bCs/>
      <w:kern w:val="2"/>
      <w:sz w:val="28"/>
      <w:szCs w:val="24"/>
      <w:lang w:bidi="ar-SA"/>
    </w:rPr>
  </w:style>
  <w:style w:type="paragraph" w:styleId="8">
    <w:name w:val="heading 7"/>
    <w:next w:val="1"/>
    <w:semiHidden/>
    <w:unhideWhenUsed/>
    <w:qFormat/>
    <w:uiPriority w:val="0"/>
    <w:pPr>
      <w:keepNext/>
      <w:keepLines/>
      <w:widowControl w:val="0"/>
      <w:adjustRightInd w:val="0"/>
      <w:spacing w:before="100" w:after="100" w:line="360" w:lineRule="auto"/>
      <w:jc w:val="both"/>
      <w:outlineLvl w:val="6"/>
    </w:pPr>
    <w:rPr>
      <w:rFonts w:ascii="Times New Roman" w:hAnsi="Times New Roman" w:eastAsia="宋体" w:cs="Times New Roman"/>
      <w:b/>
      <w:bCs/>
      <w:kern w:val="2"/>
      <w:sz w:val="24"/>
      <w:szCs w:val="24"/>
      <w:lang w:bidi="ar-SA"/>
    </w:rPr>
  </w:style>
  <w:style w:type="paragraph" w:styleId="9">
    <w:name w:val="heading 8"/>
    <w:next w:val="1"/>
    <w:semiHidden/>
    <w:unhideWhenUsed/>
    <w:qFormat/>
    <w:uiPriority w:val="0"/>
    <w:pPr>
      <w:keepNext/>
      <w:keepLines/>
      <w:widowControl w:val="0"/>
      <w:adjustRightInd w:val="0"/>
      <w:spacing w:before="100" w:after="100" w:line="360" w:lineRule="auto"/>
      <w:jc w:val="both"/>
      <w:outlineLvl w:val="7"/>
    </w:pPr>
    <w:rPr>
      <w:rFonts w:ascii="Times New Roman" w:hAnsi="Times New Roman" w:eastAsia="宋体" w:cs="Times New Roman"/>
      <w:b/>
      <w:kern w:val="2"/>
      <w:sz w:val="24"/>
      <w:szCs w:val="24"/>
      <w:lang w:bidi="ar-SA"/>
    </w:rPr>
  </w:style>
  <w:style w:type="paragraph" w:styleId="10">
    <w:name w:val="heading 9"/>
    <w:next w:val="1"/>
    <w:semiHidden/>
    <w:unhideWhenUsed/>
    <w:qFormat/>
    <w:uiPriority w:val="0"/>
    <w:pPr>
      <w:keepNext/>
      <w:keepLines/>
      <w:widowControl w:val="0"/>
      <w:adjustRightInd w:val="0"/>
      <w:spacing w:before="100" w:after="100" w:line="360" w:lineRule="auto"/>
      <w:jc w:val="both"/>
      <w:outlineLvl w:val="8"/>
    </w:pPr>
    <w:rPr>
      <w:rFonts w:ascii="Times New Roman" w:hAnsi="Times New Roman" w:eastAsia="宋体" w:cs="Times New Roman"/>
      <w:b/>
      <w:kern w:val="2"/>
      <w:sz w:val="21"/>
      <w:szCs w:val="21"/>
      <w:lang w:bidi="ar-SA"/>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11">
    <w:name w:val="table of authorities"/>
    <w:basedOn w:val="1"/>
    <w:next w:val="1"/>
    <w:qFormat/>
    <w:uiPriority w:val="99"/>
    <w:pPr>
      <w:ind w:left="420" w:leftChars="200"/>
    </w:pPr>
    <w:rPr>
      <w:rFonts w:ascii="Calibri" w:hAnsi="Calibri"/>
      <w:sz w:val="21"/>
      <w:szCs w:val="24"/>
    </w:rPr>
  </w:style>
  <w:style w:type="paragraph" w:styleId="12">
    <w:name w:val="annotation text"/>
    <w:basedOn w:val="1"/>
    <w:qFormat/>
    <w:uiPriority w:val="0"/>
    <w:pPr>
      <w:jc w:val="left"/>
    </w:pPr>
  </w:style>
  <w:style w:type="paragraph" w:styleId="13">
    <w:name w:val="index 6"/>
    <w:basedOn w:val="1"/>
    <w:next w:val="1"/>
    <w:qFormat/>
    <w:uiPriority w:val="0"/>
    <w:pPr>
      <w:widowControl w:val="0"/>
      <w:ind w:firstLine="840"/>
      <w:jc w:val="both"/>
    </w:pPr>
    <w:rPr>
      <w:rFonts w:ascii="Calibri" w:hAnsi="Calibri" w:eastAsia="宋体" w:cs="Arial"/>
      <w:kern w:val="2"/>
      <w:sz w:val="21"/>
      <w:szCs w:val="24"/>
      <w:lang w:val="en-US" w:eastAsia="zh-CN" w:bidi="ar-SA"/>
    </w:rPr>
  </w:style>
  <w:style w:type="paragraph" w:styleId="14">
    <w:name w:val="Body Text"/>
    <w:basedOn w:val="1"/>
    <w:qFormat/>
    <w:uiPriority w:val="0"/>
    <w:pPr>
      <w:keepNext w:val="0"/>
      <w:keepLines w:val="0"/>
      <w:pageBreakBefore w:val="0"/>
      <w:widowControl w:val="0"/>
      <w:kinsoku/>
      <w:wordWrap/>
      <w:overflowPunct/>
      <w:topLinePunct w:val="0"/>
      <w:autoSpaceDE/>
      <w:autoSpaceDN/>
      <w:bidi w:val="0"/>
      <w:adjustRightInd/>
      <w:spacing w:line="580" w:lineRule="exact"/>
      <w:ind w:left="0" w:leftChars="0" w:right="0" w:rightChars="0" w:firstLine="640" w:firstLineChars="200"/>
      <w:jc w:val="left"/>
      <w:textAlignment w:val="auto"/>
      <w:outlineLvl w:val="9"/>
    </w:pPr>
    <w:rPr>
      <w:rFonts w:ascii="仿宋_GB2312" w:hAnsi="Calibri" w:eastAsia="仿宋_GB2312" w:cs="Times New Roman"/>
      <w:sz w:val="32"/>
    </w:rPr>
  </w:style>
  <w:style w:type="paragraph" w:styleId="15">
    <w:name w:val="footer"/>
    <w:basedOn w:val="1"/>
    <w:next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style>
  <w:style w:type="paragraph" w:styleId="18">
    <w:name w:val="Subtitle"/>
    <w:qFormat/>
    <w:uiPriority w:val="0"/>
    <w:pPr>
      <w:widowControl w:val="0"/>
      <w:adjustRightInd w:val="0"/>
      <w:spacing w:before="100" w:after="100" w:line="240" w:lineRule="auto"/>
      <w:jc w:val="center"/>
      <w:outlineLvl w:val="9"/>
    </w:pPr>
    <w:rPr>
      <w:rFonts w:ascii="Times New Roman" w:hAnsi="Times New Roman" w:eastAsia="黑体" w:cs="Times New Roman"/>
      <w:b/>
      <w:kern w:val="28"/>
      <w:sz w:val="32"/>
      <w:szCs w:val="24"/>
      <w:lang w:bidi="ar-SA"/>
    </w:rPr>
  </w:style>
  <w:style w:type="paragraph" w:styleId="19">
    <w:name w:val="footnote text"/>
    <w:link w:val="36"/>
    <w:semiHidden/>
    <w:unhideWhenUsed/>
    <w:qFormat/>
    <w:uiPriority w:val="99"/>
    <w:pPr>
      <w:spacing w:after="0" w:line="240" w:lineRule="auto"/>
    </w:pPr>
    <w:rPr>
      <w:rFonts w:asciiTheme="minorHAnsi" w:hAnsiTheme="minorHAnsi" w:eastAsiaTheme="minorEastAsia" w:cstheme="minorBidi"/>
      <w:sz w:val="20"/>
      <w:szCs w:val="20"/>
    </w:rPr>
  </w:style>
  <w:style w:type="paragraph" w:styleId="20">
    <w:name w:val="toc 2"/>
    <w:basedOn w:val="1"/>
    <w:next w:val="1"/>
    <w:qFormat/>
    <w:uiPriority w:val="0"/>
    <w:pPr>
      <w:ind w:left="420" w:leftChars="200"/>
    </w:pPr>
  </w:style>
  <w:style w:type="paragraph" w:styleId="2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2">
    <w:name w:val="Title"/>
    <w:qFormat/>
    <w:uiPriority w:val="0"/>
    <w:pPr>
      <w:widowControl/>
      <w:adjustRightInd/>
      <w:spacing w:before="0" w:beforeAutospacing="0" w:after="0" w:afterAutospacing="0" w:line="240" w:lineRule="auto"/>
      <w:jc w:val="center"/>
      <w:outlineLvl w:val="9"/>
    </w:pPr>
    <w:rPr>
      <w:rFonts w:ascii="方正公文小标宋" w:hAnsi="方正公文小标宋" w:eastAsia="方正公文小标宋" w:cs="方正公文小标宋"/>
      <w:b/>
      <w:bCs/>
      <w:kern w:val="0"/>
      <w:sz w:val="60"/>
      <w:szCs w:val="60"/>
      <w:lang w:bidi="ar-SA"/>
    </w:rPr>
  </w:style>
  <w:style w:type="paragraph" w:styleId="23">
    <w:name w:val="Body Text First Indent"/>
    <w:basedOn w:val="14"/>
    <w:next w:val="13"/>
    <w:qFormat/>
    <w:uiPriority w:val="0"/>
    <w:pPr>
      <w:spacing w:after="0"/>
      <w:ind w:firstLine="650"/>
    </w:pPr>
    <w:rPr>
      <w:rFonts w:ascii="Calibri" w:hAnsi="Calibri" w:cs="Times New Roman"/>
      <w:szCs w:val="24"/>
    </w:rPr>
  </w:style>
  <w:style w:type="paragraph" w:styleId="24">
    <w:name w:val="Body Text First Indent 2"/>
    <w:next w:val="1"/>
    <w:qFormat/>
    <w:uiPriority w:val="0"/>
    <w:pPr>
      <w:widowControl w:val="0"/>
      <w:spacing w:line="560" w:lineRule="exact"/>
      <w:ind w:firstLine="420" w:firstLineChars="200"/>
      <w:jc w:val="both"/>
    </w:pPr>
    <w:rPr>
      <w:rFonts w:ascii="Calibri" w:hAnsi="Calibri" w:eastAsia="微软雅黑" w:cs="Times New Roman"/>
      <w:kern w:val="2"/>
      <w:sz w:val="32"/>
      <w:szCs w:val="24"/>
      <w:lang w:val="en-US" w:eastAsia="zh-CN" w:bidi="ar-SA"/>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Emphasis"/>
    <w:basedOn w:val="27"/>
    <w:qFormat/>
    <w:uiPriority w:val="0"/>
    <w:rPr>
      <w:i/>
    </w:rPr>
  </w:style>
  <w:style w:type="character" w:styleId="30">
    <w:name w:val="Hyperlink"/>
    <w:unhideWhenUsed/>
    <w:qFormat/>
    <w:uiPriority w:val="99"/>
    <w:rPr>
      <w:color w:val="0563C1"/>
      <w:u w:val="single"/>
    </w:rPr>
  </w:style>
  <w:style w:type="character" w:styleId="31">
    <w:name w:val="footnote reference"/>
    <w:semiHidden/>
    <w:unhideWhenUsed/>
    <w:qFormat/>
    <w:uiPriority w:val="99"/>
    <w:rPr>
      <w:vertAlign w:val="superscript"/>
    </w:rPr>
  </w:style>
  <w:style w:type="paragraph" w:customStyle="1" w:styleId="32">
    <w:name w:val="正文首行缩进 21"/>
    <w:next w:val="33"/>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paragraph" w:customStyle="1" w:styleId="33">
    <w:name w:val="纯文本1"/>
    <w:next w:val="34"/>
    <w:qFormat/>
    <w:uiPriority w:val="0"/>
    <w:pPr>
      <w:widowControl w:val="0"/>
      <w:jc w:val="both"/>
    </w:pPr>
    <w:rPr>
      <w:rFonts w:ascii="宋体" w:hAnsi="Courier New" w:eastAsia="宋体" w:cs="Times New Roman"/>
      <w:kern w:val="2"/>
      <w:sz w:val="28"/>
      <w:lang w:val="en-US" w:eastAsia="zh-CN" w:bidi="ar-SA"/>
    </w:rPr>
  </w:style>
  <w:style w:type="paragraph" w:customStyle="1" w:styleId="34">
    <w:name w:val="列表编号 51"/>
    <w:qFormat/>
    <w:uiPriority w:val="0"/>
    <w:pPr>
      <w:widowControl w:val="0"/>
      <w:numPr>
        <w:ilvl w:val="0"/>
        <w:numId w:val="1"/>
      </w:numPr>
      <w:jc w:val="both"/>
    </w:pPr>
    <w:rPr>
      <w:rFonts w:ascii="Calibri" w:hAnsi="Calibri" w:eastAsia="宋体" w:cs="Times New Roman"/>
      <w:kern w:val="2"/>
      <w:sz w:val="21"/>
      <w:szCs w:val="24"/>
      <w:lang w:val="en-US" w:eastAsia="zh-CN" w:bidi="ar-SA"/>
    </w:rPr>
  </w:style>
  <w:style w:type="paragraph" w:styleId="35">
    <w:name w:val="List Paragraph"/>
    <w:qFormat/>
    <w:uiPriority w:val="0"/>
    <w:pPr>
      <w:spacing w:line="360" w:lineRule="atLeast"/>
      <w:ind w:firstLine="240"/>
      <w:jc w:val="left"/>
    </w:pPr>
    <w:rPr>
      <w:rFonts w:ascii="微软雅黑" w:hAnsi="微软雅黑" w:eastAsia="微软雅黑" w:cs="微软雅黑"/>
      <w:color w:val="000000"/>
      <w:sz w:val="24"/>
      <w:szCs w:val="24"/>
    </w:rPr>
  </w:style>
  <w:style w:type="character" w:customStyle="1" w:styleId="36">
    <w:name w:val="Footnote Text Char"/>
    <w:link w:val="19"/>
    <w:semiHidden/>
    <w:unhideWhenUsed/>
    <w:qFormat/>
    <w:uiPriority w:val="99"/>
    <w:rPr>
      <w:sz w:val="20"/>
      <w:szCs w:val="20"/>
    </w:rPr>
  </w:style>
  <w:style w:type="paragraph" w:customStyle="1" w:styleId="37">
    <w:name w:val="_Style 13"/>
    <w:qFormat/>
    <w:uiPriority w:val="0"/>
    <w:pPr>
      <w:spacing w:line="360" w:lineRule="atLeast"/>
      <w:ind w:firstLine="240"/>
      <w:jc w:val="left"/>
    </w:pPr>
    <w:rPr>
      <w:rFonts w:ascii="宋体" w:hAnsi="宋体" w:eastAsia="宋体" w:cs="宋体"/>
      <w:color w:val="000000"/>
      <w:sz w:val="24"/>
      <w:szCs w:val="24"/>
    </w:rPr>
  </w:style>
  <w:style w:type="paragraph" w:customStyle="1" w:styleId="38">
    <w:name w:val="05H正文"/>
    <w:basedOn w:val="1"/>
    <w:qFormat/>
    <w:uiPriority w:val="0"/>
    <w:pPr>
      <w:ind w:firstLine="200" w:firstLineChars="200"/>
    </w:pPr>
    <w:rPr>
      <w:rFonts w:ascii="宋体"/>
      <w:sz w:val="28"/>
      <w:szCs w:val="28"/>
    </w:rPr>
  </w:style>
  <w:style w:type="paragraph" w:customStyle="1" w:styleId="39">
    <w:name w:val="Body Text First Indent 21"/>
    <w:basedOn w:val="40"/>
    <w:qFormat/>
    <w:uiPriority w:val="0"/>
    <w:pPr>
      <w:ind w:left="0" w:firstLine="420" w:firstLineChars="200"/>
    </w:pPr>
  </w:style>
  <w:style w:type="paragraph" w:customStyle="1" w:styleId="40">
    <w:name w:val="Body Text Indent1"/>
    <w:basedOn w:val="1"/>
    <w:qFormat/>
    <w:uiPriority w:val="0"/>
    <w:pPr>
      <w:ind w:left="420" w:leftChars="200"/>
    </w:pPr>
  </w:style>
  <w:style w:type="paragraph" w:customStyle="1" w:styleId="41">
    <w:name w:val="Table Text"/>
    <w:basedOn w:val="1"/>
    <w:semiHidden/>
    <w:qFormat/>
    <w:uiPriority w:val="0"/>
    <w:rPr>
      <w:rFonts w:ascii="宋体" w:hAnsi="宋体" w:eastAsia="宋体" w:cs="宋体"/>
      <w:sz w:val="22"/>
      <w:szCs w:val="22"/>
      <w:lang w:val="en-US" w:eastAsia="en-US" w:bidi="ar-SA"/>
    </w:rPr>
  </w:style>
  <w:style w:type="table" w:customStyle="1" w:styleId="4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ca58be30-a942-43c8-9255-7a1d325b1bf8</errorID>
      <errorWord>风光迤逦</errorWord>
      <group>L1_Word</group>
      <groupName>字词问题</groupName>
      <ability>L2_Alias</ability>
      <abilityName>也作/曾用词</abilityName>
      <candidateList>
        <item>风光旖旎</item>
      </candidateList>
      <explain>词汇[风光迤逦]为不规范表述或旧称，其规范书面表述为[风光旖旎]。</explain>
      <paraID>2645E9BC</paraID>
      <start>320</start>
      <end>324</end>
      <status>unmodified</status>
      <modifiedWord/>
      <trackRevisions>false</trackRevisions>
    </reviewItem>
    <reviewItem>
      <errorID>11688504-35f8-41b5-a6db-b7b819360845</errorID>
      <errorWord>造</errorWord>
      <group>L1_Word</group>
      <groupName>字词问题</groupName>
      <ability>L2_Typo</ability>
      <abilityName>字词错误</abilityName>
      <candidateList>
        <item>造了</item>
      </candidateList>
      <explain/>
      <paraID>2645E9BC</paraID>
      <start>384</start>
      <end>385</end>
      <status>unmodified</status>
      <modifiedWord/>
      <trackRevisions>false</trackRevisions>
    </reviewItem>
    <reviewItem>
      <errorID>ee0b1b76-5951-4055-952d-b31c0d0d455f</errorID>
      <errorWord>巩留</errorWord>
      <group>L1_Word</group>
      <groupName>字词问题</groupName>
      <ability>L2_Typo</ability>
      <abilityName>字词错误</abilityName>
      <candidateList>
        <item>巩固</item>
      </candidateList>
      <explain/>
      <paraID>7346023F</paraID>
      <start>75</start>
      <end>77</end>
      <status>unmodified</status>
      <modifiedWord/>
      <trackRevisions>false</trackRevisions>
    </reviewItem>
    <reviewItem>
      <errorID>5afa39e1-c164-4552-8b30-38b16349f6d8</errorID>
      <errorWord>生态安全重要屏障</errorWord>
      <group>L1_Word</group>
      <groupName>字词问题</groupName>
      <ability>L2_Typo</ability>
      <abilityName>字词错误</abilityName>
      <candidateList>
        <item>重要生态安全屏障</item>
      </candidateList>
      <explain/>
      <paraID>7346023F</paraID>
      <start>77</start>
      <end>85</end>
      <status>unmodified</status>
      <modifiedWord/>
      <trackRevisions>false</trackRevisions>
    </reviewItem>
    <reviewItem>
      <errorID>fa7ae4e6-92e7-46b1-b5b2-7851121e2617</errorID>
      <errorWord>农业机械化服务体系</errorWord>
      <group>L1_Political</group>
      <groupName>政治性问题</groupName>
      <ability>L2_Keyword</ability>
      <abilityName>固定表述</abilityName>
      <candidateList>
        <item>农业社会化服务体系</item>
      </candidateList>
      <explain>词汇“农业社会化服务体系”在特定场景下为固定表述形式，请确认此处的“农业机械化服务体系”是否存在不当。</explain>
      <paraID>4BD29C8F</paraID>
      <start>336</start>
      <end>345</end>
      <status>unmodified</status>
      <modifiedWord/>
      <trackRevisions>false</trackRevisions>
    </reviewItem>
    <reviewItem>
      <errorID>c6c66268-9592-48b4-8058-148cab45a6b2</errorID>
      <errorWord>全面创新的机制</errorWord>
      <group>L1_Political</group>
      <groupName>政治性问题</groupName>
      <ability>L2_Keyword</ability>
      <abilityName>固定表述</abilityName>
      <candidateList>
        <item>全面创新体制机制</item>
      </candidateList>
      <explain>词汇“全面创新体制机制”在特定场景下为固定表述形式，请确认此处的“全面创新的机制”是否存在不当。</explain>
      <paraID>60DF1AFD</paraID>
      <start>4</start>
      <end>11</end>
      <status>unmodified</status>
      <modifiedWord/>
      <trackRevisions>false</trackRevisions>
    </reviewItem>
    <reviewItem>
      <errorID>dffc752b-a873-4927-8211-0a97130c2980</errorID>
      <errorWord>上云用数赋智</errorWord>
      <group>L1_Political</group>
      <groupName>政治性问题</groupName>
      <ability>L2_Keyword</ability>
      <abilityName>固定表述</abilityName>
      <candidateList>
        <item>“上云用数赋智”</item>
      </candidateList>
      <explain>注意检查当前固定表述标点是否使用规范。</explain>
      <paraID>5F6F9762</paraID>
      <start>401</start>
      <end>407</end>
      <status>unmodified</status>
      <modifiedWord/>
      <trackRevisions>false</trackRevisions>
    </reviewItem>
    <reviewItem>
      <errorID>e7b5fc9e-c1ec-45e2-b410-15e6e072ac77</errorID>
      <errorWord>高效办成“一件事”</errorWord>
      <group>L1_Political</group>
      <groupName>政治性问题</groupName>
      <ability>L2_Keyword</ability>
      <abilityName>固定表述</abilityName>
      <candidateList>
        <item>“高效办成一件事”</item>
      </candidateList>
      <explain>注意检查当前固定表述标点是否使用规范。</explain>
      <paraID>1F6BE416</paraID>
      <start>160</start>
      <end>169</end>
      <status>modified</status>
      <modifiedWord>“高效办成一件事”</modifiedWord>
      <trackRevisions>false</trackRevisions>
    </reviewItem>
    <reviewItem>
      <errorID>03be392c-6b5d-4737-b39e-57f056d548d7</errorID>
      <errorWord>“三权”分置</errorWord>
      <group>L1_Political</group>
      <groupName>政治性问题</groupName>
      <ability>L2_Keyword</ability>
      <abilityName>固定表述</abilityName>
      <candidateList>
        <item>“三权分置”</item>
      </candidateList>
      <explain>注意检查当前固定表述标点是否使用规范。</explain>
      <paraID>6CBB9918</paraID>
      <start>48</start>
      <end>54</end>
      <status>modified</status>
      <modifiedWord>“三权分置”</modifiedWord>
      <trackRevisions>false</trackRevisions>
    </reviewItem>
    <reviewItem>
      <errorID>6edd6d78-1921-4dc4-aaed-6c0beab4bc35</errorID>
      <errorWord>医疗优质资源扩容下沉和区域均衡布局</errorWord>
      <group>L1_Political</group>
      <groupName>政治性问题</groupName>
      <ability>L2_Keyword</ability>
      <abilityName>固定表述</abilityName>
      <candidateList>
        <item>优质医疗资源扩容下沉和区域均衡布局</item>
      </candidateList>
      <explain>词汇“优质医疗资源扩容下沉和区域均衡布局”在特定场景下为固定表述形式，请确认此处的“医疗优质资源扩容下沉和区域均衡布局”是否存在不当。</explain>
      <paraID>2D1439DE</paraID>
      <start>114</start>
      <end>131</end>
      <status>unmodified</status>
      <modifiedWord/>
      <trackRevisions>false</trackRevisions>
    </reviewItem>
    <reviewItem>
      <errorID>52703f97-0c10-46ce-9cbc-a752d045c1c5</errorID>
      <errorWord>湿地保护与修复</errorWord>
      <group>L1_Political</group>
      <groupName>政治性问题</groupName>
      <ability>L2_Keyword</ability>
      <abilityName>固定表述</abilityName>
      <candidateList>
        <item>湿地保护修复</item>
      </candidateList>
      <explain>词汇“湿地保护修复”在特定场景下为固定表述形式，请确认此处的“湿地保护与修复”是否存在不当。</explain>
      <paraID>738924D7</paraID>
      <start>22</start>
      <end>28</end>
      <status>modified</status>
      <modifiedWord>湿地保护修复</modifiedWord>
      <trackRevisions>false</trackRevisions>
    </reviewItem>
    <reviewItem>
      <errorID>701e1f68-b58c-4c55-b200-17d11a11ff66</errorID>
      <errorWord>湿地保护与修复</errorWord>
      <group>L1_Political</group>
      <groupName>政治性问题</groupName>
      <ability>L2_Keyword</ability>
      <abilityName>固定表述</abilityName>
      <candidateList>
        <item>湿地保护修复</item>
      </candidateList>
      <explain>词汇“湿地保护修复”在特定场景下为固定表述形式，请确认此处的“湿地保护与修复”是否存在不当。</explain>
      <paraID>738924D7</paraID>
      <start>39</start>
      <end>45</end>
      <status>modified</status>
      <modifiedWord>湿地保护修复</modifiedWord>
      <trackRevisions>false</trackRevisions>
    </reviewItem>
    <reviewItem>
      <errorID>2e659696-eaa0-4a58-8bc0-db67ea491684</errorID>
      <errorWord>产品碳标识制度</errorWord>
      <group>L1_Political</group>
      <groupName>政治性问题</groupName>
      <ability>L2_Keyword</ability>
      <abilityName>固定表述</abilityName>
      <candidateList>
        <item>产品碳标识认证制度</item>
      </candidateList>
      <explain>词汇“产品碳标识认证制度”在特定场景下为固定表述形式，请确认此处的“产品碳标识制度”是否存在不当。</explain>
      <paraID>6383C8D4</paraID>
      <start>302</start>
      <end>311</end>
      <status>modified</status>
      <modifiedWord>产品碳标识认证制度</modifiedWord>
      <trackRevisions>false</trackRevisions>
    </reviewItem>
    <reviewItem>
      <errorID>6e0b89f1-89f7-422f-b5af-c22761a5203c</errorID>
      <errorWord>食品药品安全全过程监管</errorWord>
      <group>L1_Political</group>
      <groupName>政治性问题</groupName>
      <ability>L2_Keyword</ability>
      <abilityName>固定表述</abilityName>
      <candidateList>
        <item>食品药品安全全链条监管</item>
      </candidateList>
      <explain>词汇“食品药品安全全链条监管”在特定场景下为固定表述形式，请确认此处的“食品药品安全全过程监管”是否存在不当。</explain>
      <paraID> A0D75DC</paraID>
      <start>240</start>
      <end>251</end>
      <status>modified</status>
      <modifiedWord>食品药品安全全链条监管</modifiedWord>
      <trackRevisions>false</trackRevisions>
    </reviewItem>
    <reviewItem>
      <errorID>b71ab85d-4706-4a3d-b796-bb02b575e283</errorID>
      <errorWord>村（社区）工作职责准入制度</errorWord>
      <group>L1_Political</group>
      <groupName>政治性问题</groupName>
      <ability>L2_Keyword</ability>
      <abilityName>固定表述</abilityName>
      <candidateList>
        <item>村（社区）工作事项准入制度</item>
      </candidateList>
      <explain>词汇“村（社区）工作事项准入制度”在特定场景下为固定表述形式，请确认此处的“村（社区）工作职责准入制度”是否存在不当。</explain>
      <paraID>7498BBAD</paraID>
      <start>273</start>
      <end>286</end>
      <status>modified</status>
      <modifiedWord>村（社区）工作事项准入制度</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5f0ced-57ad-4991-ac7f-b4d72aefa1df}">
  <ds:schemaRefs/>
</ds:datastoreItem>
</file>

<file path=docProps/app.xml><?xml version="1.0" encoding="utf-8"?>
<Properties xmlns="http://schemas.openxmlformats.org/officeDocument/2006/extended-properties" xmlns:vt="http://schemas.openxmlformats.org/officeDocument/2006/docPropsVTypes">
  <Pages>96</Pages>
  <Words>7156</Words>
  <Characters>7392</Characters>
  <TotalTime>419</TotalTime>
  <ScaleCrop>false</ScaleCrop>
  <LinksUpToDate>false</LinksUpToDate>
  <CharactersWithSpaces>7974</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2025-09-06T12:37:00Z</dcterms:created>
  <dc:creator>Un-named</dc:creator>
  <cp:lastModifiedBy>森</cp:lastModifiedBy>
  <cp:lastPrinted>2026-10-14T17:52:00Z</cp:lastPrinted>
  <dcterms:modified xsi:type="dcterms:W3CDTF">2026-10-22T05:03:08Z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eyJoZGlkIjoiZmE5NzUwODczZDE4M2Y3OTJjOTI3YmNmYzI1MGJkZWYiLCJ1c2VySWQiOiI2MTg2MTg1MDIifQ==</vt:lpwstr>
  </property>
  <property fmtid="{D5CDD505-2E9C-101B-9397-08002B2CF9AE}" pid="3" name="KSOProductBuildVer">
    <vt:lpwstr>2052-12.1.0.29161</vt:lpwstr>
  </property>
  <property fmtid="{D5CDD505-2E9C-101B-9397-08002B2CF9AE}" pid="4" name="ICV">
    <vt:lpwstr>4D47F643430F4319AE725DB701BE75C1_13</vt:lpwstr>
  </property>
</Properties>
</file>