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C81ECA">
      <w:pPr>
        <w:pStyle w:val="15"/>
        <w:widowControl/>
        <w:rPr>
          <w:color w:val="auto"/>
          <w:highlight w:val="none"/>
        </w:rPr>
      </w:pPr>
      <mc:AlternateContent>
        <mc:Choice Requires="wpsCustomData">
          <wpsCustomData:docfieldStart id="0" docfieldname="标题_1" hidden="0" print="1" readonly="0" index="4"/>
        </mc:Choice>
      </mc:AlternateContent>
      <w:bookmarkStart w:id="0" w:name="OLE_LINK1"/>
      <w:r>
        <w:rPr>
          <w:color w:val="auto"/>
          <w:highlight w:val="none"/>
        </w:rPr>
        <w:t>巩留县高标准农田建设项目建后管护办法</w:t>
      </w:r>
    </w:p>
    <w:p w14:paraId="1851DDD0">
      <w:pPr>
        <w:pStyle w:val="29"/>
        <w:widowControl/>
        <w:numPr>
          <w:ilvl w:val="0"/>
          <w:numId w:val="0"/>
        </w:numPr>
        <w:ind w:leftChars="0"/>
        <w:rPr>
          <w:b w:val="0"/>
          <w:color w:val="auto"/>
          <w:highlight w:val="none"/>
        </w:rPr>
      </w:pPr>
      <w:r>
        <w:rPr>
          <w:rFonts w:hint="eastAsia"/>
          <w:color w:val="auto"/>
          <w:highlight w:val="none"/>
          <w:lang w:eastAsia="zh-CN"/>
        </w:rPr>
        <w:t>第一章</w:t>
      </w:r>
      <w:r>
        <w:rPr>
          <w:rFonts w:hint="eastAsia" w:ascii="仿宋" w:hAnsi="仿宋" w:eastAsia="仿宋" w:cs="仿宋"/>
          <w:bCs/>
          <w:color w:val="auto"/>
          <w:spacing w:val="-6"/>
          <w:kern w:val="44"/>
          <w:sz w:val="32"/>
          <w:szCs w:val="32"/>
          <w:highlight w:val="none"/>
          <w:lang w:eastAsia="zh-CN" w:bidi="ar-SA"/>
        </w:rPr>
        <w:t xml:space="preserve"> </w:t>
      </w:r>
      <mc:AlternateContent>
        <mc:Choice Requires="wpsCustomData">
          <wpsCustomData:docfieldEnd id="0"/>
        </mc:Choice>
      </mc:AlternateContent>
      <w:r>
        <w:rPr>
          <w:color w:val="auto"/>
          <w:highlight w:val="none"/>
        </w:rPr>
        <w:t>总则</w:t>
      </w:r>
    </w:p>
    <w:p w14:paraId="26D325E2">
      <w:pPr>
        <w:pStyle w:val="11"/>
        <w:bidi w:val="0"/>
        <w:spacing w:beforeAutospacing="0" w:afterAutospacing="0" w:line="300" w:lineRule="exact"/>
        <w:rPr>
          <w:rFonts w:hint="eastAsia"/>
          <w:color w:val="auto"/>
          <w:lang w:eastAsia="zh-CN"/>
        </w:rPr>
      </w:pPr>
    </w:p>
    <w:p w14:paraId="4B3595A4">
      <w:pPr>
        <w:pStyle w:val="2"/>
        <w:keepNext w:val="0"/>
        <w:keepLines w:val="0"/>
        <w:widowControl w:val="0"/>
        <w:numPr>
          <w:ilvl w:val="0"/>
          <w:numId w:val="0"/>
        </w:numPr>
        <w:ind w:left="0" w:leftChars="0" w:firstLine="640"/>
        <w:rPr>
          <w:b w:val="0"/>
          <w:color w:val="auto"/>
          <w:highlight w:val="none"/>
        </w:rPr>
      </w:pPr>
      <w:r>
        <w:rPr>
          <w:rFonts w:hint="eastAsia"/>
          <w:color w:val="auto"/>
          <w:highlight w:val="none"/>
          <w:lang w:eastAsia="zh-CN"/>
        </w:rPr>
        <w:t>第一条</w:t>
      </w:r>
      <w:r>
        <w:rPr>
          <w:rFonts w:hint="eastAsia" w:ascii="仿宋" w:hAnsi="仿宋" w:eastAsia="仿宋" w:cs="仿宋"/>
          <w:color w:val="auto"/>
          <w:kern w:val="44"/>
          <w:sz w:val="32"/>
          <w:szCs w:val="32"/>
          <w:highlight w:val="none"/>
          <w:lang w:eastAsia="zh-CN"/>
        </w:rPr>
        <w:t xml:space="preserve"> </w:t>
      </w:r>
      <w:r>
        <w:rPr>
          <w:color w:val="auto"/>
          <w:highlight w:val="none"/>
        </w:rPr>
        <w:t>制定依据与目的</w:t>
      </w:r>
    </w:p>
    <w:p w14:paraId="43262485">
      <w:pPr>
        <w:pStyle w:val="11"/>
        <w:widowControl w:val="0"/>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为落实</w:t>
      </w:r>
      <w:r>
        <w:rPr>
          <w:rFonts w:hint="eastAsia" w:cs="仿宋_GB2312"/>
          <w:color w:val="auto"/>
          <w:sz w:val="32"/>
          <w:szCs w:val="32"/>
          <w:highlight w:val="none"/>
          <w:lang w:eastAsia="zh-CN"/>
        </w:rPr>
        <w:t>《中共中央办公厅 国务院办公厅</w:t>
      </w:r>
      <w:r>
        <w:rPr>
          <w:rFonts w:ascii="Times New Roman" w:hAnsi="Times New Roman" w:eastAsia="仿宋_GB2312" w:cs="仿宋_GB2312"/>
          <w:color w:val="auto"/>
          <w:sz w:val="32"/>
          <w:szCs w:val="32"/>
          <w:highlight w:val="none"/>
        </w:rPr>
        <w:t>关于印发〈逐步把永久基本农田建成高标准农田实施方案〉的通知》《国务院办公厅关于切实加强高标准农田建设提升国家粮食安全保障能力的意见》《农业农村部〈高标准农田工程设施管护办法（试行）〉》《新疆维吾尔自治区高标准农田项目建设验收管护实施办法</w:t>
      </w:r>
      <w:r>
        <w:rPr>
          <w:rFonts w:hint="eastAsia" w:cs="仿宋_GB2312"/>
          <w:color w:val="auto"/>
          <w:sz w:val="32"/>
          <w:szCs w:val="32"/>
          <w:highlight w:val="none"/>
          <w:lang w:eastAsia="zh-CN"/>
        </w:rPr>
        <w:t>》等</w:t>
      </w:r>
      <w:r>
        <w:rPr>
          <w:rFonts w:ascii="Times New Roman" w:hAnsi="Times New Roman" w:eastAsia="仿宋_GB2312" w:cs="仿宋_GB2312"/>
          <w:color w:val="auto"/>
          <w:sz w:val="32"/>
          <w:szCs w:val="32"/>
          <w:highlight w:val="none"/>
        </w:rPr>
        <w:t>规定，破解“重建轻管、管护缺位、运维不规范”等问题，健全建后管护长效机制，规范资产移交、管护运维、经费使用、监督考核等全流程管理，保障农田设施完好长效运行、稳定发挥粮食产能，结合巩留县实际，制定本办法。</w:t>
      </w:r>
    </w:p>
    <w:p w14:paraId="7F3C6F39">
      <w:pPr>
        <w:pStyle w:val="2"/>
        <w:keepNext w:val="0"/>
        <w:keepLines w:val="0"/>
        <w:widowControl w:val="0"/>
        <w:numPr>
          <w:ilvl w:val="0"/>
          <w:numId w:val="0"/>
        </w:numPr>
        <w:ind w:left="0" w:leftChars="0" w:firstLine="640"/>
        <w:rPr>
          <w:b w:val="0"/>
          <w:color w:val="auto"/>
          <w:highlight w:val="none"/>
        </w:rPr>
      </w:pPr>
      <w:r>
        <w:rPr>
          <w:rFonts w:hint="eastAsia"/>
          <w:color w:val="auto"/>
          <w:highlight w:val="none"/>
          <w:lang w:eastAsia="zh-CN"/>
        </w:rPr>
        <w:t>第二条</w:t>
      </w:r>
      <w:r>
        <w:rPr>
          <w:rFonts w:hint="eastAsia" w:ascii="仿宋" w:hAnsi="仿宋" w:eastAsia="仿宋" w:cs="仿宋"/>
          <w:color w:val="auto"/>
          <w:kern w:val="44"/>
          <w:sz w:val="32"/>
          <w:szCs w:val="32"/>
          <w:highlight w:val="none"/>
          <w:lang w:eastAsia="zh-CN"/>
        </w:rPr>
        <w:t xml:space="preserve"> </w:t>
      </w:r>
      <w:r>
        <w:rPr>
          <w:color w:val="auto"/>
          <w:highlight w:val="none"/>
        </w:rPr>
        <w:t xml:space="preserve">适用范围 </w:t>
      </w:r>
    </w:p>
    <w:p w14:paraId="70F63461">
      <w:pPr>
        <w:pStyle w:val="11"/>
        <w:widowControl w:val="0"/>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本县行政区域内各级财政资金投资建成、竣工验收交付使用的高标准农田全部纳入本办法管护范围。管护范围包含田块整治、灌排系统（泵房、配电变压器、沉砂池、干支斗渠、检查井、滴灌管网、闸阀、出水桩、过滤设备）、田间机耕道路、农田防护林、输配电线路、标识标牌及其他附属工程（详见附件 1 管护设施清单）。</w:t>
      </w:r>
    </w:p>
    <w:p w14:paraId="7FCAD64E">
      <w:pPr>
        <w:pStyle w:val="2"/>
        <w:keepNext w:val="0"/>
        <w:keepLines w:val="0"/>
        <w:widowControl w:val="0"/>
        <w:numPr>
          <w:ilvl w:val="0"/>
          <w:numId w:val="0"/>
        </w:numPr>
        <w:ind w:left="0" w:leftChars="0" w:firstLine="640"/>
        <w:rPr>
          <w:b w:val="0"/>
          <w:color w:val="auto"/>
          <w:highlight w:val="none"/>
        </w:rPr>
      </w:pPr>
      <w:r>
        <w:rPr>
          <w:rFonts w:hint="eastAsia"/>
          <w:color w:val="auto"/>
          <w:highlight w:val="none"/>
          <w:lang w:eastAsia="zh-CN"/>
        </w:rPr>
        <w:t>第三条</w:t>
      </w:r>
      <w:r>
        <w:rPr>
          <w:rFonts w:hint="eastAsia" w:ascii="仿宋" w:hAnsi="仿宋" w:eastAsia="仿宋" w:cs="仿宋"/>
          <w:color w:val="auto"/>
          <w:kern w:val="44"/>
          <w:sz w:val="32"/>
          <w:szCs w:val="32"/>
          <w:highlight w:val="none"/>
          <w:lang w:eastAsia="zh-CN"/>
        </w:rPr>
        <w:t xml:space="preserve"> </w:t>
      </w:r>
      <w:r>
        <w:rPr>
          <w:color w:val="auto"/>
          <w:highlight w:val="none"/>
        </w:rPr>
        <w:t xml:space="preserve">管护原则 </w:t>
      </w:r>
    </w:p>
    <w:p w14:paraId="60A4962A">
      <w:pPr>
        <w:pStyle w:val="11"/>
        <w:widowControl w:val="0"/>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严格遵循</w:t>
      </w:r>
      <w:r>
        <w:rPr>
          <w:rFonts w:ascii="Times New Roman" w:hAnsi="Times New Roman" w:eastAsia="仿宋_GB2312" w:cs="仿宋_GB2312"/>
          <w:b/>
          <w:color w:val="auto"/>
          <w:sz w:val="32"/>
          <w:szCs w:val="32"/>
          <w:highlight w:val="none"/>
        </w:rPr>
        <w:t>“县级监管、乡镇主管、村为主体、受益共担、市场运维、以费养管、专款专用、保险兜底”原则</w:t>
      </w:r>
      <w:r>
        <w:rPr>
          <w:rFonts w:ascii="Times New Roman" w:hAnsi="Times New Roman" w:eastAsia="仿宋_GB2312" w:cs="仿宋_GB2312"/>
          <w:color w:val="auto"/>
          <w:sz w:val="32"/>
          <w:szCs w:val="32"/>
          <w:highlight w:val="none"/>
        </w:rPr>
        <w:t>，压实“</w:t>
      </w:r>
      <w:r>
        <w:rPr>
          <w:rFonts w:ascii="Times New Roman" w:hAnsi="Times New Roman" w:eastAsia="仿宋_GB2312" w:cs="仿宋_GB2312"/>
          <w:b/>
          <w:color w:val="auto"/>
          <w:sz w:val="32"/>
          <w:szCs w:val="32"/>
          <w:highlight w:val="none"/>
        </w:rPr>
        <w:t>谁受益、谁管护、谁出资、谁负责”</w:t>
      </w:r>
      <w:r>
        <w:rPr>
          <w:rFonts w:ascii="Times New Roman" w:hAnsi="Times New Roman" w:eastAsia="仿宋_GB2312" w:cs="仿宋_GB2312"/>
          <w:color w:val="auto"/>
          <w:sz w:val="32"/>
          <w:szCs w:val="32"/>
          <w:highlight w:val="none"/>
        </w:rPr>
        <w:t xml:space="preserve">责任，实现设施有人管护、经费有保障、运维有标准、成效可追溯、机制可复制。     </w:t>
      </w:r>
    </w:p>
    <w:p w14:paraId="298F272A">
      <w:pPr>
        <w:pStyle w:val="11"/>
        <w:widowControl w:val="0"/>
        <w:ind w:left="0" w:leftChars="0" w:firstLine="0" w:firstLineChars="0"/>
        <w:jc w:val="center"/>
        <w:rPr>
          <w:rFonts w:hint="eastAsia" w:ascii="黑体" w:hAnsi="黑体" w:eastAsia="黑体" w:cs="黑体"/>
          <w:bCs/>
          <w:color w:val="auto"/>
          <w:spacing w:val="-6"/>
          <w:kern w:val="44"/>
          <w:sz w:val="32"/>
          <w:szCs w:val="32"/>
          <w:highlight w:val="none"/>
          <w:lang w:eastAsia="zh-CN" w:bidi="ar-SA"/>
        </w:rPr>
      </w:pPr>
      <w:r>
        <w:rPr>
          <w:rFonts w:hint="eastAsia" w:ascii="黑体" w:hAnsi="黑体" w:eastAsia="黑体" w:cs="黑体"/>
          <w:bCs/>
          <w:color w:val="auto"/>
          <w:spacing w:val="-6"/>
          <w:kern w:val="44"/>
          <w:sz w:val="32"/>
          <w:szCs w:val="32"/>
          <w:highlight w:val="none"/>
          <w:lang w:eastAsia="zh-CN" w:bidi="ar-SA"/>
        </w:rPr>
        <w:t>第二章 资产权属与分级移交</w:t>
      </w:r>
    </w:p>
    <w:p w14:paraId="73DE478D">
      <w:pPr>
        <w:pStyle w:val="2"/>
        <w:keepNext w:val="0"/>
        <w:keepLines w:val="0"/>
        <w:widowControl w:val="0"/>
        <w:numPr>
          <w:ilvl w:val="0"/>
          <w:numId w:val="0"/>
        </w:numPr>
        <w:ind w:left="0" w:leftChars="0" w:firstLine="640"/>
        <w:rPr>
          <w:b w:val="0"/>
          <w:color w:val="auto"/>
          <w:highlight w:val="none"/>
        </w:rPr>
      </w:pPr>
      <w:r>
        <w:rPr>
          <w:rFonts w:hint="eastAsia"/>
          <w:color w:val="auto"/>
          <w:highlight w:val="none"/>
          <w:lang w:eastAsia="zh-CN"/>
        </w:rPr>
        <w:t>第四条</w:t>
      </w:r>
      <w:r>
        <w:rPr>
          <w:rFonts w:hint="eastAsia" w:ascii="仿宋" w:hAnsi="仿宋" w:eastAsia="仿宋" w:cs="仿宋"/>
          <w:color w:val="auto"/>
          <w:kern w:val="44"/>
          <w:sz w:val="32"/>
          <w:szCs w:val="32"/>
          <w:highlight w:val="none"/>
          <w:lang w:eastAsia="zh-CN"/>
        </w:rPr>
        <w:t xml:space="preserve"> </w:t>
      </w:r>
      <w:r>
        <w:rPr>
          <w:color w:val="auto"/>
          <w:highlight w:val="none"/>
        </w:rPr>
        <w:t>资产权属划分</w:t>
      </w:r>
    </w:p>
    <w:p w14:paraId="316BEF80">
      <w:pPr>
        <w:pStyle w:val="11"/>
        <w:widowControl w:val="0"/>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高标准农田项目竣工验收决算后，形成的固定资产</w:t>
      </w:r>
      <w:r>
        <w:rPr>
          <w:rFonts w:ascii="Times New Roman" w:hAnsi="Times New Roman" w:eastAsia="仿宋_GB2312" w:cs="仿宋_GB2312"/>
          <w:b/>
          <w:color w:val="auto"/>
          <w:sz w:val="32"/>
          <w:szCs w:val="32"/>
          <w:highlight w:val="none"/>
        </w:rPr>
        <w:t>所有权归属项目所在乡镇人民政府</w:t>
      </w:r>
      <w:r>
        <w:rPr>
          <w:rFonts w:ascii="Times New Roman" w:hAnsi="Times New Roman" w:eastAsia="仿宋_GB2312" w:cs="仿宋_GB2312"/>
          <w:color w:val="auto"/>
          <w:sz w:val="32"/>
          <w:szCs w:val="32"/>
          <w:highlight w:val="none"/>
        </w:rPr>
        <w:t>。乡镇依法将日常管护使用权移交项目所属村集体经济组织，村集体经济组织为设施日常管护主体。资产确权、台账登记纳入项目竣工验收及审计核查必备内容。</w:t>
      </w:r>
    </w:p>
    <w:p w14:paraId="14CFBDF8">
      <w:pPr>
        <w:pStyle w:val="2"/>
        <w:keepNext w:val="0"/>
        <w:keepLines w:val="0"/>
        <w:widowControl w:val="0"/>
        <w:numPr>
          <w:ilvl w:val="0"/>
          <w:numId w:val="0"/>
        </w:numPr>
        <w:ind w:left="0" w:leftChars="0" w:firstLine="640"/>
        <w:rPr>
          <w:b w:val="0"/>
          <w:color w:val="auto"/>
          <w:highlight w:val="none"/>
        </w:rPr>
      </w:pPr>
      <w:r>
        <w:rPr>
          <w:rFonts w:hint="eastAsia"/>
          <w:color w:val="auto"/>
          <w:highlight w:val="none"/>
          <w:lang w:eastAsia="zh-CN"/>
        </w:rPr>
        <w:t>第五条</w:t>
      </w:r>
      <w:r>
        <w:rPr>
          <w:rFonts w:hint="eastAsia" w:ascii="仿宋" w:hAnsi="仿宋" w:eastAsia="仿宋" w:cs="仿宋"/>
          <w:color w:val="auto"/>
          <w:kern w:val="44"/>
          <w:sz w:val="32"/>
          <w:szCs w:val="32"/>
          <w:highlight w:val="none"/>
          <w:lang w:eastAsia="zh-CN"/>
        </w:rPr>
        <w:t xml:space="preserve"> </w:t>
      </w:r>
      <w:r>
        <w:rPr>
          <w:color w:val="auto"/>
          <w:highlight w:val="none"/>
        </w:rPr>
        <w:t>分级移交程序</w:t>
      </w:r>
    </w:p>
    <w:p w14:paraId="00B79CFA">
      <w:pPr>
        <w:pStyle w:val="11"/>
        <w:widowControl w:val="0"/>
        <w:numPr>
          <w:ilvl w:val="0"/>
          <w:numId w:val="0"/>
        </w:numPr>
        <w:ind w:left="0" w:leftChars="0" w:firstLine="616"/>
        <w:rPr>
          <w:rFonts w:ascii="Times New Roman" w:hAnsi="Times New Roman" w:eastAsia="仿宋_GB2312" w:cs="仿宋_GB2312"/>
          <w:b/>
          <w:color w:val="auto"/>
          <w:sz w:val="32"/>
          <w:szCs w:val="32"/>
          <w:highlight w:val="none"/>
        </w:rPr>
      </w:pPr>
      <w:r>
        <w:rPr>
          <w:rFonts w:hint="eastAsia" w:cs="仿宋_GB2312"/>
          <w:b/>
          <w:color w:val="auto"/>
          <w:sz w:val="32"/>
          <w:szCs w:val="32"/>
          <w:highlight w:val="none"/>
          <w:lang w:eastAsia="zh-CN"/>
        </w:rPr>
        <w:t>1.</w:t>
      </w:r>
      <w:r>
        <w:rPr>
          <w:rFonts w:hint="eastAsia" w:ascii="仿宋" w:hAnsi="仿宋" w:eastAsia="仿宋" w:cs="仿宋"/>
          <w:b/>
          <w:color w:val="auto"/>
          <w:spacing w:val="-6"/>
          <w:sz w:val="32"/>
          <w:szCs w:val="32"/>
          <w:highlight w:val="none"/>
          <w:lang w:eastAsia="zh-CN"/>
        </w:rPr>
        <w:t xml:space="preserve"> </w:t>
      </w:r>
      <w:r>
        <w:rPr>
          <w:rFonts w:ascii="Times New Roman" w:hAnsi="Times New Roman" w:eastAsia="仿宋_GB2312" w:cs="仿宋_GB2312"/>
          <w:b/>
          <w:color w:val="auto"/>
          <w:sz w:val="32"/>
          <w:szCs w:val="32"/>
          <w:highlight w:val="none"/>
        </w:rPr>
        <w:t>县级移交乡镇：</w:t>
      </w:r>
      <w:r>
        <w:rPr>
          <w:rFonts w:ascii="Times New Roman" w:hAnsi="Times New Roman" w:eastAsia="仿宋_GB2312" w:cs="仿宋_GB2312"/>
          <w:color w:val="auto"/>
          <w:sz w:val="32"/>
          <w:szCs w:val="32"/>
          <w:highlight w:val="none"/>
        </w:rPr>
        <w:t>县农业农村局在项目竣工验收及完成审计后30 个工作日内，组织项目参建单位、乡镇开展实物盘点、资料交割，签订《高标准农田项目资产移交协议书》，形成资产交付清单，明确管护要求和标准，同步移交竣工图纸、设备说明书、备品备件清单等项目全套档案资料。</w:t>
      </w:r>
    </w:p>
    <w:p w14:paraId="1F0DDA0B">
      <w:pPr>
        <w:pStyle w:val="11"/>
        <w:widowControl w:val="0"/>
        <w:numPr>
          <w:ilvl w:val="0"/>
          <w:numId w:val="0"/>
        </w:numPr>
        <w:ind w:left="0" w:leftChars="0" w:firstLine="616"/>
        <w:rPr>
          <w:rFonts w:ascii="Times New Roman" w:hAnsi="Times New Roman" w:eastAsia="仿宋_GB2312" w:cs="仿宋_GB2312"/>
          <w:b/>
          <w:color w:val="auto"/>
          <w:sz w:val="32"/>
          <w:szCs w:val="32"/>
          <w:highlight w:val="none"/>
        </w:rPr>
      </w:pPr>
      <w:r>
        <w:rPr>
          <w:rFonts w:hint="eastAsia" w:cs="仿宋_GB2312"/>
          <w:b/>
          <w:color w:val="auto"/>
          <w:sz w:val="32"/>
          <w:szCs w:val="32"/>
          <w:highlight w:val="none"/>
          <w:lang w:eastAsia="zh-CN"/>
        </w:rPr>
        <w:t>2.</w:t>
      </w:r>
      <w:r>
        <w:rPr>
          <w:rFonts w:hint="eastAsia" w:ascii="仿宋" w:hAnsi="仿宋" w:eastAsia="仿宋" w:cs="仿宋"/>
          <w:b/>
          <w:color w:val="auto"/>
          <w:spacing w:val="-6"/>
          <w:sz w:val="32"/>
          <w:szCs w:val="32"/>
          <w:highlight w:val="none"/>
          <w:lang w:eastAsia="zh-CN"/>
        </w:rPr>
        <w:t xml:space="preserve"> </w:t>
      </w:r>
      <w:r>
        <w:rPr>
          <w:rFonts w:ascii="Times New Roman" w:hAnsi="Times New Roman" w:eastAsia="仿宋_GB2312" w:cs="仿宋_GB2312"/>
          <w:b/>
          <w:color w:val="auto"/>
          <w:sz w:val="32"/>
          <w:szCs w:val="32"/>
          <w:highlight w:val="none"/>
        </w:rPr>
        <w:t>乡镇移交村集体：</w:t>
      </w:r>
      <w:r>
        <w:rPr>
          <w:rFonts w:ascii="Times New Roman" w:hAnsi="Times New Roman" w:eastAsia="仿宋_GB2312" w:cs="仿宋_GB2312"/>
          <w:color w:val="auto"/>
          <w:sz w:val="32"/>
          <w:szCs w:val="32"/>
          <w:highlight w:val="none"/>
        </w:rPr>
        <w:t>乡镇接收资产30个工作日内，实地核查工程现状，逐项登记造册，将管护使用权移交村集体经济组织，签订管护权责移交文书，明确管护边界、运维标准及违约责任。</w:t>
      </w:r>
    </w:p>
    <w:p w14:paraId="7172ACD0">
      <w:pPr>
        <w:pStyle w:val="11"/>
        <w:widowControl w:val="0"/>
        <w:numPr>
          <w:ilvl w:val="0"/>
          <w:numId w:val="0"/>
        </w:numPr>
        <w:ind w:left="0" w:leftChars="0" w:firstLine="616"/>
        <w:rPr>
          <w:rFonts w:ascii="Times New Roman" w:hAnsi="Times New Roman" w:eastAsia="仿宋_GB2312" w:cs="仿宋_GB2312"/>
          <w:b w:val="0"/>
          <w:color w:val="auto"/>
          <w:sz w:val="32"/>
          <w:szCs w:val="32"/>
          <w:highlight w:val="none"/>
        </w:rPr>
      </w:pPr>
      <w:r>
        <w:rPr>
          <w:rFonts w:hint="eastAsia" w:cs="仿宋_GB2312"/>
          <w:color w:val="auto"/>
          <w:sz w:val="32"/>
          <w:szCs w:val="32"/>
          <w:highlight w:val="none"/>
          <w:lang w:eastAsia="zh-CN"/>
        </w:rPr>
        <w:t>3.</w:t>
      </w:r>
      <w:r>
        <w:rPr>
          <w:rFonts w:hint="eastAsia" w:ascii="仿宋" w:hAnsi="仿宋" w:eastAsia="仿宋" w:cs="仿宋"/>
          <w:color w:val="auto"/>
          <w:spacing w:val="-6"/>
          <w:sz w:val="32"/>
          <w:szCs w:val="32"/>
          <w:highlight w:val="none"/>
          <w:lang w:eastAsia="zh-CN"/>
        </w:rPr>
        <w:t xml:space="preserve"> </w:t>
      </w:r>
      <w:r>
        <w:rPr>
          <w:rFonts w:ascii="Times New Roman" w:hAnsi="Times New Roman" w:eastAsia="仿宋_GB2312" w:cs="仿宋_GB2312"/>
          <w:color w:val="auto"/>
          <w:sz w:val="32"/>
          <w:szCs w:val="32"/>
          <w:highlight w:val="none"/>
        </w:rPr>
        <w:t>移交资料一式五份【县农业农村局、乡镇</w:t>
      </w:r>
      <w:r>
        <w:rPr>
          <w:rFonts w:hint="eastAsia" w:cs="仿宋_GB2312"/>
          <w:color w:val="auto"/>
          <w:sz w:val="32"/>
          <w:szCs w:val="32"/>
          <w:highlight w:val="none"/>
          <w:lang w:val="en-US" w:eastAsia="zh-CN"/>
        </w:rPr>
        <w:t>人民</w:t>
      </w:r>
      <w:r>
        <w:rPr>
          <w:rFonts w:ascii="Times New Roman" w:hAnsi="Times New Roman" w:eastAsia="仿宋_GB2312" w:cs="仿宋_GB2312"/>
          <w:color w:val="auto"/>
          <w:sz w:val="32"/>
          <w:szCs w:val="32"/>
          <w:highlight w:val="none"/>
        </w:rPr>
        <w:t>政府、村集体</w:t>
      </w:r>
      <w:r>
        <w:rPr>
          <w:rFonts w:hint="eastAsia" w:cs="仿宋_GB2312"/>
          <w:color w:val="auto"/>
          <w:sz w:val="32"/>
          <w:szCs w:val="32"/>
          <w:highlight w:val="none"/>
          <w:lang w:val="en-US" w:eastAsia="zh-CN"/>
        </w:rPr>
        <w:t>经济组织</w:t>
      </w:r>
      <w:r>
        <w:rPr>
          <w:rFonts w:ascii="Times New Roman" w:hAnsi="Times New Roman" w:eastAsia="仿宋_GB2312" w:cs="仿宋_GB2312"/>
          <w:color w:val="auto"/>
          <w:sz w:val="32"/>
          <w:szCs w:val="32"/>
          <w:highlight w:val="none"/>
        </w:rPr>
        <w:t>、乡镇项目办及农经站（纳入三资平台）各存1份】，全程留痕归档。</w:t>
      </w:r>
    </w:p>
    <w:p w14:paraId="575CA494">
      <w:pPr>
        <w:pStyle w:val="29"/>
        <w:widowControl w:val="0"/>
        <w:numPr>
          <w:ilvl w:val="0"/>
          <w:numId w:val="0"/>
        </w:numPr>
        <w:ind w:leftChars="0"/>
        <w:rPr>
          <w:b w:val="0"/>
          <w:color w:val="auto"/>
          <w:highlight w:val="none"/>
        </w:rPr>
      </w:pPr>
      <w:r>
        <w:rPr>
          <w:rFonts w:hint="eastAsia"/>
          <w:color w:val="auto"/>
          <w:highlight w:val="none"/>
          <w:lang w:eastAsia="zh-CN"/>
        </w:rPr>
        <w:t>第</w:t>
      </w:r>
      <w:r>
        <w:rPr>
          <w:rFonts w:hint="eastAsia"/>
          <w:color w:val="auto"/>
          <w:highlight w:val="none"/>
          <w:lang w:val="en-US" w:eastAsia="zh-CN"/>
        </w:rPr>
        <w:t>三</w:t>
      </w:r>
      <w:r>
        <w:rPr>
          <w:rFonts w:hint="eastAsia"/>
          <w:color w:val="auto"/>
          <w:highlight w:val="none"/>
          <w:lang w:eastAsia="zh-CN"/>
        </w:rPr>
        <w:t>章</w:t>
      </w:r>
      <w:r>
        <w:rPr>
          <w:rFonts w:hint="eastAsia" w:ascii="仿宋" w:hAnsi="仿宋" w:eastAsia="仿宋" w:cs="仿宋"/>
          <w:bCs/>
          <w:color w:val="auto"/>
          <w:spacing w:val="-6"/>
          <w:kern w:val="44"/>
          <w:sz w:val="32"/>
          <w:szCs w:val="32"/>
          <w:highlight w:val="none"/>
          <w:lang w:eastAsia="zh-CN" w:bidi="ar-SA"/>
        </w:rPr>
        <w:t xml:space="preserve"> </w:t>
      </w:r>
      <w:r>
        <w:rPr>
          <w:color w:val="auto"/>
          <w:highlight w:val="none"/>
        </w:rPr>
        <w:t>分级职责分工</w:t>
      </w:r>
    </w:p>
    <w:p w14:paraId="1822B17D">
      <w:pPr>
        <w:pStyle w:val="11"/>
        <w:widowControl w:val="0"/>
        <w:numPr>
          <w:ilvl w:val="0"/>
          <w:numId w:val="0"/>
        </w:numPr>
        <w:ind w:left="0" w:leftChars="0" w:firstLine="616"/>
        <w:rPr>
          <w:rFonts w:ascii="Times New Roman" w:hAnsi="Times New Roman" w:eastAsia="仿宋_GB2312" w:cs="仿宋_GB2312"/>
          <w:b/>
          <w:color w:val="auto"/>
          <w:sz w:val="32"/>
          <w:szCs w:val="32"/>
          <w:highlight w:val="none"/>
        </w:rPr>
      </w:pPr>
      <w:r>
        <w:rPr>
          <w:rFonts w:hint="eastAsia" w:cs="仿宋_GB2312"/>
          <w:b/>
          <w:color w:val="auto"/>
          <w:sz w:val="32"/>
          <w:szCs w:val="32"/>
          <w:highlight w:val="none"/>
          <w:lang w:eastAsia="zh-CN"/>
        </w:rPr>
        <w:t>第六条　</w:t>
      </w:r>
      <w:r>
        <w:rPr>
          <w:rFonts w:ascii="Times New Roman" w:hAnsi="Times New Roman" w:eastAsia="仿宋_GB2312" w:cs="仿宋_GB2312"/>
          <w:b/>
          <w:color w:val="auto"/>
          <w:sz w:val="32"/>
          <w:szCs w:val="32"/>
          <w:highlight w:val="none"/>
        </w:rPr>
        <w:t>县农业农村局（行业监管责任）</w:t>
      </w:r>
    </w:p>
    <w:p w14:paraId="661CB66A">
      <w:pPr>
        <w:pStyle w:val="11"/>
        <w:widowControl w:val="0"/>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作为行业主管部门，主要履行以下职责：</w:t>
      </w:r>
    </w:p>
    <w:p w14:paraId="3DD7F0A6">
      <w:pPr>
        <w:pStyle w:val="11"/>
        <w:widowControl w:val="0"/>
        <w:numPr>
          <w:ilvl w:val="0"/>
          <w:numId w:val="0"/>
        </w:numPr>
        <w:ind w:left="0" w:leftChars="0" w:firstLine="616"/>
        <w:rPr>
          <w:rFonts w:ascii="Times New Roman" w:hAnsi="Times New Roman" w:eastAsia="仿宋_GB2312" w:cs="仿宋_GB2312"/>
          <w:b w:val="0"/>
          <w:color w:val="auto"/>
          <w:sz w:val="32"/>
          <w:szCs w:val="32"/>
          <w:highlight w:val="none"/>
        </w:rPr>
      </w:pPr>
      <w:r>
        <w:rPr>
          <w:rFonts w:hint="eastAsia" w:cs="仿宋_GB2312"/>
          <w:color w:val="auto"/>
          <w:sz w:val="32"/>
          <w:szCs w:val="32"/>
          <w:highlight w:val="none"/>
          <w:lang w:eastAsia="zh-CN"/>
        </w:rPr>
        <w:t>1.</w:t>
      </w:r>
      <w:r>
        <w:rPr>
          <w:rFonts w:hint="eastAsia" w:ascii="仿宋" w:hAnsi="仿宋" w:eastAsia="仿宋" w:cs="仿宋"/>
          <w:color w:val="auto"/>
          <w:spacing w:val="-6"/>
          <w:sz w:val="32"/>
          <w:szCs w:val="32"/>
          <w:highlight w:val="none"/>
          <w:lang w:eastAsia="zh-CN"/>
        </w:rPr>
        <w:t xml:space="preserve"> </w:t>
      </w:r>
      <w:r>
        <w:rPr>
          <w:rFonts w:ascii="Times New Roman" w:hAnsi="Times New Roman" w:eastAsia="仿宋_GB2312" w:cs="仿宋_GB2312"/>
          <w:color w:val="auto"/>
          <w:sz w:val="32"/>
          <w:szCs w:val="32"/>
          <w:highlight w:val="none"/>
        </w:rPr>
        <w:t>制定全县统一管护制度、技术标准和考核细则，统筹管护政策落地；</w:t>
      </w:r>
    </w:p>
    <w:p w14:paraId="2037D8D6">
      <w:pPr>
        <w:pStyle w:val="11"/>
        <w:widowControl w:val="0"/>
        <w:numPr>
          <w:ilvl w:val="0"/>
          <w:numId w:val="0"/>
        </w:numPr>
        <w:ind w:left="0" w:leftChars="0" w:firstLine="616"/>
        <w:rPr>
          <w:rFonts w:ascii="Times New Roman" w:hAnsi="Times New Roman" w:eastAsia="仿宋_GB2312" w:cs="仿宋_GB2312"/>
          <w:b w:val="0"/>
          <w:color w:val="auto"/>
          <w:sz w:val="32"/>
          <w:szCs w:val="32"/>
          <w:highlight w:val="none"/>
        </w:rPr>
      </w:pPr>
      <w:r>
        <w:rPr>
          <w:rFonts w:hint="eastAsia" w:cs="仿宋_GB2312"/>
          <w:color w:val="auto"/>
          <w:spacing wpsCustomData:val="-6" w:val="-6"/>
          <w:sz w:val="32"/>
          <w:szCs w:val="32"/>
          <w:highlight w:val="none"/>
          <w:lang w:eastAsia="zh-CN"/>
        </w:rPr>
        <w:t>2.</w:t>
      </w:r>
      <w:r>
        <w:rPr>
          <w:rFonts w:hint="eastAsia" w:ascii="仿宋" w:hAnsi="仿宋" w:eastAsia="仿宋" w:cs="仿宋"/>
          <w:color w:val="auto"/>
          <w:spacing wpsCustomData:val="-6" w:val="-3"/>
          <w:sz w:val="32"/>
          <w:szCs w:val="32"/>
          <w:highlight w:val="none"/>
          <w:lang w:eastAsia="zh-CN"/>
        </w:rPr>
        <w:t xml:space="preserve"> </w:t>
      </w:r>
      <w:r>
        <w:rPr>
          <w:rFonts w:ascii="Times New Roman" w:hAnsi="Times New Roman" w:eastAsia="仿宋_GB2312" w:cs="仿宋_GB2312"/>
          <w:color w:val="auto"/>
          <w:spacing wpsCustomData:val="-6" w:val="-3"/>
          <w:sz w:val="32"/>
          <w:szCs w:val="32"/>
          <w:highlight w:val="none"/>
        </w:rPr>
        <w:t>统筹项目竣工验收、资产移交、建后“回头看”、年度专</w:t>
      </w:r>
      <w:r>
        <w:rPr>
          <w:rFonts w:ascii="Times New Roman" w:hAnsi="Times New Roman" w:eastAsia="仿宋_GB2312" w:cs="仿宋_GB2312"/>
          <w:color w:val="auto"/>
          <w:spacing wpsCustomData:val="-6" w:val="-6"/>
          <w:sz w:val="32"/>
          <w:szCs w:val="32"/>
          <w:highlight w:val="none"/>
        </w:rPr>
        <w:t>项</w:t>
      </w:r>
      <w:r>
        <w:rPr>
          <w:rFonts w:ascii="Times New Roman" w:hAnsi="Times New Roman" w:eastAsia="仿宋_GB2312" w:cs="仿宋_GB2312"/>
          <w:color w:val="auto"/>
          <w:sz w:val="32"/>
          <w:szCs w:val="32"/>
          <w:highlight w:val="none"/>
        </w:rPr>
        <w:t>督查；</w:t>
      </w:r>
    </w:p>
    <w:p w14:paraId="19865CFD">
      <w:pPr>
        <w:pStyle w:val="11"/>
        <w:widowControl w:val="0"/>
        <w:numPr>
          <w:ilvl w:val="0"/>
          <w:numId w:val="0"/>
        </w:numPr>
        <w:ind w:left="0" w:leftChars="0" w:firstLine="616"/>
        <w:rPr>
          <w:rFonts w:ascii="Times New Roman" w:hAnsi="Times New Roman" w:eastAsia="仿宋_GB2312" w:cs="仿宋_GB2312"/>
          <w:b w:val="0"/>
          <w:color w:val="auto"/>
          <w:sz w:val="32"/>
          <w:szCs w:val="32"/>
          <w:highlight w:val="none"/>
        </w:rPr>
      </w:pPr>
      <w:r>
        <w:rPr>
          <w:rFonts w:hint="eastAsia" w:cs="仿宋_GB2312"/>
          <w:color w:val="auto"/>
          <w:sz w:val="32"/>
          <w:szCs w:val="32"/>
          <w:highlight w:val="none"/>
          <w:lang w:eastAsia="zh-CN"/>
        </w:rPr>
        <w:t>3.</w:t>
      </w:r>
      <w:r>
        <w:rPr>
          <w:rFonts w:hint="eastAsia" w:ascii="仿宋" w:hAnsi="仿宋" w:eastAsia="仿宋" w:cs="仿宋"/>
          <w:color w:val="auto"/>
          <w:spacing w:val="-6"/>
          <w:sz w:val="32"/>
          <w:szCs w:val="32"/>
          <w:highlight w:val="none"/>
          <w:lang w:eastAsia="zh-CN"/>
        </w:rPr>
        <w:t xml:space="preserve"> </w:t>
      </w:r>
      <w:r>
        <w:rPr>
          <w:rFonts w:ascii="Times New Roman" w:hAnsi="Times New Roman" w:eastAsia="仿宋_GB2312" w:cs="仿宋_GB2312"/>
          <w:color w:val="auto"/>
          <w:sz w:val="32"/>
          <w:szCs w:val="32"/>
          <w:highlight w:val="none"/>
        </w:rPr>
        <w:t>争取和统筹管护专项补助资金，按政策计提县级管护专项资金、监管使用；</w:t>
      </w:r>
    </w:p>
    <w:p w14:paraId="52AA282E">
      <w:pPr>
        <w:pStyle w:val="11"/>
        <w:widowControl w:val="0"/>
        <w:numPr>
          <w:ilvl w:val="0"/>
          <w:numId w:val="0"/>
        </w:numPr>
        <w:ind w:left="0" w:leftChars="0" w:firstLine="616"/>
        <w:rPr>
          <w:rFonts w:ascii="Times New Roman" w:hAnsi="Times New Roman" w:eastAsia="仿宋_GB2312" w:cs="仿宋_GB2312"/>
          <w:b w:val="0"/>
          <w:color w:val="auto"/>
          <w:sz w:val="32"/>
          <w:szCs w:val="32"/>
          <w:highlight w:val="none"/>
        </w:rPr>
      </w:pPr>
      <w:r>
        <w:rPr>
          <w:rFonts w:hint="eastAsia" w:cs="仿宋_GB2312"/>
          <w:color w:val="auto"/>
          <w:sz w:val="32"/>
          <w:szCs w:val="32"/>
          <w:highlight w:val="none"/>
          <w:lang w:eastAsia="zh-CN"/>
        </w:rPr>
        <w:t>4.</w:t>
      </w:r>
      <w:r>
        <w:rPr>
          <w:rFonts w:hint="eastAsia" w:ascii="仿宋" w:hAnsi="仿宋" w:eastAsia="仿宋" w:cs="仿宋"/>
          <w:color w:val="auto"/>
          <w:spacing w:val="-6"/>
          <w:sz w:val="32"/>
          <w:szCs w:val="32"/>
          <w:highlight w:val="none"/>
          <w:lang w:eastAsia="zh-CN"/>
        </w:rPr>
        <w:t xml:space="preserve"> </w:t>
      </w:r>
      <w:r>
        <w:rPr>
          <w:rFonts w:ascii="Times New Roman" w:hAnsi="Times New Roman" w:eastAsia="仿宋_GB2312" w:cs="仿宋_GB2312"/>
          <w:color w:val="auto"/>
          <w:sz w:val="32"/>
          <w:szCs w:val="32"/>
          <w:highlight w:val="none"/>
        </w:rPr>
        <w:t>统筹管护人员技能培训、持证上岗管理；</w:t>
      </w:r>
    </w:p>
    <w:p w14:paraId="64D4577B">
      <w:pPr>
        <w:pStyle w:val="11"/>
        <w:widowControl w:val="0"/>
        <w:numPr>
          <w:ilvl w:val="0"/>
          <w:numId w:val="0"/>
        </w:numPr>
        <w:ind w:left="0" w:leftChars="0" w:firstLine="616"/>
        <w:rPr>
          <w:rFonts w:ascii="Times New Roman" w:hAnsi="Times New Roman" w:eastAsia="仿宋_GB2312" w:cs="仿宋_GB2312"/>
          <w:b w:val="0"/>
          <w:color w:val="auto"/>
          <w:sz w:val="32"/>
          <w:szCs w:val="32"/>
          <w:highlight w:val="none"/>
        </w:rPr>
      </w:pPr>
      <w:r>
        <w:rPr>
          <w:rFonts w:hint="eastAsia" w:cs="仿宋_GB2312"/>
          <w:color w:val="auto"/>
          <w:sz w:val="32"/>
          <w:szCs w:val="32"/>
          <w:highlight w:val="none"/>
          <w:lang w:eastAsia="zh-CN"/>
        </w:rPr>
        <w:t>5.</w:t>
      </w:r>
      <w:r>
        <w:rPr>
          <w:rFonts w:hint="eastAsia" w:ascii="仿宋" w:hAnsi="仿宋" w:eastAsia="仿宋" w:cs="仿宋"/>
          <w:color w:val="auto"/>
          <w:spacing w:val="-6"/>
          <w:sz w:val="32"/>
          <w:szCs w:val="32"/>
          <w:highlight w:val="none"/>
          <w:lang w:eastAsia="zh-CN"/>
        </w:rPr>
        <w:t xml:space="preserve"> </w:t>
      </w:r>
      <w:r>
        <w:rPr>
          <w:rFonts w:ascii="Times New Roman" w:hAnsi="Times New Roman" w:eastAsia="仿宋_GB2312" w:cs="仿宋_GB2312"/>
          <w:color w:val="auto"/>
          <w:sz w:val="32"/>
          <w:szCs w:val="32"/>
          <w:highlight w:val="none"/>
        </w:rPr>
        <w:t>开展年度管护考评，考评结果与各乡镇项目申报、资金分配挂钩；</w:t>
      </w:r>
    </w:p>
    <w:p w14:paraId="412D03AB">
      <w:pPr>
        <w:pStyle w:val="11"/>
        <w:widowControl w:val="0"/>
        <w:numPr>
          <w:ilvl w:val="0"/>
          <w:numId w:val="0"/>
        </w:numPr>
        <w:ind w:left="0" w:leftChars="0" w:firstLine="616"/>
        <w:rPr>
          <w:rFonts w:ascii="Times New Roman" w:hAnsi="Times New Roman" w:eastAsia="仿宋_GB2312" w:cs="仿宋_GB2312"/>
          <w:b w:val="0"/>
          <w:color w:val="auto"/>
          <w:sz w:val="32"/>
          <w:szCs w:val="32"/>
          <w:highlight w:val="none"/>
        </w:rPr>
      </w:pPr>
      <w:r>
        <w:rPr>
          <w:rFonts w:hint="eastAsia" w:cs="仿宋_GB2312"/>
          <w:color w:val="auto"/>
          <w:sz w:val="32"/>
          <w:szCs w:val="32"/>
          <w:highlight w:val="none"/>
          <w:lang w:eastAsia="zh-CN"/>
        </w:rPr>
        <w:t>6.</w:t>
      </w:r>
      <w:r>
        <w:rPr>
          <w:rFonts w:hint="eastAsia" w:ascii="仿宋" w:hAnsi="仿宋" w:eastAsia="仿宋" w:cs="仿宋"/>
          <w:color w:val="auto"/>
          <w:spacing w:val="-6"/>
          <w:sz w:val="32"/>
          <w:szCs w:val="32"/>
          <w:highlight w:val="none"/>
          <w:lang w:eastAsia="zh-CN"/>
        </w:rPr>
        <w:t xml:space="preserve"> </w:t>
      </w:r>
      <w:r>
        <w:rPr>
          <w:rFonts w:ascii="Times New Roman" w:hAnsi="Times New Roman" w:eastAsia="仿宋_GB2312" w:cs="仿宋_GB2312"/>
          <w:color w:val="auto"/>
          <w:sz w:val="32"/>
          <w:szCs w:val="32"/>
          <w:highlight w:val="none"/>
        </w:rPr>
        <w:t>设立管护投诉举报渠道，受理重大设施损毁、乱收费、挪用管护资金投诉核查。</w:t>
      </w:r>
    </w:p>
    <w:p w14:paraId="76F285DE">
      <w:pPr>
        <w:pStyle w:val="11"/>
        <w:widowControl w:val="0"/>
        <w:numPr>
          <w:ilvl w:val="0"/>
          <w:numId w:val="0"/>
        </w:numPr>
        <w:ind w:left="0" w:leftChars="0" w:firstLine="616"/>
        <w:rPr>
          <w:rFonts w:ascii="Times New Roman" w:hAnsi="Times New Roman" w:eastAsia="仿宋_GB2312" w:cs="仿宋_GB2312"/>
          <w:b/>
          <w:color w:val="auto"/>
          <w:sz w:val="32"/>
          <w:szCs w:val="32"/>
          <w:highlight w:val="none"/>
        </w:rPr>
      </w:pPr>
      <w:r>
        <w:rPr>
          <w:rFonts w:hint="eastAsia" w:cs="仿宋_GB2312"/>
          <w:b/>
          <w:color w:val="auto"/>
          <w:sz w:val="32"/>
          <w:szCs w:val="32"/>
          <w:highlight w:val="none"/>
          <w:lang w:eastAsia="zh-CN"/>
        </w:rPr>
        <w:t>第七条　</w:t>
      </w:r>
      <w:r>
        <w:rPr>
          <w:rFonts w:ascii="Times New Roman" w:hAnsi="Times New Roman" w:eastAsia="仿宋_GB2312" w:cs="仿宋_GB2312"/>
          <w:b/>
          <w:color w:val="auto"/>
          <w:sz w:val="32"/>
          <w:szCs w:val="32"/>
          <w:highlight w:val="none"/>
        </w:rPr>
        <w:t>乡镇党委、政府（属地主体责任）</w:t>
      </w:r>
    </w:p>
    <w:p w14:paraId="5106922E">
      <w:pPr>
        <w:pStyle w:val="11"/>
        <w:widowControl w:val="0"/>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乡镇党政主要负责人为辖区管护第一责任人，分管副职具体抓落实：</w:t>
      </w:r>
    </w:p>
    <w:p w14:paraId="0422C45C">
      <w:pPr>
        <w:pStyle w:val="11"/>
        <w:widowControl w:val="0"/>
        <w:numPr>
          <w:ilvl w:val="0"/>
          <w:numId w:val="0"/>
        </w:numPr>
        <w:ind w:left="0" w:leftChars="0" w:firstLine="616"/>
        <w:rPr>
          <w:rFonts w:ascii="Times New Roman" w:hAnsi="Times New Roman" w:eastAsia="仿宋_GB2312" w:cs="仿宋_GB2312"/>
          <w:b w:val="0"/>
          <w:color w:val="auto"/>
          <w:sz w:val="32"/>
          <w:szCs w:val="32"/>
          <w:highlight w:val="none"/>
        </w:rPr>
      </w:pPr>
      <w:r>
        <w:rPr>
          <w:rFonts w:hint="eastAsia" w:cs="仿宋_GB2312"/>
          <w:color w:val="auto"/>
          <w:sz w:val="32"/>
          <w:szCs w:val="32"/>
          <w:highlight w:val="none"/>
          <w:lang w:eastAsia="zh-CN"/>
        </w:rPr>
        <w:t>1.</w:t>
      </w:r>
      <w:r>
        <w:rPr>
          <w:rFonts w:hint="eastAsia" w:ascii="仿宋" w:hAnsi="仿宋" w:eastAsia="仿宋" w:cs="仿宋"/>
          <w:color w:val="auto"/>
          <w:spacing w:val="-6"/>
          <w:sz w:val="32"/>
          <w:szCs w:val="32"/>
          <w:highlight w:val="none"/>
          <w:lang w:eastAsia="zh-CN"/>
        </w:rPr>
        <w:t xml:space="preserve"> </w:t>
      </w:r>
      <w:r>
        <w:rPr>
          <w:rFonts w:ascii="Times New Roman" w:hAnsi="Times New Roman" w:eastAsia="仿宋_GB2312" w:cs="仿宋_GB2312"/>
          <w:color w:val="auto"/>
          <w:sz w:val="32"/>
          <w:szCs w:val="32"/>
          <w:highlight w:val="none"/>
        </w:rPr>
        <w:t>成立镇级高标准农田管护专班，统筹水利、供电、自然资源等单位协同处置设施运维、矛盾调处、应急抢修等工作；</w:t>
      </w:r>
    </w:p>
    <w:p w14:paraId="44D3A223">
      <w:pPr>
        <w:pStyle w:val="11"/>
        <w:widowControl w:val="0"/>
        <w:numPr>
          <w:ilvl w:val="0"/>
          <w:numId w:val="0"/>
        </w:numPr>
        <w:ind w:left="0" w:leftChars="0" w:firstLine="616"/>
        <w:rPr>
          <w:rFonts w:ascii="Times New Roman" w:hAnsi="Times New Roman" w:eastAsia="仿宋_GB2312" w:cs="仿宋_GB2312"/>
          <w:b w:val="0"/>
          <w:color w:val="auto"/>
          <w:sz w:val="32"/>
          <w:szCs w:val="32"/>
          <w:highlight w:val="none"/>
        </w:rPr>
      </w:pPr>
      <w:r>
        <w:rPr>
          <w:rFonts w:hint="eastAsia" w:cs="仿宋_GB2312"/>
          <w:color w:val="auto"/>
          <w:sz w:val="32"/>
          <w:szCs w:val="32"/>
          <w:highlight w:val="none"/>
          <w:lang w:eastAsia="zh-CN"/>
        </w:rPr>
        <w:t>2.</w:t>
      </w:r>
      <w:r>
        <w:rPr>
          <w:rFonts w:hint="eastAsia" w:ascii="仿宋" w:hAnsi="仿宋" w:eastAsia="仿宋" w:cs="仿宋"/>
          <w:color w:val="auto"/>
          <w:spacing w:val="-6"/>
          <w:sz w:val="32"/>
          <w:szCs w:val="32"/>
          <w:highlight w:val="none"/>
          <w:lang w:eastAsia="zh-CN"/>
        </w:rPr>
        <w:t xml:space="preserve"> </w:t>
      </w:r>
      <w:r>
        <w:rPr>
          <w:rFonts w:ascii="Times New Roman" w:hAnsi="Times New Roman" w:eastAsia="仿宋_GB2312" w:cs="仿宋_GB2312"/>
          <w:color w:val="auto"/>
          <w:sz w:val="32"/>
          <w:szCs w:val="32"/>
          <w:highlight w:val="none"/>
        </w:rPr>
        <w:t>落实资产所有权属地管理，监督村集体规范履行管护义务，核查村级经费收缴、支出、公示合规性；</w:t>
      </w:r>
    </w:p>
    <w:p w14:paraId="05FFF2B5">
      <w:pPr>
        <w:pStyle w:val="11"/>
        <w:widowControl w:val="0"/>
        <w:numPr>
          <w:ilvl w:val="0"/>
          <w:numId w:val="0"/>
        </w:numPr>
        <w:ind w:left="0" w:leftChars="0" w:firstLine="616"/>
        <w:rPr>
          <w:rFonts w:ascii="Times New Roman" w:hAnsi="Times New Roman" w:eastAsia="仿宋_GB2312" w:cs="仿宋_GB2312"/>
          <w:b w:val="0"/>
          <w:color w:val="auto"/>
          <w:sz w:val="32"/>
          <w:szCs w:val="32"/>
          <w:highlight w:val="none"/>
        </w:rPr>
      </w:pPr>
      <w:r>
        <w:rPr>
          <w:rFonts w:hint="eastAsia" w:cs="仿宋_GB2312"/>
          <w:color w:val="auto"/>
          <w:sz w:val="32"/>
          <w:szCs w:val="32"/>
          <w:highlight w:val="none"/>
          <w:lang w:eastAsia="zh-CN"/>
        </w:rPr>
        <w:t>3.</w:t>
      </w:r>
      <w:r>
        <w:rPr>
          <w:rFonts w:hint="eastAsia" w:ascii="仿宋" w:hAnsi="仿宋" w:eastAsia="仿宋" w:cs="仿宋"/>
          <w:color w:val="auto"/>
          <w:spacing w:val="-6"/>
          <w:sz w:val="32"/>
          <w:szCs w:val="32"/>
          <w:highlight w:val="none"/>
          <w:lang w:eastAsia="zh-CN"/>
        </w:rPr>
        <w:t xml:space="preserve"> </w:t>
      </w:r>
      <w:r>
        <w:rPr>
          <w:rFonts w:ascii="Times New Roman" w:hAnsi="Times New Roman" w:eastAsia="仿宋_GB2312" w:cs="仿宋_GB2312"/>
          <w:color w:val="auto"/>
          <w:sz w:val="32"/>
          <w:szCs w:val="32"/>
          <w:highlight w:val="none"/>
        </w:rPr>
        <w:t>建立镇级应急备件储备机制，指导各村建立易损配件库存（阀门、电缆、管件、井盖等）；</w:t>
      </w:r>
    </w:p>
    <w:p w14:paraId="470EC300">
      <w:pPr>
        <w:pStyle w:val="11"/>
        <w:widowControl w:val="0"/>
        <w:numPr>
          <w:ilvl w:val="0"/>
          <w:numId w:val="0"/>
        </w:numPr>
        <w:ind w:left="0" w:leftChars="0" w:firstLine="616"/>
        <w:rPr>
          <w:rFonts w:ascii="Times New Roman" w:hAnsi="Times New Roman" w:eastAsia="仿宋_GB2312" w:cs="仿宋_GB2312"/>
          <w:b w:val="0"/>
          <w:color w:val="auto"/>
          <w:sz w:val="32"/>
          <w:szCs w:val="32"/>
          <w:highlight w:val="none"/>
        </w:rPr>
      </w:pPr>
      <w:r>
        <w:rPr>
          <w:rFonts w:hint="eastAsia" w:cs="仿宋_GB2312"/>
          <w:color w:val="auto"/>
          <w:sz w:val="32"/>
          <w:szCs w:val="32"/>
          <w:highlight w:val="none"/>
          <w:lang w:eastAsia="zh-CN"/>
        </w:rPr>
        <w:t>4.</w:t>
      </w:r>
      <w:r>
        <w:rPr>
          <w:rFonts w:hint="eastAsia" w:ascii="仿宋" w:hAnsi="仿宋" w:eastAsia="仿宋" w:cs="仿宋"/>
          <w:color w:val="auto"/>
          <w:spacing w:val="-6"/>
          <w:sz w:val="32"/>
          <w:szCs w:val="32"/>
          <w:highlight w:val="none"/>
          <w:lang w:eastAsia="zh-CN"/>
        </w:rPr>
        <w:t xml:space="preserve"> </w:t>
      </w:r>
      <w:r>
        <w:rPr>
          <w:rFonts w:ascii="Times New Roman" w:hAnsi="Times New Roman" w:eastAsia="仿宋_GB2312" w:cs="仿宋_GB2312"/>
          <w:color w:val="auto"/>
          <w:sz w:val="32"/>
          <w:szCs w:val="32"/>
          <w:highlight w:val="none"/>
        </w:rPr>
        <w:t>按季度开展村级管护实地考核，建立问题整改台账，对管护履职缺位的村“两委”及集体经济组织负责人约谈督办；</w:t>
      </w:r>
    </w:p>
    <w:p w14:paraId="1C5BA826">
      <w:pPr>
        <w:pStyle w:val="11"/>
        <w:widowControl w:val="0"/>
        <w:numPr>
          <w:ilvl w:val="0"/>
          <w:numId w:val="0"/>
        </w:numPr>
        <w:ind w:left="0" w:leftChars="0" w:firstLine="616"/>
        <w:rPr>
          <w:rFonts w:ascii="Times New Roman" w:hAnsi="Times New Roman" w:eastAsia="仿宋_GB2312" w:cs="仿宋_GB2312"/>
          <w:b w:val="0"/>
          <w:color w:val="auto"/>
          <w:sz w:val="32"/>
          <w:szCs w:val="32"/>
          <w:highlight w:val="none"/>
        </w:rPr>
      </w:pPr>
      <w:r>
        <w:rPr>
          <w:rFonts w:hint="eastAsia" w:cs="仿宋_GB2312"/>
          <w:color w:val="auto"/>
          <w:sz w:val="32"/>
          <w:szCs w:val="32"/>
          <w:highlight w:val="none"/>
          <w:lang w:eastAsia="zh-CN"/>
        </w:rPr>
        <w:t>5.</w:t>
      </w:r>
      <w:r>
        <w:rPr>
          <w:rFonts w:hint="eastAsia" w:ascii="仿宋" w:hAnsi="仿宋" w:eastAsia="仿宋" w:cs="仿宋"/>
          <w:color w:val="auto"/>
          <w:spacing w:val="-6"/>
          <w:sz w:val="32"/>
          <w:szCs w:val="32"/>
          <w:highlight w:val="none"/>
          <w:lang w:eastAsia="zh-CN"/>
        </w:rPr>
        <w:t xml:space="preserve"> </w:t>
      </w:r>
      <w:r>
        <w:rPr>
          <w:rFonts w:ascii="Times New Roman" w:hAnsi="Times New Roman" w:eastAsia="仿宋_GB2312" w:cs="仿宋_GB2312"/>
          <w:color w:val="auto"/>
          <w:sz w:val="32"/>
          <w:szCs w:val="32"/>
          <w:highlight w:val="none"/>
        </w:rPr>
        <w:t>负责重大自然灾害损毁设施统计上报及灾后抢修统筹。</w:t>
      </w:r>
    </w:p>
    <w:p w14:paraId="034E88C8">
      <w:pPr>
        <w:pStyle w:val="11"/>
        <w:widowControl w:val="0"/>
        <w:numPr>
          <w:ilvl w:val="0"/>
          <w:numId w:val="0"/>
        </w:numPr>
        <w:ind w:left="0" w:leftChars="0" w:firstLine="616"/>
        <w:rPr>
          <w:rFonts w:ascii="Times New Roman" w:hAnsi="Times New Roman" w:eastAsia="仿宋_GB2312" w:cs="仿宋_GB2312"/>
          <w:b/>
          <w:color w:val="auto"/>
          <w:sz w:val="32"/>
          <w:szCs w:val="32"/>
          <w:highlight w:val="none"/>
        </w:rPr>
      </w:pPr>
      <w:r>
        <w:rPr>
          <w:rFonts w:hint="eastAsia" w:cs="仿宋_GB2312"/>
          <w:b/>
          <w:color w:val="auto"/>
          <w:sz w:val="32"/>
          <w:szCs w:val="32"/>
          <w:highlight w:val="none"/>
          <w:lang w:eastAsia="zh-CN"/>
        </w:rPr>
        <w:t>第八条　</w:t>
      </w:r>
      <w:r>
        <w:rPr>
          <w:rFonts w:ascii="Times New Roman" w:hAnsi="Times New Roman" w:eastAsia="仿宋_GB2312" w:cs="仿宋_GB2312"/>
          <w:b/>
          <w:color w:val="auto"/>
          <w:sz w:val="32"/>
          <w:szCs w:val="32"/>
          <w:highlight w:val="none"/>
        </w:rPr>
        <w:t>村党支部、村委会、村集体经济组织（村级管护直接主体）</w:t>
      </w:r>
    </w:p>
    <w:p w14:paraId="76E2255D">
      <w:pPr>
        <w:pStyle w:val="11"/>
        <w:widowControl w:val="0"/>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村党支部书记为村级管护第一责任人，村委会主任、村集体经济组织理事长为直接责任人，共同承担日常管护主体责任：</w:t>
      </w:r>
    </w:p>
    <w:p w14:paraId="5CC05048">
      <w:pPr>
        <w:pStyle w:val="11"/>
        <w:widowControl w:val="0"/>
        <w:numPr>
          <w:ilvl w:val="0"/>
          <w:numId w:val="0"/>
        </w:numPr>
        <w:ind w:left="0" w:leftChars="0" w:firstLine="616"/>
        <w:rPr>
          <w:rFonts w:ascii="Times New Roman" w:hAnsi="Times New Roman" w:eastAsia="仿宋_GB2312" w:cs="仿宋_GB2312"/>
          <w:b w:val="0"/>
          <w:color w:val="auto"/>
          <w:sz w:val="32"/>
          <w:szCs w:val="32"/>
          <w:highlight w:val="none"/>
        </w:rPr>
      </w:pPr>
      <w:r>
        <w:rPr>
          <w:rFonts w:hint="eastAsia" w:cs="仿宋_GB2312"/>
          <w:color w:val="auto"/>
          <w:sz w:val="32"/>
          <w:szCs w:val="32"/>
          <w:highlight w:val="none"/>
          <w:lang w:eastAsia="zh-CN"/>
        </w:rPr>
        <w:t>1.</w:t>
      </w:r>
      <w:r>
        <w:rPr>
          <w:rFonts w:hint="eastAsia" w:ascii="仿宋" w:hAnsi="仿宋" w:eastAsia="仿宋" w:cs="仿宋"/>
          <w:color w:val="auto"/>
          <w:spacing w:val="-6"/>
          <w:sz w:val="32"/>
          <w:szCs w:val="32"/>
          <w:highlight w:val="none"/>
          <w:lang w:eastAsia="zh-CN"/>
        </w:rPr>
        <w:t xml:space="preserve"> </w:t>
      </w:r>
      <w:r>
        <w:rPr>
          <w:rFonts w:ascii="Times New Roman" w:hAnsi="Times New Roman" w:eastAsia="仿宋_GB2312" w:cs="仿宋_GB2312"/>
          <w:color w:val="auto"/>
          <w:sz w:val="32"/>
          <w:szCs w:val="32"/>
          <w:highlight w:val="none"/>
        </w:rPr>
        <w:t>承接乡镇移交管护资产，配备专（兼）职管护人员，常态化开展设施巡查、渠道清淤、道路养护、小型维修、设施防护；</w:t>
      </w:r>
    </w:p>
    <w:p w14:paraId="58D4AF80">
      <w:pPr>
        <w:pStyle w:val="11"/>
        <w:widowControl w:val="0"/>
        <w:numPr>
          <w:ilvl w:val="0"/>
          <w:numId w:val="0"/>
        </w:numPr>
        <w:ind w:left="0" w:leftChars="0" w:firstLine="616"/>
        <w:rPr>
          <w:rFonts w:ascii="Times New Roman" w:hAnsi="Times New Roman" w:eastAsia="仿宋_GB2312" w:cs="仿宋_GB2312"/>
          <w:b w:val="0"/>
          <w:color w:val="auto"/>
          <w:sz w:val="32"/>
          <w:szCs w:val="32"/>
          <w:highlight w:val="none"/>
        </w:rPr>
      </w:pPr>
      <w:r>
        <w:rPr>
          <w:rFonts w:hint="eastAsia" w:cs="仿宋_GB2312"/>
          <w:color w:val="auto"/>
          <w:sz w:val="32"/>
          <w:szCs w:val="32"/>
          <w:highlight w:val="none"/>
          <w:lang w:eastAsia="zh-CN"/>
        </w:rPr>
        <w:t>2.</w:t>
      </w:r>
      <w:r>
        <w:rPr>
          <w:rFonts w:hint="eastAsia" w:ascii="仿宋" w:hAnsi="仿宋" w:eastAsia="仿宋" w:cs="仿宋"/>
          <w:color w:val="auto"/>
          <w:spacing w:val="-6"/>
          <w:sz w:val="32"/>
          <w:szCs w:val="32"/>
          <w:highlight w:val="none"/>
          <w:lang w:eastAsia="zh-CN"/>
        </w:rPr>
        <w:t xml:space="preserve"> </w:t>
      </w:r>
      <w:r>
        <w:rPr>
          <w:rFonts w:ascii="Times New Roman" w:hAnsi="Times New Roman" w:eastAsia="仿宋_GB2312" w:cs="仿宋_GB2312"/>
          <w:color w:val="auto"/>
          <w:sz w:val="32"/>
          <w:szCs w:val="32"/>
          <w:highlight w:val="none"/>
        </w:rPr>
        <w:t>规范管护费收缴、票据管理、收支台账登记，落实村务公开制度；</w:t>
      </w:r>
    </w:p>
    <w:p w14:paraId="725D9711">
      <w:pPr>
        <w:pStyle w:val="11"/>
        <w:widowControl w:val="0"/>
        <w:numPr>
          <w:ilvl w:val="0"/>
          <w:numId w:val="0"/>
        </w:numPr>
        <w:ind w:left="0" w:leftChars="0" w:firstLine="616"/>
        <w:rPr>
          <w:rFonts w:ascii="Times New Roman" w:hAnsi="Times New Roman" w:eastAsia="仿宋_GB2312" w:cs="仿宋_GB2312"/>
          <w:b w:val="0"/>
          <w:color w:val="auto"/>
          <w:sz w:val="32"/>
          <w:szCs w:val="32"/>
          <w:highlight w:val="none"/>
        </w:rPr>
      </w:pPr>
      <w:r>
        <w:rPr>
          <w:rFonts w:hint="eastAsia" w:cs="仿宋_GB2312"/>
          <w:color w:val="auto"/>
          <w:sz w:val="32"/>
          <w:szCs w:val="32"/>
          <w:highlight w:val="none"/>
          <w:lang w:eastAsia="zh-CN"/>
        </w:rPr>
        <w:t>3.</w:t>
      </w:r>
      <w:r>
        <w:rPr>
          <w:rFonts w:hint="eastAsia" w:ascii="仿宋" w:hAnsi="仿宋" w:eastAsia="仿宋" w:cs="仿宋"/>
          <w:color w:val="auto"/>
          <w:spacing w:val="-6"/>
          <w:sz w:val="32"/>
          <w:szCs w:val="32"/>
          <w:highlight w:val="none"/>
          <w:lang w:eastAsia="zh-CN"/>
        </w:rPr>
        <w:t xml:space="preserve"> </w:t>
      </w:r>
      <w:r>
        <w:rPr>
          <w:rFonts w:ascii="Times New Roman" w:hAnsi="Times New Roman" w:eastAsia="仿宋_GB2312" w:cs="仿宋_GB2312"/>
          <w:color w:val="auto"/>
          <w:sz w:val="32"/>
          <w:szCs w:val="32"/>
          <w:highlight w:val="none"/>
        </w:rPr>
        <w:t>两种管护模式规范落地：①自主管护：由村集体经济组织直接聘用管护员；②市场化托管：经村集体经济在组织成员（代表）大会决议，通过农村产权交易平台公开遴选第三方管护单位，签订规范管护服务合同，明确管护标准、价款、履约时限、安全生产责任（管护方全责）、违约追责条款；</w:t>
      </w:r>
    </w:p>
    <w:p w14:paraId="0B7951A7">
      <w:pPr>
        <w:pStyle w:val="11"/>
        <w:widowControl w:val="0"/>
        <w:numPr>
          <w:ilvl w:val="0"/>
          <w:numId w:val="0"/>
        </w:numPr>
        <w:ind w:left="0" w:leftChars="0" w:firstLine="616"/>
        <w:rPr>
          <w:rFonts w:ascii="Times New Roman" w:hAnsi="Times New Roman" w:eastAsia="仿宋_GB2312" w:cs="仿宋_GB2312"/>
          <w:b w:val="0"/>
          <w:color w:val="auto"/>
          <w:sz w:val="32"/>
          <w:szCs w:val="32"/>
          <w:highlight w:val="none"/>
        </w:rPr>
      </w:pPr>
      <w:r>
        <w:rPr>
          <w:rFonts w:hint="eastAsia" w:cs="仿宋_GB2312"/>
          <w:color w:val="auto"/>
          <w:sz w:val="32"/>
          <w:szCs w:val="32"/>
          <w:highlight w:val="none"/>
          <w:lang w:eastAsia="zh-CN"/>
        </w:rPr>
        <w:t>4.</w:t>
      </w:r>
      <w:r>
        <w:rPr>
          <w:rFonts w:hint="eastAsia" w:ascii="仿宋" w:hAnsi="仿宋" w:eastAsia="仿宋" w:cs="仿宋"/>
          <w:color w:val="auto"/>
          <w:spacing w:val="-6"/>
          <w:sz w:val="32"/>
          <w:szCs w:val="32"/>
          <w:highlight w:val="none"/>
          <w:lang w:eastAsia="zh-CN"/>
        </w:rPr>
        <w:t xml:space="preserve"> </w:t>
      </w:r>
      <w:r>
        <w:rPr>
          <w:rFonts w:ascii="Times New Roman" w:hAnsi="Times New Roman" w:eastAsia="仿宋_GB2312" w:cs="仿宋_GB2312"/>
          <w:color w:val="auto"/>
          <w:sz w:val="32"/>
          <w:szCs w:val="32"/>
          <w:highlight w:val="none"/>
        </w:rPr>
        <w:t>及时上报故障隐患</w:t>
      </w:r>
      <w:r>
        <w:rPr>
          <w:rFonts w:hint="eastAsia" w:cs="仿宋_GB2312"/>
          <w:color w:val="auto"/>
          <w:sz w:val="32"/>
          <w:szCs w:val="32"/>
          <w:highlight w:val="none"/>
          <w:lang w:eastAsia="zh-CN"/>
        </w:rPr>
        <w:t>，就</w:t>
      </w:r>
      <w:r>
        <w:rPr>
          <w:rFonts w:ascii="Times New Roman" w:hAnsi="Times New Roman" w:eastAsia="仿宋_GB2312" w:cs="仿宋_GB2312"/>
          <w:color w:val="auto"/>
          <w:sz w:val="32"/>
          <w:szCs w:val="32"/>
          <w:highlight w:val="none"/>
        </w:rPr>
        <w:t>地化解管护矛盾，按时报送管护统计报表；</w:t>
      </w:r>
    </w:p>
    <w:p w14:paraId="483E2B7D">
      <w:pPr>
        <w:pStyle w:val="11"/>
        <w:widowControl w:val="0"/>
        <w:numPr>
          <w:ilvl w:val="0"/>
          <w:numId w:val="0"/>
        </w:numPr>
        <w:ind w:left="0" w:leftChars="0" w:firstLine="616"/>
        <w:rPr>
          <w:rFonts w:ascii="Times New Roman" w:hAnsi="Times New Roman" w:eastAsia="仿宋_GB2312" w:cs="仿宋_GB2312"/>
          <w:b w:val="0"/>
          <w:color w:val="auto"/>
          <w:sz w:val="32"/>
          <w:szCs w:val="32"/>
          <w:highlight w:val="none"/>
        </w:rPr>
      </w:pPr>
      <w:r>
        <w:rPr>
          <w:rFonts w:hint="eastAsia" w:cs="仿宋_GB2312"/>
          <w:color w:val="auto"/>
          <w:sz w:val="32"/>
          <w:szCs w:val="32"/>
          <w:highlight w:val="none"/>
          <w:lang w:eastAsia="zh-CN"/>
        </w:rPr>
        <w:t>5.</w:t>
      </w:r>
      <w:r>
        <w:rPr>
          <w:rFonts w:hint="eastAsia" w:ascii="仿宋" w:hAnsi="仿宋" w:eastAsia="仿宋" w:cs="仿宋"/>
          <w:color w:val="auto"/>
          <w:spacing w:val="-6"/>
          <w:sz w:val="32"/>
          <w:szCs w:val="32"/>
          <w:highlight w:val="none"/>
          <w:lang w:eastAsia="zh-CN"/>
        </w:rPr>
        <w:t xml:space="preserve"> </w:t>
      </w:r>
      <w:r>
        <w:rPr>
          <w:rFonts w:ascii="Times New Roman" w:hAnsi="Times New Roman" w:eastAsia="仿宋_GB2312" w:cs="仿宋_GB2312"/>
          <w:color w:val="auto"/>
          <w:sz w:val="32"/>
          <w:szCs w:val="32"/>
          <w:highlight w:val="none"/>
        </w:rPr>
        <w:t>村集体经济组织监事会全程监督本村管护费收支、第三方履约情况。</w:t>
      </w:r>
    </w:p>
    <w:p w14:paraId="1417409E">
      <w:pPr>
        <w:pStyle w:val="11"/>
        <w:widowControl w:val="0"/>
        <w:numPr>
          <w:ilvl w:val="0"/>
          <w:numId w:val="0"/>
        </w:numPr>
        <w:ind w:left="0" w:leftChars="0" w:firstLine="616"/>
        <w:rPr>
          <w:rFonts w:ascii="Times New Roman" w:hAnsi="Times New Roman" w:eastAsia="仿宋_GB2312" w:cs="仿宋_GB2312"/>
          <w:b/>
          <w:color w:val="auto"/>
          <w:sz w:val="32"/>
          <w:szCs w:val="32"/>
          <w:highlight w:val="none"/>
        </w:rPr>
      </w:pPr>
      <w:r>
        <w:rPr>
          <w:rFonts w:hint="eastAsia" w:cs="仿宋_GB2312"/>
          <w:b/>
          <w:color w:val="auto"/>
          <w:sz w:val="32"/>
          <w:szCs w:val="32"/>
          <w:highlight w:val="none"/>
          <w:lang w:eastAsia="zh-CN"/>
        </w:rPr>
        <w:t>第九条　</w:t>
      </w:r>
      <w:r>
        <w:rPr>
          <w:rFonts w:ascii="Times New Roman" w:hAnsi="Times New Roman" w:eastAsia="仿宋_GB2312" w:cs="仿宋_GB2312"/>
          <w:b/>
          <w:color w:val="auto"/>
          <w:sz w:val="32"/>
          <w:szCs w:val="32"/>
          <w:highlight w:val="none"/>
        </w:rPr>
        <w:t>受益主体管护责任</w:t>
      </w:r>
    </w:p>
    <w:p w14:paraId="74250DF3">
      <w:pPr>
        <w:pStyle w:val="11"/>
        <w:widowControl w:val="0"/>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农户、家庭农场、合作社、涉农企业等经营主体履行以下责任：</w:t>
      </w:r>
    </w:p>
    <w:p w14:paraId="5B169795">
      <w:pPr>
        <w:pStyle w:val="11"/>
        <w:widowControl w:val="0"/>
        <w:numPr>
          <w:ilvl w:val="0"/>
          <w:numId w:val="0"/>
        </w:numPr>
        <w:ind w:left="0" w:leftChars="0" w:firstLine="616"/>
        <w:rPr>
          <w:rFonts w:ascii="Times New Roman" w:hAnsi="Times New Roman" w:eastAsia="仿宋_GB2312" w:cs="仿宋_GB2312"/>
          <w:b w:val="0"/>
          <w:color w:val="auto"/>
          <w:sz w:val="32"/>
          <w:szCs w:val="32"/>
          <w:highlight w:val="none"/>
        </w:rPr>
      </w:pPr>
      <w:r>
        <w:rPr>
          <w:rFonts w:hint="eastAsia" w:cs="仿宋_GB2312"/>
          <w:color w:val="auto"/>
          <w:spacing wpsCustomData:val="-6" w:val="-6"/>
          <w:sz w:val="32"/>
          <w:szCs w:val="32"/>
          <w:highlight w:val="none"/>
          <w:lang w:eastAsia="zh-CN"/>
        </w:rPr>
        <w:t>1.</w:t>
      </w:r>
      <w:r>
        <w:rPr>
          <w:rFonts w:hint="eastAsia" w:ascii="仿宋" w:hAnsi="仿宋" w:eastAsia="仿宋" w:cs="仿宋"/>
          <w:color w:val="auto"/>
          <w:spacing wpsCustomData:val="-6" w:val="3"/>
          <w:sz w:val="32"/>
          <w:szCs w:val="32"/>
          <w:highlight w:val="none"/>
          <w:lang w:eastAsia="zh-CN"/>
        </w:rPr>
        <w:t xml:space="preserve"> </w:t>
      </w:r>
      <w:r>
        <w:rPr>
          <w:rFonts w:ascii="Times New Roman" w:hAnsi="Times New Roman" w:eastAsia="仿宋_GB2312" w:cs="仿宋_GB2312"/>
          <w:color w:val="auto"/>
          <w:spacing wpsCustomData:val="-6" w:val="3"/>
          <w:sz w:val="32"/>
          <w:szCs w:val="32"/>
          <w:highlight w:val="none"/>
        </w:rPr>
        <w:t>按实际耕种面积依法足额缴纳管护费，不得无故拖欠</w:t>
      </w:r>
      <w:r>
        <w:rPr>
          <w:rFonts w:hint="eastAsia" w:cs="仿宋_GB2312"/>
          <w:color w:val="auto"/>
          <w:spacing wpsCustomData:val="-6" w:val="-6"/>
          <w:sz w:val="32"/>
          <w:szCs w:val="32"/>
          <w:highlight w:val="none"/>
          <w:lang w:eastAsia="zh-CN"/>
        </w:rPr>
        <w:t>、</w:t>
      </w:r>
      <w:r>
        <w:rPr>
          <w:rFonts w:ascii="Times New Roman" w:hAnsi="Times New Roman" w:eastAsia="仿宋_GB2312" w:cs="仿宋_GB2312"/>
          <w:color w:val="auto"/>
          <w:sz w:val="32"/>
          <w:szCs w:val="32"/>
          <w:highlight w:val="none"/>
        </w:rPr>
        <w:t>拒缴；</w:t>
      </w:r>
    </w:p>
    <w:p w14:paraId="0CC21316">
      <w:pPr>
        <w:pStyle w:val="11"/>
        <w:widowControl w:val="0"/>
        <w:numPr>
          <w:ilvl w:val="0"/>
          <w:numId w:val="0"/>
        </w:numPr>
        <w:ind w:left="0" w:leftChars="0" w:firstLine="616"/>
        <w:rPr>
          <w:rFonts w:ascii="Times New Roman" w:hAnsi="Times New Roman" w:eastAsia="仿宋_GB2312" w:cs="仿宋_GB2312"/>
          <w:b w:val="0"/>
          <w:color w:val="auto"/>
          <w:sz w:val="32"/>
          <w:szCs w:val="32"/>
          <w:highlight w:val="none"/>
        </w:rPr>
      </w:pPr>
      <w:r>
        <w:rPr>
          <w:rFonts w:hint="eastAsia" w:cs="仿宋_GB2312"/>
          <w:color w:val="auto"/>
          <w:sz w:val="32"/>
          <w:szCs w:val="32"/>
          <w:highlight w:val="none"/>
          <w:lang w:eastAsia="zh-CN"/>
        </w:rPr>
        <w:t>2.</w:t>
      </w:r>
      <w:r>
        <w:rPr>
          <w:rFonts w:hint="eastAsia" w:ascii="仿宋" w:hAnsi="仿宋" w:eastAsia="仿宋" w:cs="仿宋"/>
          <w:color w:val="auto"/>
          <w:spacing w:val="-6"/>
          <w:sz w:val="32"/>
          <w:szCs w:val="32"/>
          <w:highlight w:val="none"/>
          <w:lang w:eastAsia="zh-CN"/>
        </w:rPr>
        <w:t xml:space="preserve"> </w:t>
      </w:r>
      <w:r>
        <w:rPr>
          <w:rFonts w:ascii="Times New Roman" w:hAnsi="Times New Roman" w:eastAsia="仿宋_GB2312" w:cs="仿宋_GB2312"/>
          <w:color w:val="auto"/>
          <w:sz w:val="32"/>
          <w:szCs w:val="32"/>
          <w:highlight w:val="none"/>
        </w:rPr>
        <w:t>规范使用农田设施，严禁私自拆改、损毁、填埋、侵占管网、泵房、出水桩、防护林</w:t>
      </w:r>
      <w:r>
        <w:rPr>
          <w:rFonts w:hint="eastAsia" w:cs="仿宋_GB2312"/>
          <w:color w:val="auto"/>
          <w:sz w:val="32"/>
          <w:szCs w:val="32"/>
          <w:highlight w:val="none"/>
          <w:lang w:val="en-US" w:eastAsia="zh-CN"/>
        </w:rPr>
        <w:t>等设施</w:t>
      </w:r>
      <w:r>
        <w:rPr>
          <w:rFonts w:ascii="Times New Roman" w:hAnsi="Times New Roman" w:eastAsia="仿宋_GB2312" w:cs="仿宋_GB2312"/>
          <w:color w:val="auto"/>
          <w:sz w:val="32"/>
          <w:szCs w:val="32"/>
          <w:highlight w:val="none"/>
        </w:rPr>
        <w:t>；</w:t>
      </w:r>
    </w:p>
    <w:p w14:paraId="0C62F24F">
      <w:pPr>
        <w:pStyle w:val="11"/>
        <w:widowControl w:val="0"/>
        <w:numPr>
          <w:ilvl w:val="0"/>
          <w:numId w:val="0"/>
        </w:numPr>
        <w:ind w:left="0" w:leftChars="0" w:firstLine="616"/>
        <w:rPr>
          <w:rFonts w:ascii="Times New Roman" w:hAnsi="Times New Roman" w:eastAsia="仿宋_GB2312" w:cs="仿宋_GB2312"/>
          <w:b w:val="0"/>
          <w:color w:val="auto"/>
          <w:sz w:val="32"/>
          <w:szCs w:val="32"/>
          <w:highlight w:val="none"/>
        </w:rPr>
      </w:pPr>
      <w:r>
        <w:rPr>
          <w:rFonts w:hint="eastAsia" w:cs="仿宋_GB2312"/>
          <w:color w:val="auto"/>
          <w:sz w:val="32"/>
          <w:szCs w:val="32"/>
          <w:highlight w:val="none"/>
          <w:lang w:eastAsia="zh-CN"/>
        </w:rPr>
        <w:t>3.</w:t>
      </w:r>
      <w:r>
        <w:rPr>
          <w:rFonts w:hint="eastAsia" w:ascii="仿宋" w:hAnsi="仿宋" w:eastAsia="仿宋" w:cs="仿宋"/>
          <w:color w:val="auto"/>
          <w:spacing w:val="-6"/>
          <w:sz w:val="32"/>
          <w:szCs w:val="32"/>
          <w:highlight w:val="none"/>
          <w:lang w:eastAsia="zh-CN"/>
        </w:rPr>
        <w:t xml:space="preserve"> </w:t>
      </w:r>
      <w:r>
        <w:rPr>
          <w:rFonts w:ascii="Times New Roman" w:hAnsi="Times New Roman" w:eastAsia="仿宋_GB2312" w:cs="仿宋_GB2312"/>
          <w:color w:val="auto"/>
          <w:sz w:val="32"/>
          <w:szCs w:val="32"/>
          <w:highlight w:val="none"/>
        </w:rPr>
        <w:t>发现设施破损、跑冒滴漏、设备故障第一时间向村级负责人上报；</w:t>
      </w:r>
    </w:p>
    <w:p w14:paraId="4AF686D5">
      <w:pPr>
        <w:pStyle w:val="11"/>
        <w:widowControl w:val="0"/>
        <w:numPr>
          <w:ilvl w:val="0"/>
          <w:numId w:val="0"/>
        </w:numPr>
        <w:ind w:left="0" w:leftChars="0" w:firstLine="616"/>
        <w:rPr>
          <w:rFonts w:ascii="Times New Roman" w:hAnsi="Times New Roman" w:eastAsia="仿宋_GB2312" w:cs="仿宋_GB2312"/>
          <w:b w:val="0"/>
          <w:color w:val="auto"/>
          <w:sz w:val="32"/>
          <w:szCs w:val="32"/>
          <w:highlight w:val="none"/>
        </w:rPr>
      </w:pPr>
      <w:r>
        <w:rPr>
          <w:rFonts w:hint="eastAsia" w:cs="仿宋_GB2312"/>
          <w:color w:val="auto"/>
          <w:sz w:val="32"/>
          <w:szCs w:val="32"/>
          <w:highlight w:val="none"/>
          <w:lang w:eastAsia="zh-CN"/>
        </w:rPr>
        <w:t>4.</w:t>
      </w:r>
      <w:r>
        <w:rPr>
          <w:rFonts w:hint="eastAsia" w:ascii="仿宋" w:hAnsi="仿宋" w:eastAsia="仿宋" w:cs="仿宋"/>
          <w:color w:val="auto"/>
          <w:spacing w:val="-6"/>
          <w:sz w:val="32"/>
          <w:szCs w:val="32"/>
          <w:highlight w:val="none"/>
          <w:lang w:eastAsia="zh-CN"/>
        </w:rPr>
        <w:t xml:space="preserve"> </w:t>
      </w:r>
      <w:r>
        <w:rPr>
          <w:rFonts w:ascii="Times New Roman" w:hAnsi="Times New Roman" w:eastAsia="仿宋_GB2312" w:cs="仿宋_GB2312"/>
          <w:color w:val="auto"/>
          <w:sz w:val="32"/>
          <w:szCs w:val="32"/>
          <w:highlight w:val="none"/>
        </w:rPr>
        <w:t>土地经营权流转合同中必须明确管护缴费、设施保护责任，实现管护责任随土地同步移交。</w:t>
      </w:r>
    </w:p>
    <w:p w14:paraId="6E9F73D1">
      <w:pPr>
        <w:pStyle w:val="11"/>
        <w:widowControl w:val="0"/>
        <w:numPr>
          <w:ilvl w:val="0"/>
          <w:numId w:val="0"/>
        </w:numPr>
        <w:ind w:left="0" w:leftChars="0" w:firstLine="616"/>
        <w:rPr>
          <w:rFonts w:ascii="Times New Roman" w:hAnsi="Times New Roman" w:eastAsia="仿宋_GB2312" w:cs="仿宋_GB2312"/>
          <w:b/>
          <w:color w:val="auto"/>
          <w:sz w:val="32"/>
          <w:szCs w:val="32"/>
          <w:highlight w:val="none"/>
        </w:rPr>
      </w:pPr>
      <w:r>
        <w:rPr>
          <w:rFonts w:hint="eastAsia" w:cs="仿宋_GB2312"/>
          <w:b/>
          <w:color w:val="auto"/>
          <w:sz w:val="32"/>
          <w:szCs w:val="32"/>
          <w:highlight w:val="none"/>
          <w:lang w:eastAsia="zh-CN"/>
        </w:rPr>
        <w:t>第十条　</w:t>
      </w:r>
      <w:r>
        <w:rPr>
          <w:rFonts w:ascii="Times New Roman" w:hAnsi="Times New Roman" w:eastAsia="仿宋_GB2312" w:cs="仿宋_GB2312"/>
          <w:b/>
          <w:color w:val="auto"/>
          <w:sz w:val="32"/>
          <w:szCs w:val="32"/>
          <w:highlight w:val="none"/>
        </w:rPr>
        <w:t>乡镇纪检监察机构监督职责</w:t>
      </w:r>
    </w:p>
    <w:p w14:paraId="47C404BB">
      <w:pPr>
        <w:pStyle w:val="11"/>
        <w:widowControl w:val="0"/>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重点对管护合同签订、经费收缴使用、村务公示、第三方遴选、问题整改等环节开展监督，对违规收费、截留挪用资金、失职失责造成资产损毁</w:t>
      </w:r>
      <w:r>
        <w:rPr>
          <w:rFonts w:hint="eastAsia" w:cs="仿宋_GB2312"/>
          <w:color w:val="auto"/>
          <w:sz w:val="32"/>
          <w:szCs w:val="32"/>
          <w:highlight w:val="none"/>
          <w:lang w:eastAsia="zh-CN"/>
        </w:rPr>
        <w:t>的</w:t>
      </w:r>
      <w:r>
        <w:rPr>
          <w:rFonts w:hint="eastAsia" w:cs="仿宋_GB2312"/>
          <w:color w:val="auto"/>
          <w:sz w:val="32"/>
          <w:szCs w:val="32"/>
          <w:highlight w:val="none"/>
          <w:lang w:val="en-US" w:eastAsia="zh-CN"/>
        </w:rPr>
        <w:t>单位和个人</w:t>
      </w:r>
      <w:r>
        <w:rPr>
          <w:rFonts w:ascii="Times New Roman" w:hAnsi="Times New Roman" w:eastAsia="仿宋_GB2312" w:cs="仿宋_GB2312"/>
          <w:color w:val="auto"/>
          <w:sz w:val="32"/>
          <w:szCs w:val="32"/>
          <w:highlight w:val="none"/>
        </w:rPr>
        <w:t>，依规追责问责。</w:t>
      </w:r>
    </w:p>
    <w:p w14:paraId="693798CD">
      <w:pPr>
        <w:pStyle w:val="29"/>
        <w:widowControl w:val="0"/>
        <w:numPr>
          <w:ilvl w:val="0"/>
          <w:numId w:val="0"/>
        </w:numPr>
        <w:ind w:leftChars="0"/>
        <w:rPr>
          <w:b w:val="0"/>
          <w:color w:val="auto"/>
          <w:highlight w:val="none"/>
        </w:rPr>
      </w:pPr>
      <w:r>
        <w:rPr>
          <w:rFonts w:hint="eastAsia"/>
          <w:color w:val="auto"/>
          <w:highlight w:val="none"/>
          <w:lang w:eastAsia="zh-CN"/>
        </w:rPr>
        <w:t>第</w:t>
      </w:r>
      <w:r>
        <w:rPr>
          <w:rFonts w:hint="eastAsia"/>
          <w:color w:val="auto"/>
          <w:highlight w:val="none"/>
          <w:lang w:val="en-US" w:eastAsia="zh-CN"/>
        </w:rPr>
        <w:t>四</w:t>
      </w:r>
      <w:r>
        <w:rPr>
          <w:rFonts w:hint="eastAsia"/>
          <w:color w:val="auto"/>
          <w:highlight w:val="none"/>
          <w:lang w:eastAsia="zh-CN"/>
        </w:rPr>
        <w:t>章</w:t>
      </w:r>
      <w:r>
        <w:rPr>
          <w:rFonts w:hint="eastAsia" w:ascii="仿宋" w:hAnsi="仿宋" w:eastAsia="仿宋" w:cs="仿宋"/>
          <w:bCs/>
          <w:color w:val="auto"/>
          <w:spacing w:val="-6"/>
          <w:kern w:val="44"/>
          <w:sz w:val="32"/>
          <w:szCs w:val="32"/>
          <w:highlight w:val="none"/>
          <w:lang w:eastAsia="zh-CN" w:bidi="ar-SA"/>
        </w:rPr>
        <w:t xml:space="preserve"> </w:t>
      </w:r>
      <w:r>
        <w:rPr>
          <w:color w:val="auto"/>
          <w:highlight w:val="none"/>
        </w:rPr>
        <w:t>管护经费筹措、管理与使用</w:t>
      </w:r>
    </w:p>
    <w:p w14:paraId="33870596">
      <w:pPr>
        <w:pStyle w:val="2"/>
        <w:keepNext w:val="0"/>
        <w:keepLines w:val="0"/>
        <w:widowControl w:val="0"/>
        <w:numPr>
          <w:ilvl w:val="0"/>
          <w:numId w:val="0"/>
        </w:numPr>
        <w:ind w:left="0" w:leftChars="0" w:firstLine="640"/>
        <w:rPr>
          <w:b w:val="0"/>
          <w:color w:val="auto"/>
          <w:highlight w:val="none"/>
        </w:rPr>
      </w:pPr>
      <w:r>
        <w:rPr>
          <w:rFonts w:hint="eastAsia"/>
          <w:color w:val="auto"/>
          <w:highlight w:val="none"/>
          <w:lang w:eastAsia="zh-CN"/>
        </w:rPr>
        <w:t>第十一条</w:t>
      </w:r>
      <w:r>
        <w:rPr>
          <w:rFonts w:hint="eastAsia" w:ascii="仿宋" w:hAnsi="仿宋" w:eastAsia="仿宋" w:cs="仿宋"/>
          <w:color w:val="auto"/>
          <w:kern w:val="44"/>
          <w:sz w:val="32"/>
          <w:szCs w:val="32"/>
          <w:highlight w:val="none"/>
          <w:lang w:eastAsia="zh-CN"/>
        </w:rPr>
        <w:t xml:space="preserve"> </w:t>
      </w:r>
      <w:r>
        <w:rPr>
          <w:color w:val="auto"/>
          <w:highlight w:val="none"/>
        </w:rPr>
        <w:t xml:space="preserve">筹资原则 </w:t>
      </w:r>
    </w:p>
    <w:p w14:paraId="44D25364">
      <w:pPr>
        <w:pStyle w:val="11"/>
        <w:widowControl w:val="0"/>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坚持“</w:t>
      </w:r>
      <w:r>
        <w:rPr>
          <w:rFonts w:ascii="Times New Roman" w:hAnsi="Times New Roman" w:eastAsia="仿宋_GB2312" w:cs="仿宋_GB2312"/>
          <w:b/>
          <w:color w:val="auto"/>
          <w:sz w:val="32"/>
          <w:szCs w:val="32"/>
          <w:highlight w:val="none"/>
        </w:rPr>
        <w:t>谁受益谁负担、成本合理分摊、村民民主议定、乡镇备案、动态调价、公开透明”</w:t>
      </w:r>
      <w:r>
        <w:rPr>
          <w:rFonts w:ascii="Times New Roman" w:hAnsi="Times New Roman" w:eastAsia="仿宋_GB2312" w:cs="仿宋_GB2312"/>
          <w:color w:val="auto"/>
          <w:sz w:val="32"/>
          <w:szCs w:val="32"/>
          <w:highlight w:val="none"/>
        </w:rPr>
        <w:t>原则，严禁搭车收费，严控群众不合理负担。</w:t>
      </w:r>
    </w:p>
    <w:p w14:paraId="04745C14">
      <w:pPr>
        <w:pStyle w:val="2"/>
        <w:keepNext w:val="0"/>
        <w:keepLines w:val="0"/>
        <w:widowControl w:val="0"/>
        <w:numPr>
          <w:ilvl w:val="0"/>
          <w:numId w:val="0"/>
        </w:numPr>
        <w:ind w:left="0" w:leftChars="0" w:firstLine="640"/>
        <w:rPr>
          <w:b w:val="0"/>
          <w:color w:val="auto"/>
          <w:highlight w:val="none"/>
        </w:rPr>
      </w:pPr>
      <w:r>
        <w:rPr>
          <w:rFonts w:hint="eastAsia"/>
          <w:color w:val="auto"/>
          <w:highlight w:val="none"/>
          <w:lang w:eastAsia="zh-CN"/>
        </w:rPr>
        <w:t>第十二条</w:t>
      </w:r>
      <w:r>
        <w:rPr>
          <w:rFonts w:hint="eastAsia" w:ascii="仿宋" w:hAnsi="仿宋" w:eastAsia="仿宋" w:cs="仿宋"/>
          <w:color w:val="auto"/>
          <w:kern w:val="44"/>
          <w:sz w:val="32"/>
          <w:szCs w:val="32"/>
          <w:highlight w:val="none"/>
          <w:lang w:eastAsia="zh-CN"/>
        </w:rPr>
        <w:t xml:space="preserve"> </w:t>
      </w:r>
      <w:r>
        <w:rPr>
          <w:color w:val="auto"/>
          <w:highlight w:val="none"/>
        </w:rPr>
        <w:t>筹资机制</w:t>
      </w:r>
    </w:p>
    <w:p w14:paraId="14CD1294">
      <w:pPr>
        <w:pStyle w:val="11"/>
        <w:widowControl w:val="0"/>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建立</w:t>
      </w:r>
      <w:r>
        <w:rPr>
          <w:rFonts w:ascii="Times New Roman" w:hAnsi="Times New Roman" w:eastAsia="仿宋_GB2312" w:cs="仿宋_GB2312"/>
          <w:b/>
          <w:color w:val="auto"/>
          <w:sz w:val="32"/>
          <w:szCs w:val="32"/>
          <w:highlight w:val="none"/>
        </w:rPr>
        <w:t>“受益缴费、集体补充、财政补助”</w:t>
      </w:r>
      <w:r>
        <w:rPr>
          <w:rFonts w:ascii="Times New Roman" w:hAnsi="Times New Roman" w:eastAsia="仿宋_GB2312" w:cs="仿宋_GB2312"/>
          <w:color w:val="auto"/>
          <w:sz w:val="32"/>
          <w:szCs w:val="32"/>
          <w:highlight w:val="none"/>
        </w:rPr>
        <w:t>三位一体管护资金保障机制：</w:t>
      </w:r>
    </w:p>
    <w:p w14:paraId="47ED008D">
      <w:pPr>
        <w:pStyle w:val="11"/>
        <w:widowControl w:val="0"/>
        <w:numPr>
          <w:ilvl w:val="0"/>
          <w:numId w:val="0"/>
        </w:numPr>
        <w:topLinePunct w:val="0"/>
        <w:ind w:left="0" w:leftChars="0" w:firstLine="616"/>
        <w:rPr>
          <w:rFonts w:ascii="Times New Roman" w:hAnsi="Times New Roman" w:eastAsia="仿宋_GB2312" w:cs="仿宋_GB2312"/>
          <w:b w:val="0"/>
          <w:color w:val="auto"/>
          <w:sz w:val="32"/>
          <w:szCs w:val="32"/>
          <w:highlight w:val="none"/>
        </w:rPr>
      </w:pPr>
      <w:r>
        <w:rPr>
          <w:rStyle w:val="30"/>
          <w:rFonts w:hint="eastAsia" w:eastAsia="楷体_GB2312"/>
          <w:color w:val="auto"/>
          <w:lang w:eastAsia="zh-CN"/>
        </w:rPr>
        <w:t>（一）</w:t>
      </w:r>
      <w:r>
        <w:rPr>
          <w:rStyle w:val="30"/>
          <w:color w:val="auto"/>
        </w:rPr>
        <w:t>受益主体缴费</w:t>
      </w:r>
      <w:r>
        <w:rPr>
          <w:rFonts w:ascii="Times New Roman" w:hAnsi="Times New Roman" w:eastAsia="仿宋_GB2312" w:cs="仿宋_GB2312"/>
          <w:color w:val="auto"/>
          <w:sz w:val="32"/>
          <w:szCs w:val="32"/>
          <w:highlight w:val="none"/>
        </w:rPr>
        <w:t>：按实际耕种面积缴纳，为管护资金主要来源；</w:t>
      </w:r>
    </w:p>
    <w:p w14:paraId="0395125A">
      <w:pPr>
        <w:pStyle w:val="11"/>
        <w:widowControl w:val="0"/>
        <w:numPr>
          <w:ilvl w:val="0"/>
          <w:numId w:val="0"/>
        </w:numPr>
        <w:topLinePunct w:val="0"/>
        <w:ind w:left="0" w:leftChars="0" w:firstLine="616"/>
        <w:rPr>
          <w:rFonts w:ascii="Times New Roman" w:hAnsi="Times New Roman" w:eastAsia="仿宋_GB2312" w:cs="仿宋_GB2312"/>
          <w:b w:val="0"/>
          <w:color w:val="auto"/>
          <w:sz w:val="32"/>
          <w:szCs w:val="32"/>
          <w:highlight w:val="none"/>
        </w:rPr>
      </w:pPr>
      <w:r>
        <w:rPr>
          <w:rStyle w:val="30"/>
          <w:rFonts w:hint="eastAsia" w:eastAsia="楷体_GB2312"/>
          <w:color w:val="auto"/>
          <w:lang w:eastAsia="zh-CN"/>
        </w:rPr>
        <w:t>（二）</w:t>
      </w:r>
      <w:r>
        <w:rPr>
          <w:rStyle w:val="30"/>
          <w:color w:val="auto"/>
        </w:rPr>
        <w:t>村集体经济收益补充</w:t>
      </w:r>
      <w:r>
        <w:rPr>
          <w:rFonts w:ascii="Times New Roman" w:hAnsi="Times New Roman" w:eastAsia="仿宋_GB2312" w:cs="仿宋_GB2312"/>
          <w:color w:val="auto"/>
          <w:sz w:val="32"/>
          <w:szCs w:val="32"/>
          <w:highlight w:val="none"/>
        </w:rPr>
        <w:t>：村级集体经营性收益优先用于管护补贴，降低农户缴费压力；在受益主体与县财政预算不足以支付当年管理费用支出的，村集体经济组织收益应当作为补充进行垫付当年超支维护费用，并在秋收后通过四议两公开适当提高管护费用收取标准，并在来年偿还村集体经济组织垫付的费用。</w:t>
      </w:r>
    </w:p>
    <w:p w14:paraId="1D8D657D">
      <w:pPr>
        <w:pStyle w:val="11"/>
        <w:widowControl w:val="0"/>
        <w:numPr>
          <w:ilvl w:val="0"/>
          <w:numId w:val="0"/>
        </w:numPr>
        <w:ind w:firstLine="616"/>
        <w:rPr>
          <w:rFonts w:ascii="Times New Roman" w:hAnsi="Times New Roman" w:eastAsia="仿宋_GB2312" w:cs="仿宋_GB2312"/>
          <w:color w:val="auto"/>
          <w:sz w:val="32"/>
          <w:szCs w:val="32"/>
          <w:highlight w:val="none"/>
        </w:rPr>
      </w:pPr>
      <w:r>
        <w:rPr>
          <w:rStyle w:val="30"/>
          <w:rFonts w:hint="eastAsia" w:eastAsia="楷体_GB2312"/>
          <w:color w:val="auto"/>
          <w:lang w:eastAsia="zh-CN"/>
        </w:rPr>
        <w:t>（三）</w:t>
      </w:r>
      <w:r>
        <w:rPr>
          <w:rStyle w:val="30"/>
          <w:color w:val="auto"/>
        </w:rPr>
        <w:t>财政补助</w:t>
      </w:r>
      <w:r>
        <w:rPr>
          <w:rFonts w:ascii="Times New Roman" w:hAnsi="Times New Roman" w:eastAsia="仿宋_GB2312" w:cs="仿宋_GB2312"/>
          <w:color w:val="auto"/>
          <w:sz w:val="32"/>
          <w:szCs w:val="32"/>
          <w:highlight w:val="none"/>
        </w:rPr>
        <w:t>：按照农业农村部规定，按不超过当年高标准农田财政总投资1.5％计提县级专项管护资金，纳入财政预算管理，专款专用。也可使用高标准农田建设项目完成并通过竣工验收的净结余资金，用于建后管护。</w:t>
      </w:r>
    </w:p>
    <w:p w14:paraId="2BE387C1">
      <w:pPr>
        <w:pStyle w:val="2"/>
        <w:keepNext w:val="0"/>
        <w:keepLines w:val="0"/>
        <w:widowControl w:val="0"/>
        <w:numPr>
          <w:ilvl w:val="0"/>
          <w:numId w:val="0"/>
        </w:numPr>
        <w:ind w:left="0" w:leftChars="0" w:firstLine="640"/>
        <w:rPr>
          <w:b w:val="0"/>
          <w:color w:val="auto"/>
          <w:highlight w:val="none"/>
        </w:rPr>
      </w:pPr>
      <w:r>
        <w:rPr>
          <w:rFonts w:hint="eastAsia"/>
          <w:color w:val="auto"/>
          <w:highlight w:val="none"/>
          <w:lang w:eastAsia="zh-CN"/>
        </w:rPr>
        <w:t>第十三条</w:t>
      </w:r>
      <w:r>
        <w:rPr>
          <w:rFonts w:hint="eastAsia" w:ascii="仿宋" w:hAnsi="仿宋" w:eastAsia="仿宋" w:cs="仿宋"/>
          <w:color w:val="auto"/>
          <w:kern w:val="44"/>
          <w:sz w:val="32"/>
          <w:szCs w:val="32"/>
          <w:highlight w:val="none"/>
          <w:lang w:eastAsia="zh-CN"/>
        </w:rPr>
        <w:t xml:space="preserve"> </w:t>
      </w:r>
      <w:r>
        <w:rPr>
          <w:color w:val="auto"/>
          <w:highlight w:val="none"/>
        </w:rPr>
        <w:t>收费标准与动态调整</w:t>
      </w:r>
    </w:p>
    <w:p w14:paraId="4077057F">
      <w:pPr>
        <w:pStyle w:val="11"/>
        <w:widowControl w:val="0"/>
        <w:numPr>
          <w:ilvl w:val="0"/>
          <w:numId w:val="0"/>
        </w:numPr>
        <w:ind w:left="0" w:leftChars="0" w:firstLine="616"/>
        <w:rPr>
          <w:rFonts w:ascii="Times New Roman" w:hAnsi="Times New Roman" w:eastAsia="仿宋_GB2312" w:cs="仿宋_GB2312"/>
          <w:b w:val="0"/>
          <w:color w:val="auto"/>
          <w:sz w:val="32"/>
          <w:szCs w:val="32"/>
          <w:highlight w:val="none"/>
        </w:rPr>
      </w:pPr>
      <w:r>
        <w:rPr>
          <w:rFonts w:hint="eastAsia" w:cs="仿宋_GB2312"/>
          <w:color w:val="auto"/>
          <w:sz w:val="32"/>
          <w:szCs w:val="32"/>
          <w:highlight w:val="none"/>
          <w:lang w:eastAsia="zh-CN"/>
        </w:rPr>
        <w:t>1.</w:t>
      </w:r>
      <w:r>
        <w:rPr>
          <w:rFonts w:hint="eastAsia" w:ascii="仿宋" w:hAnsi="仿宋" w:eastAsia="仿宋" w:cs="仿宋"/>
          <w:color w:val="auto"/>
          <w:spacing w:val="-6"/>
          <w:sz w:val="32"/>
          <w:szCs w:val="32"/>
          <w:highlight w:val="none"/>
          <w:lang w:eastAsia="zh-CN"/>
        </w:rPr>
        <w:t xml:space="preserve"> </w:t>
      </w:r>
      <w:r>
        <w:rPr>
          <w:rFonts w:ascii="Times New Roman" w:hAnsi="Times New Roman" w:eastAsia="仿宋_GB2312" w:cs="仿宋_GB2312"/>
          <w:color w:val="auto"/>
          <w:sz w:val="32"/>
          <w:szCs w:val="32"/>
          <w:highlight w:val="none"/>
        </w:rPr>
        <w:t>县农业农村局牵头，联合县发改、财政、各乡镇，可委托第三方中介机构开展管护全成本测算（人工、水电、配件、维修、保险等），科学拟定收费标准；</w:t>
      </w:r>
    </w:p>
    <w:p w14:paraId="311AB2AD">
      <w:pPr>
        <w:pStyle w:val="11"/>
        <w:widowControl w:val="0"/>
        <w:numPr>
          <w:ilvl w:val="0"/>
          <w:numId w:val="0"/>
        </w:numPr>
        <w:ind w:left="0" w:leftChars="0" w:firstLine="616"/>
        <w:rPr>
          <w:rFonts w:ascii="Times New Roman" w:hAnsi="Times New Roman" w:eastAsia="仿宋_GB2312" w:cs="仿宋_GB2312"/>
          <w:b w:val="0"/>
          <w:color w:val="auto"/>
          <w:sz w:val="32"/>
          <w:szCs w:val="32"/>
          <w:highlight w:val="none"/>
        </w:rPr>
      </w:pPr>
      <w:r>
        <w:rPr>
          <w:rFonts w:hint="eastAsia" w:cs="仿宋_GB2312"/>
          <w:color w:val="auto"/>
          <w:sz w:val="32"/>
          <w:szCs w:val="32"/>
          <w:highlight w:val="none"/>
          <w:lang w:eastAsia="zh-CN"/>
        </w:rPr>
        <w:t>2.</w:t>
      </w:r>
      <w:r>
        <w:rPr>
          <w:rFonts w:hint="eastAsia" w:ascii="仿宋" w:hAnsi="仿宋" w:eastAsia="仿宋" w:cs="仿宋"/>
          <w:color w:val="auto"/>
          <w:spacing w:val="-6"/>
          <w:sz w:val="32"/>
          <w:szCs w:val="32"/>
          <w:highlight w:val="none"/>
          <w:lang w:eastAsia="zh-CN"/>
        </w:rPr>
        <w:t xml:space="preserve"> </w:t>
      </w:r>
      <w:r>
        <w:rPr>
          <w:rFonts w:ascii="Times New Roman" w:hAnsi="Times New Roman" w:eastAsia="仿宋_GB2312" w:cs="仿宋_GB2312"/>
          <w:color w:val="auto"/>
          <w:sz w:val="32"/>
          <w:szCs w:val="32"/>
          <w:highlight w:val="none"/>
        </w:rPr>
        <w:t>测算标准及收费方案公示后经村集体经济组织成员（代表）大会表决通过，报乡镇备案、县级留存；</w:t>
      </w:r>
    </w:p>
    <w:p w14:paraId="778440AD">
      <w:pPr>
        <w:pStyle w:val="11"/>
        <w:widowControl w:val="0"/>
        <w:numPr>
          <w:ilvl w:val="0"/>
          <w:numId w:val="0"/>
        </w:numPr>
        <w:ind w:left="0" w:leftChars="0" w:firstLine="616"/>
        <w:rPr>
          <w:rFonts w:ascii="Times New Roman" w:hAnsi="Times New Roman" w:eastAsia="仿宋_GB2312" w:cs="仿宋_GB2312"/>
          <w:b w:val="0"/>
          <w:color w:val="auto"/>
          <w:sz w:val="32"/>
          <w:szCs w:val="32"/>
          <w:highlight w:val="none"/>
        </w:rPr>
      </w:pPr>
      <w:r>
        <w:rPr>
          <w:rFonts w:hint="eastAsia" w:cs="仿宋_GB2312"/>
          <w:color w:val="auto"/>
          <w:sz w:val="32"/>
          <w:szCs w:val="32"/>
          <w:highlight w:val="none"/>
          <w:lang w:eastAsia="zh-CN"/>
        </w:rPr>
        <w:t>3.</w:t>
      </w:r>
      <w:r>
        <w:rPr>
          <w:rFonts w:hint="eastAsia" w:ascii="仿宋" w:hAnsi="仿宋" w:eastAsia="仿宋" w:cs="仿宋"/>
          <w:color w:val="auto"/>
          <w:spacing w:val="-6"/>
          <w:sz w:val="32"/>
          <w:szCs w:val="32"/>
          <w:highlight w:val="none"/>
          <w:lang w:eastAsia="zh-CN"/>
        </w:rPr>
        <w:t xml:space="preserve"> </w:t>
      </w:r>
      <w:r>
        <w:rPr>
          <w:rFonts w:ascii="Times New Roman" w:hAnsi="Times New Roman" w:eastAsia="仿宋_GB2312" w:cs="仿宋_GB2312"/>
          <w:color w:val="auto"/>
          <w:sz w:val="32"/>
          <w:szCs w:val="32"/>
          <w:highlight w:val="none"/>
        </w:rPr>
        <w:t>收费标准每</w:t>
      </w:r>
      <w:r>
        <w:rPr>
          <w:rFonts w:hint="eastAsia" w:cs="仿宋_GB2312"/>
          <w:color w:val="auto"/>
          <w:sz w:val="32"/>
          <w:szCs w:val="32"/>
          <w:highlight w:val="none"/>
          <w:lang w:val="en-US" w:eastAsia="zh-CN"/>
        </w:rPr>
        <w:t>两</w:t>
      </w:r>
      <w:r>
        <w:rPr>
          <w:rFonts w:ascii="Times New Roman" w:hAnsi="Times New Roman" w:eastAsia="仿宋_GB2312" w:cs="仿宋_GB2312"/>
          <w:color w:val="auto"/>
          <w:sz w:val="32"/>
          <w:szCs w:val="32"/>
          <w:highlight w:val="none"/>
        </w:rPr>
        <w:t>年结合电价、人工、建材市场变动依规复核调整一次，全程公示公开，严禁私自涨价、捆绑收费。</w:t>
      </w:r>
    </w:p>
    <w:p w14:paraId="49C9D4CF">
      <w:pPr>
        <w:pStyle w:val="2"/>
        <w:keepNext w:val="0"/>
        <w:keepLines w:val="0"/>
        <w:widowControl w:val="0"/>
        <w:numPr>
          <w:ilvl w:val="0"/>
          <w:numId w:val="0"/>
        </w:numPr>
        <w:ind w:left="0" w:leftChars="0" w:firstLine="640"/>
        <w:rPr>
          <w:b w:val="0"/>
          <w:color w:val="auto"/>
          <w:highlight w:val="none"/>
        </w:rPr>
      </w:pPr>
      <w:r>
        <w:rPr>
          <w:rFonts w:hint="eastAsia"/>
          <w:color w:val="auto"/>
          <w:highlight w:val="none"/>
          <w:lang w:eastAsia="zh-CN"/>
        </w:rPr>
        <w:t>第十四条</w:t>
      </w:r>
      <w:r>
        <w:rPr>
          <w:rFonts w:hint="eastAsia" w:ascii="仿宋" w:hAnsi="仿宋" w:eastAsia="仿宋" w:cs="仿宋"/>
          <w:color w:val="auto"/>
          <w:kern w:val="44"/>
          <w:sz w:val="32"/>
          <w:szCs w:val="32"/>
          <w:highlight w:val="none"/>
          <w:lang w:eastAsia="zh-CN"/>
        </w:rPr>
        <w:t xml:space="preserve"> </w:t>
      </w:r>
      <w:r>
        <w:rPr>
          <w:color w:val="auto"/>
          <w:highlight w:val="none"/>
        </w:rPr>
        <w:t>费用收缴方式</w:t>
      </w:r>
    </w:p>
    <w:p w14:paraId="3EA04B44">
      <w:pPr>
        <w:pStyle w:val="11"/>
        <w:widowControl w:val="0"/>
        <w:numPr>
          <w:ilvl w:val="0"/>
          <w:numId w:val="0"/>
        </w:numPr>
        <w:topLinePunct w:val="0"/>
        <w:ind w:left="0" w:leftChars="0" w:firstLine="616"/>
        <w:rPr>
          <w:rFonts w:ascii="Times New Roman" w:hAnsi="Times New Roman" w:eastAsia="仿宋_GB2312" w:cs="仿宋_GB2312"/>
          <w:b w:val="0"/>
          <w:color w:val="auto"/>
          <w:sz w:val="32"/>
          <w:szCs w:val="32"/>
          <w:highlight w:val="none"/>
        </w:rPr>
      </w:pPr>
      <w:r>
        <w:rPr>
          <w:rStyle w:val="30"/>
          <w:rFonts w:hint="eastAsia" w:eastAsia="楷体_GB2312"/>
          <w:color w:val="auto"/>
          <w:lang w:eastAsia="zh-CN"/>
        </w:rPr>
        <w:t>（一）</w:t>
      </w:r>
      <w:r>
        <w:rPr>
          <w:rStyle w:val="30"/>
          <w:color w:val="auto"/>
        </w:rPr>
        <w:t>自主管护</w:t>
      </w:r>
      <w:r>
        <w:rPr>
          <w:rFonts w:ascii="Times New Roman" w:hAnsi="Times New Roman" w:eastAsia="仿宋_GB2312" w:cs="仿宋_GB2312"/>
          <w:color w:val="auto"/>
          <w:sz w:val="32"/>
          <w:szCs w:val="32"/>
          <w:highlight w:val="none"/>
        </w:rPr>
        <w:t>：每年秋收后集中收缴，统一使用村集体经济财务正规票据，大户、合作社签订缴费协议按年结算，缴费明细村务栏长期公示；</w:t>
      </w:r>
    </w:p>
    <w:p w14:paraId="6E9B22C6">
      <w:pPr>
        <w:pStyle w:val="11"/>
        <w:widowControl w:val="0"/>
        <w:numPr>
          <w:ilvl w:val="0"/>
          <w:numId w:val="0"/>
        </w:numPr>
        <w:topLinePunct w:val="0"/>
        <w:ind w:left="0" w:leftChars="0" w:firstLine="616"/>
        <w:rPr>
          <w:rFonts w:ascii="Times New Roman" w:hAnsi="Times New Roman" w:eastAsia="仿宋_GB2312" w:cs="仿宋_GB2312"/>
          <w:b w:val="0"/>
          <w:color w:val="auto"/>
          <w:sz w:val="32"/>
          <w:szCs w:val="32"/>
          <w:highlight w:val="none"/>
        </w:rPr>
      </w:pPr>
      <w:r>
        <w:rPr>
          <w:rStyle w:val="30"/>
          <w:rFonts w:hint="eastAsia" w:eastAsia="楷体_GB2312"/>
          <w:color w:val="auto"/>
          <w:lang w:eastAsia="zh-CN"/>
        </w:rPr>
        <w:t>（二）</w:t>
      </w:r>
      <w:r>
        <w:rPr>
          <w:rStyle w:val="30"/>
          <w:color w:val="auto"/>
        </w:rPr>
        <w:t>市场化托管</w:t>
      </w:r>
      <w:r>
        <w:rPr>
          <w:rFonts w:ascii="Times New Roman" w:hAnsi="Times New Roman" w:eastAsia="仿宋_GB2312" w:cs="仿宋_GB2312"/>
          <w:color w:val="auto"/>
          <w:sz w:val="32"/>
          <w:szCs w:val="32"/>
          <w:highlight w:val="none"/>
        </w:rPr>
        <w:t>：原则上由村集体统一归集管护费后按合同约定拨付管护服务商；确需服务商直接收费的，须经村集体经济组织成员（代表）大会通过并由</w:t>
      </w:r>
      <w:r>
        <w:rPr>
          <w:rFonts w:hint="eastAsia" w:cs="仿宋_GB2312"/>
          <w:color w:val="auto"/>
          <w:sz w:val="32"/>
          <w:szCs w:val="32"/>
          <w:highlight w:val="none"/>
          <w:lang w:val="en-US" w:eastAsia="zh-CN"/>
        </w:rPr>
        <w:t>村</w:t>
      </w:r>
      <w:r>
        <w:rPr>
          <w:rFonts w:ascii="Times New Roman" w:hAnsi="Times New Roman" w:eastAsia="仿宋_GB2312" w:cs="仿宋_GB2312"/>
          <w:color w:val="auto"/>
          <w:sz w:val="32"/>
          <w:szCs w:val="32"/>
          <w:highlight w:val="none"/>
        </w:rPr>
        <w:t>监事会监管下实施。</w:t>
      </w:r>
    </w:p>
    <w:p w14:paraId="1B0AE5AF">
      <w:pPr>
        <w:pStyle w:val="2"/>
        <w:keepNext w:val="0"/>
        <w:keepLines w:val="0"/>
        <w:widowControl w:val="0"/>
        <w:numPr>
          <w:ilvl w:val="0"/>
          <w:numId w:val="0"/>
        </w:numPr>
        <w:ind w:left="0" w:leftChars="0" w:firstLine="640"/>
        <w:rPr>
          <w:b w:val="0"/>
          <w:color w:val="auto"/>
          <w:highlight w:val="none"/>
        </w:rPr>
      </w:pPr>
      <w:r>
        <w:rPr>
          <w:rFonts w:hint="eastAsia"/>
          <w:color w:val="auto"/>
          <w:highlight w:val="none"/>
          <w:lang w:eastAsia="zh-CN"/>
        </w:rPr>
        <w:t>第十五条</w:t>
      </w:r>
      <w:r>
        <w:rPr>
          <w:rFonts w:hint="eastAsia" w:ascii="仿宋" w:hAnsi="仿宋" w:eastAsia="仿宋" w:cs="仿宋"/>
          <w:color w:val="auto"/>
          <w:kern w:val="44"/>
          <w:sz w:val="32"/>
          <w:szCs w:val="32"/>
          <w:highlight w:val="none"/>
          <w:lang w:eastAsia="zh-CN"/>
        </w:rPr>
        <w:t xml:space="preserve"> </w:t>
      </w:r>
      <w:r>
        <w:rPr>
          <w:color w:val="auto"/>
          <w:highlight w:val="none"/>
        </w:rPr>
        <w:t>资金监管</w:t>
      </w:r>
    </w:p>
    <w:p w14:paraId="7FCC1F2D">
      <w:pPr>
        <w:pStyle w:val="11"/>
        <w:widowControl w:val="0"/>
        <w:numPr>
          <w:ilvl w:val="0"/>
          <w:numId w:val="0"/>
        </w:numPr>
        <w:topLinePunct w:val="0"/>
        <w:ind w:left="0" w:leftChars="0" w:firstLine="616"/>
        <w:rPr>
          <w:rFonts w:ascii="Times New Roman" w:hAnsi="Times New Roman" w:eastAsia="仿宋_GB2312" w:cs="仿宋_GB2312"/>
          <w:b w:val="0"/>
          <w:color w:val="auto"/>
          <w:sz w:val="32"/>
          <w:szCs w:val="32"/>
          <w:highlight w:val="none"/>
        </w:rPr>
      </w:pPr>
      <w:r>
        <w:rPr>
          <w:rStyle w:val="30"/>
          <w:rFonts w:hint="eastAsia" w:eastAsia="楷体_GB2312"/>
          <w:color w:val="auto"/>
          <w:lang w:eastAsia="zh-CN"/>
        </w:rPr>
        <w:t>（一）</w:t>
      </w:r>
      <w:r>
        <w:rPr>
          <w:rStyle w:val="30"/>
          <w:color w:val="auto"/>
        </w:rPr>
        <w:t>专款专用</w:t>
      </w:r>
      <w:r>
        <w:rPr>
          <w:rFonts w:ascii="Times New Roman" w:hAnsi="Times New Roman" w:eastAsia="仿宋_GB2312" w:cs="仿宋_GB2312"/>
          <w:color w:val="auto"/>
          <w:sz w:val="32"/>
          <w:szCs w:val="32"/>
          <w:highlight w:val="none"/>
        </w:rPr>
        <w:t>：管护资金专账核算，专款专用，仅限用于管护薪酬、耗材维修、备件储备、设施保险、安全培训、应急抢修等管护支出，管护资金不得用于财政补助单位人员经费和运转经费、办公设备购置以及其他与高标准农田工程设施管护无关的支出；</w:t>
      </w:r>
    </w:p>
    <w:p w14:paraId="54D4EB98">
      <w:pPr>
        <w:pStyle w:val="11"/>
        <w:widowControl w:val="0"/>
        <w:numPr>
          <w:ilvl w:val="0"/>
          <w:numId w:val="0"/>
        </w:numPr>
        <w:topLinePunct w:val="0"/>
        <w:ind w:left="0" w:leftChars="0" w:firstLine="616"/>
        <w:rPr>
          <w:rFonts w:ascii="Times New Roman" w:hAnsi="Times New Roman" w:eastAsia="仿宋_GB2312" w:cs="仿宋_GB2312"/>
          <w:b w:val="0"/>
          <w:color w:val="auto"/>
          <w:sz w:val="32"/>
          <w:szCs w:val="32"/>
          <w:highlight w:val="none"/>
        </w:rPr>
      </w:pPr>
      <w:r>
        <w:rPr>
          <w:rStyle w:val="30"/>
          <w:rFonts w:hint="eastAsia" w:eastAsia="楷体_GB2312"/>
          <w:color w:val="auto"/>
          <w:lang w:eastAsia="zh-CN"/>
        </w:rPr>
        <w:t>（二）</w:t>
      </w:r>
      <w:r>
        <w:rPr>
          <w:rStyle w:val="30"/>
          <w:color w:val="auto"/>
        </w:rPr>
        <w:t>支出审批</w:t>
      </w:r>
      <w:r>
        <w:rPr>
          <w:rFonts w:ascii="Times New Roman" w:hAnsi="Times New Roman" w:eastAsia="仿宋_GB2312" w:cs="仿宋_GB2312"/>
          <w:color w:val="auto"/>
          <w:sz w:val="32"/>
          <w:szCs w:val="32"/>
          <w:highlight w:val="none"/>
        </w:rPr>
        <w:t>：资金支出严格执行民主决策“四议两公开 ＋监事会审核＋乡镇经济发展中心（农经站）复核”流程；第三方管护资金凭服务合同、履约验收单据拨付；</w:t>
      </w:r>
    </w:p>
    <w:p w14:paraId="6B3700F3">
      <w:pPr>
        <w:pStyle w:val="11"/>
        <w:widowControl w:val="0"/>
        <w:numPr>
          <w:ilvl w:val="0"/>
          <w:numId w:val="0"/>
        </w:numPr>
        <w:topLinePunct w:val="0"/>
        <w:ind w:left="0" w:leftChars="0" w:firstLine="616"/>
        <w:rPr>
          <w:rFonts w:ascii="Times New Roman" w:hAnsi="Times New Roman" w:eastAsia="仿宋_GB2312" w:cs="仿宋_GB2312"/>
          <w:b w:val="0"/>
          <w:color w:val="auto"/>
          <w:sz w:val="32"/>
          <w:szCs w:val="32"/>
          <w:highlight w:val="none"/>
        </w:rPr>
      </w:pPr>
      <w:r>
        <w:rPr>
          <w:rStyle w:val="30"/>
          <w:rFonts w:hint="eastAsia" w:eastAsia="楷体_GB2312"/>
          <w:color w:val="auto"/>
          <w:lang w:eastAsia="zh-CN"/>
        </w:rPr>
        <w:t>（三）</w:t>
      </w:r>
      <w:r>
        <w:rPr>
          <w:rStyle w:val="30"/>
          <w:color w:val="auto"/>
        </w:rPr>
        <w:t>收支公示与审计</w:t>
      </w:r>
      <w:r>
        <w:rPr>
          <w:rFonts w:ascii="Times New Roman" w:hAnsi="Times New Roman" w:eastAsia="仿宋_GB2312" w:cs="仿宋_GB2312"/>
          <w:color w:val="auto"/>
          <w:sz w:val="32"/>
          <w:szCs w:val="32"/>
          <w:highlight w:val="none"/>
        </w:rPr>
        <w:t>：村级按季度公示管护费收支台账，年度纳入村级集体经济审计，资金年度结余结转下一年管护使用，严禁私分分红、挤占挪用。</w:t>
      </w:r>
    </w:p>
    <w:p w14:paraId="092181F6">
      <w:pPr>
        <w:pStyle w:val="29"/>
        <w:widowControl w:val="0"/>
        <w:numPr>
          <w:ilvl w:val="0"/>
          <w:numId w:val="0"/>
        </w:numPr>
        <w:ind w:leftChars="0"/>
        <w:rPr>
          <w:b w:val="0"/>
          <w:color w:val="auto"/>
          <w:highlight w:val="none"/>
        </w:rPr>
      </w:pPr>
      <w:r>
        <w:rPr>
          <w:rFonts w:hint="eastAsia"/>
          <w:color w:val="auto"/>
          <w:highlight w:val="none"/>
          <w:lang w:eastAsia="zh-CN"/>
        </w:rPr>
        <w:t>第</w:t>
      </w:r>
      <w:r>
        <w:rPr>
          <w:rFonts w:hint="eastAsia"/>
          <w:color w:val="auto"/>
          <w:highlight w:val="none"/>
          <w:lang w:val="en-US" w:eastAsia="zh-CN"/>
        </w:rPr>
        <w:t>五</w:t>
      </w:r>
      <w:r>
        <w:rPr>
          <w:rFonts w:hint="eastAsia"/>
          <w:color w:val="auto"/>
          <w:highlight w:val="none"/>
          <w:lang w:eastAsia="zh-CN"/>
        </w:rPr>
        <w:t>章</w:t>
      </w:r>
      <w:r>
        <w:rPr>
          <w:rFonts w:hint="eastAsia" w:ascii="仿宋" w:hAnsi="仿宋" w:eastAsia="仿宋" w:cs="仿宋"/>
          <w:bCs/>
          <w:color w:val="auto"/>
          <w:spacing w:val="-6"/>
          <w:kern w:val="44"/>
          <w:sz w:val="32"/>
          <w:szCs w:val="32"/>
          <w:highlight w:val="none"/>
          <w:lang w:eastAsia="zh-CN" w:bidi="ar-SA"/>
        </w:rPr>
        <w:t xml:space="preserve"> </w:t>
      </w:r>
      <w:r>
        <w:rPr>
          <w:color w:val="auto"/>
          <w:highlight w:val="none"/>
        </w:rPr>
        <w:t>日常运维与标准化管护</w:t>
      </w:r>
    </w:p>
    <w:p w14:paraId="4F22F54C">
      <w:pPr>
        <w:pStyle w:val="2"/>
        <w:keepNext w:val="0"/>
        <w:keepLines w:val="0"/>
        <w:widowControl w:val="0"/>
        <w:numPr>
          <w:ilvl w:val="0"/>
          <w:numId w:val="0"/>
        </w:numPr>
        <w:ind w:left="0" w:leftChars="0" w:firstLine="640"/>
        <w:rPr>
          <w:b w:val="0"/>
          <w:color w:val="auto"/>
          <w:highlight w:val="none"/>
        </w:rPr>
      </w:pPr>
      <w:r>
        <w:rPr>
          <w:rFonts w:hint="eastAsia"/>
          <w:color w:val="auto"/>
          <w:highlight w:val="none"/>
          <w:lang w:eastAsia="zh-CN"/>
        </w:rPr>
        <w:t>第十六条</w:t>
      </w:r>
      <w:r>
        <w:rPr>
          <w:rFonts w:hint="eastAsia" w:ascii="仿宋" w:hAnsi="仿宋" w:eastAsia="仿宋" w:cs="仿宋"/>
          <w:color w:val="auto"/>
          <w:kern w:val="44"/>
          <w:sz w:val="32"/>
          <w:szCs w:val="32"/>
          <w:highlight w:val="none"/>
          <w:lang w:eastAsia="zh-CN"/>
        </w:rPr>
        <w:t xml:space="preserve"> </w:t>
      </w:r>
      <w:r>
        <w:rPr>
          <w:color w:val="auto"/>
          <w:highlight w:val="none"/>
        </w:rPr>
        <w:t xml:space="preserve">管护队伍管理 </w:t>
      </w:r>
    </w:p>
    <w:p w14:paraId="40DFD8E4">
      <w:pPr>
        <w:pStyle w:val="11"/>
        <w:widowControl w:val="0"/>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县农业农村局依托高素质农民培训统一组织管护员岗前及年度技能培训，</w:t>
      </w:r>
      <w:r>
        <w:rPr>
          <w:rFonts w:ascii="Times New Roman" w:hAnsi="Times New Roman" w:eastAsia="仿宋_GB2312" w:cs="仿宋_GB2312"/>
          <w:b/>
          <w:color w:val="auto"/>
          <w:sz w:val="32"/>
          <w:szCs w:val="32"/>
          <w:highlight w:val="none"/>
        </w:rPr>
        <w:t>考核发证，实行持证上岗，</w:t>
      </w:r>
      <w:r>
        <w:rPr>
          <w:rFonts w:ascii="Times New Roman" w:hAnsi="Times New Roman" w:eastAsia="仿宋_GB2312" w:cs="仿宋_GB2312"/>
          <w:color w:val="auto"/>
          <w:sz w:val="32"/>
          <w:szCs w:val="32"/>
          <w:highlight w:val="none"/>
        </w:rPr>
        <w:t>薪酬及培训费用从管护经</w:t>
      </w:r>
      <w:r>
        <w:rPr>
          <w:rFonts w:hint="eastAsia" w:cs="仿宋_GB2312"/>
          <w:color w:val="auto"/>
          <w:sz w:val="32"/>
          <w:szCs w:val="32"/>
          <w:highlight w:val="none"/>
          <w:lang w:eastAsia="zh-CN"/>
        </w:rPr>
        <w:t>费中</w:t>
      </w:r>
      <w:r>
        <w:rPr>
          <w:rFonts w:ascii="Times New Roman" w:hAnsi="Times New Roman" w:eastAsia="仿宋_GB2312" w:cs="仿宋_GB2312"/>
          <w:color w:val="auto"/>
          <w:sz w:val="32"/>
          <w:szCs w:val="32"/>
          <w:highlight w:val="none"/>
        </w:rPr>
        <w:t>列支。</w:t>
      </w:r>
    </w:p>
    <w:p w14:paraId="17249F0D">
      <w:pPr>
        <w:pStyle w:val="2"/>
        <w:keepNext w:val="0"/>
        <w:keepLines w:val="0"/>
        <w:widowControl w:val="0"/>
        <w:numPr>
          <w:ilvl w:val="0"/>
          <w:numId w:val="0"/>
        </w:numPr>
        <w:ind w:left="0" w:leftChars="0" w:firstLine="640"/>
        <w:rPr>
          <w:color w:val="auto"/>
          <w:highlight w:val="none"/>
        </w:rPr>
      </w:pPr>
      <w:r>
        <w:rPr>
          <w:rFonts w:hint="eastAsia"/>
          <w:color w:val="auto"/>
          <w:highlight w:val="none"/>
          <w:lang w:eastAsia="zh-CN"/>
        </w:rPr>
        <w:t xml:space="preserve">第十七条 </w:t>
      </w:r>
      <w:r>
        <w:rPr>
          <w:color w:val="auto"/>
          <w:highlight w:val="none"/>
        </w:rPr>
        <w:t>标准化标识与制度公示</w:t>
      </w:r>
    </w:p>
    <w:p w14:paraId="67746FD3">
      <w:pPr>
        <w:pStyle w:val="11"/>
        <w:widowControl w:val="0"/>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所有泵房、集中配电点位醒目位置统一上墙：《巡查制度》《维修处置制度》《安全生产管理制度》《收费公示制度》；所有设施统一编号建档、悬挂管护标牌，张贴报修二维码和监督电话，实现问题闭环处置。</w:t>
      </w:r>
    </w:p>
    <w:p w14:paraId="3E754558">
      <w:pPr>
        <w:pStyle w:val="2"/>
        <w:keepNext w:val="0"/>
        <w:keepLines w:val="0"/>
        <w:widowControl w:val="0"/>
        <w:numPr>
          <w:ilvl w:val="0"/>
          <w:numId w:val="0"/>
        </w:numPr>
        <w:ind w:left="0" w:leftChars="0" w:firstLine="640"/>
        <w:rPr>
          <w:b w:val="0"/>
          <w:color w:val="auto"/>
          <w:highlight w:val="none"/>
        </w:rPr>
      </w:pPr>
      <w:r>
        <w:rPr>
          <w:rFonts w:hint="eastAsia"/>
          <w:color w:val="auto"/>
          <w:highlight w:val="none"/>
          <w:lang w:eastAsia="zh-CN"/>
        </w:rPr>
        <w:t>第十八条</w:t>
      </w:r>
      <w:r>
        <w:rPr>
          <w:rFonts w:hint="eastAsia" w:ascii="仿宋" w:hAnsi="仿宋" w:eastAsia="仿宋" w:cs="仿宋"/>
          <w:color w:val="auto"/>
          <w:kern w:val="44"/>
          <w:sz w:val="32"/>
          <w:szCs w:val="32"/>
          <w:highlight w:val="none"/>
          <w:lang w:eastAsia="zh-CN"/>
        </w:rPr>
        <w:t xml:space="preserve"> </w:t>
      </w:r>
      <w:r>
        <w:rPr>
          <w:color w:val="auto"/>
          <w:highlight w:val="none"/>
        </w:rPr>
        <w:t>分级考核管理</w:t>
      </w:r>
    </w:p>
    <w:p w14:paraId="4439619C">
      <w:pPr>
        <w:pStyle w:val="11"/>
        <w:widowControl w:val="0"/>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乡镇每季度开展实地考核，以设施完好率、台账规范性、故障处置、公示落实为主要依据</w:t>
      </w:r>
      <w:r>
        <w:rPr>
          <w:rFonts w:hint="eastAsia" w:cs="仿宋_GB2312"/>
          <w:color w:val="auto"/>
          <w:sz w:val="32"/>
          <w:szCs w:val="32"/>
          <w:highlight w:val="none"/>
          <w:lang w:eastAsia="zh-CN"/>
        </w:rPr>
        <w:t>，把</w:t>
      </w:r>
      <w:r>
        <w:rPr>
          <w:rFonts w:ascii="Times New Roman" w:hAnsi="Times New Roman" w:eastAsia="仿宋_GB2312" w:cs="仿宋_GB2312"/>
          <w:color w:val="auto"/>
          <w:sz w:val="32"/>
          <w:szCs w:val="32"/>
          <w:highlight w:val="none"/>
        </w:rPr>
        <w:t>考核结果纳入村级绩效和评优评先，对不合格村限期整改、约谈追责。</w:t>
      </w:r>
    </w:p>
    <w:p w14:paraId="6DA7B884">
      <w:pPr>
        <w:pStyle w:val="29"/>
        <w:widowControl w:val="0"/>
        <w:numPr>
          <w:ilvl w:val="0"/>
          <w:numId w:val="0"/>
        </w:numPr>
        <w:ind w:leftChars="0"/>
        <w:rPr>
          <w:b w:val="0"/>
          <w:color w:val="auto"/>
          <w:highlight w:val="none"/>
        </w:rPr>
      </w:pPr>
      <w:r>
        <w:rPr>
          <w:rFonts w:hint="eastAsia"/>
          <w:color w:val="auto"/>
          <w:highlight w:val="none"/>
          <w:lang w:eastAsia="zh-CN"/>
        </w:rPr>
        <w:t>第</w:t>
      </w:r>
      <w:r>
        <w:rPr>
          <w:rFonts w:hint="eastAsia"/>
          <w:color w:val="auto"/>
          <w:highlight w:val="none"/>
          <w:lang w:val="en-US" w:eastAsia="zh-CN"/>
        </w:rPr>
        <w:t>六</w:t>
      </w:r>
      <w:r>
        <w:rPr>
          <w:rFonts w:hint="eastAsia"/>
          <w:color w:val="auto"/>
          <w:highlight w:val="none"/>
          <w:lang w:eastAsia="zh-CN"/>
        </w:rPr>
        <w:t>章</w:t>
      </w:r>
      <w:r>
        <w:rPr>
          <w:rFonts w:hint="eastAsia" w:ascii="仿宋" w:hAnsi="仿宋" w:eastAsia="仿宋" w:cs="仿宋"/>
          <w:bCs/>
          <w:color w:val="auto"/>
          <w:spacing w:val="-6"/>
          <w:kern w:val="44"/>
          <w:sz w:val="32"/>
          <w:szCs w:val="32"/>
          <w:highlight w:val="none"/>
          <w:lang w:eastAsia="zh-CN" w:bidi="ar-SA"/>
        </w:rPr>
        <w:t xml:space="preserve"> </w:t>
      </w:r>
      <w:r>
        <w:rPr>
          <w:color w:val="auto"/>
          <w:highlight w:val="none"/>
        </w:rPr>
        <w:t>管护流程、标准与应急处置</w:t>
      </w:r>
    </w:p>
    <w:p w14:paraId="22AA6DFE">
      <w:pPr>
        <w:pStyle w:val="2"/>
        <w:keepNext w:val="0"/>
        <w:keepLines w:val="0"/>
        <w:widowControl w:val="0"/>
        <w:numPr>
          <w:ilvl w:val="0"/>
          <w:numId w:val="0"/>
        </w:numPr>
        <w:ind w:left="0" w:leftChars="0" w:firstLine="640"/>
        <w:rPr>
          <w:b w:val="0"/>
          <w:color w:val="auto"/>
          <w:highlight w:val="none"/>
        </w:rPr>
      </w:pPr>
      <w:r>
        <w:rPr>
          <w:rFonts w:hint="eastAsia"/>
          <w:color w:val="auto"/>
          <w:highlight w:val="none"/>
          <w:lang w:eastAsia="zh-CN"/>
        </w:rPr>
        <w:t>第十九条</w:t>
      </w:r>
      <w:r>
        <w:rPr>
          <w:rFonts w:hint="eastAsia" w:ascii="仿宋" w:hAnsi="仿宋" w:eastAsia="仿宋" w:cs="仿宋"/>
          <w:color w:val="auto"/>
          <w:kern w:val="44"/>
          <w:sz w:val="32"/>
          <w:szCs w:val="32"/>
          <w:highlight w:val="none"/>
          <w:lang w:eastAsia="zh-CN"/>
        </w:rPr>
        <w:t xml:space="preserve"> </w:t>
      </w:r>
      <w:r>
        <w:rPr>
          <w:color w:val="auto"/>
          <w:highlight w:val="none"/>
        </w:rPr>
        <w:t>日常巡查</w:t>
      </w:r>
    </w:p>
    <w:p w14:paraId="60C3AD27">
      <w:pPr>
        <w:pStyle w:val="11"/>
        <w:widowControl w:val="0"/>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管护人员每周</w:t>
      </w:r>
      <w:r>
        <w:rPr>
          <w:rFonts w:ascii="Times New Roman" w:hAnsi="Times New Roman" w:eastAsia="仿宋_GB2312" w:cs="仿宋_GB2312"/>
          <w:b/>
          <w:color w:val="auto"/>
          <w:sz w:val="32"/>
          <w:szCs w:val="32"/>
          <w:highlight w:val="none"/>
        </w:rPr>
        <w:t>全覆盖巡查1次</w:t>
      </w:r>
      <w:r>
        <w:rPr>
          <w:rFonts w:ascii="Times New Roman" w:hAnsi="Times New Roman" w:eastAsia="仿宋_GB2312" w:cs="仿宋_GB2312"/>
          <w:color w:val="auto"/>
          <w:sz w:val="32"/>
          <w:szCs w:val="32"/>
          <w:highlight w:val="none"/>
        </w:rPr>
        <w:t>，逐项登记《高标准农田巡查记录表》（附件3）；小型故障当场处置；重大设施损毁、大面积跑水漏电等险情</w:t>
      </w:r>
      <w:r>
        <w:rPr>
          <w:rFonts w:ascii="Times New Roman" w:hAnsi="Times New Roman" w:eastAsia="仿宋_GB2312" w:cs="仿宋_GB2312"/>
          <w:b/>
          <w:color w:val="auto"/>
          <w:sz w:val="32"/>
          <w:szCs w:val="32"/>
          <w:highlight w:val="none"/>
        </w:rPr>
        <w:t>1小时内上报村集体、乡镇管护专班。</w:t>
      </w:r>
    </w:p>
    <w:p w14:paraId="652158A8">
      <w:pPr>
        <w:pStyle w:val="2"/>
        <w:keepNext w:val="0"/>
        <w:keepLines w:val="0"/>
        <w:widowControl w:val="0"/>
        <w:numPr>
          <w:ilvl w:val="0"/>
          <w:numId w:val="0"/>
        </w:numPr>
        <w:ind w:left="0" w:leftChars="0" w:firstLine="640"/>
        <w:rPr>
          <w:b w:val="0"/>
          <w:color w:val="auto"/>
          <w:highlight w:val="none"/>
        </w:rPr>
      </w:pPr>
      <w:r>
        <w:rPr>
          <w:rFonts w:hint="eastAsia"/>
          <w:color w:val="auto"/>
          <w:highlight w:val="none"/>
          <w:lang w:eastAsia="zh-CN"/>
        </w:rPr>
        <w:t>第二十条</w:t>
      </w:r>
      <w:r>
        <w:rPr>
          <w:rFonts w:hint="eastAsia" w:ascii="仿宋" w:hAnsi="仿宋" w:eastAsia="仿宋" w:cs="仿宋"/>
          <w:color w:val="auto"/>
          <w:kern w:val="44"/>
          <w:sz w:val="32"/>
          <w:szCs w:val="32"/>
          <w:highlight w:val="none"/>
          <w:lang w:eastAsia="zh-CN"/>
        </w:rPr>
        <w:t xml:space="preserve"> </w:t>
      </w:r>
      <w:r>
        <w:rPr>
          <w:color w:val="auto"/>
          <w:highlight w:val="none"/>
        </w:rPr>
        <w:t>分季节专项管护</w:t>
      </w:r>
    </w:p>
    <w:p w14:paraId="5CA6D6A0">
      <w:pPr>
        <w:pStyle w:val="11"/>
        <w:widowControl w:val="0"/>
        <w:numPr>
          <w:ilvl w:val="0"/>
          <w:numId w:val="0"/>
        </w:numPr>
        <w:topLinePunct w:val="0"/>
        <w:ind w:left="0" w:leftChars="0" w:firstLine="616"/>
        <w:rPr>
          <w:rFonts w:ascii="Times New Roman" w:hAnsi="Times New Roman" w:eastAsia="仿宋_GB2312" w:cs="仿宋_GB2312"/>
          <w:b w:val="0"/>
          <w:color w:val="auto"/>
          <w:sz w:val="32"/>
          <w:szCs w:val="32"/>
          <w:highlight w:val="none"/>
        </w:rPr>
      </w:pPr>
      <w:r>
        <w:rPr>
          <w:rStyle w:val="30"/>
          <w:rFonts w:hint="eastAsia" w:eastAsia="楷体_GB2312"/>
          <w:color w:val="auto"/>
          <w:lang w:eastAsia="zh-CN"/>
        </w:rPr>
        <w:t>（一）</w:t>
      </w:r>
      <w:r>
        <w:rPr>
          <w:rStyle w:val="30"/>
          <w:color w:val="auto"/>
        </w:rPr>
        <w:t>春季</w:t>
      </w:r>
      <w:r>
        <w:rPr>
          <w:rFonts w:ascii="Times New Roman" w:hAnsi="Times New Roman" w:eastAsia="仿宋_GB2312" w:cs="仿宋_GB2312"/>
          <w:color w:val="auto"/>
          <w:sz w:val="32"/>
          <w:szCs w:val="32"/>
          <w:highlight w:val="none"/>
        </w:rPr>
        <w:t>：融雪渠道清淤、冻损修复、灌溉调试、道路整平、设施加固；</w:t>
      </w:r>
    </w:p>
    <w:p w14:paraId="504CEE95">
      <w:pPr>
        <w:pStyle w:val="11"/>
        <w:widowControl w:val="0"/>
        <w:numPr>
          <w:ilvl w:val="0"/>
          <w:numId w:val="0"/>
        </w:numPr>
        <w:topLinePunct w:val="0"/>
        <w:ind w:left="0" w:leftChars="0" w:firstLine="616"/>
        <w:rPr>
          <w:rFonts w:ascii="Times New Roman" w:hAnsi="Times New Roman" w:eastAsia="仿宋_GB2312" w:cs="仿宋_GB2312"/>
          <w:b w:val="0"/>
          <w:color w:val="auto"/>
          <w:sz w:val="32"/>
          <w:szCs w:val="32"/>
          <w:highlight w:val="none"/>
        </w:rPr>
      </w:pPr>
      <w:r>
        <w:rPr>
          <w:rStyle w:val="30"/>
          <w:rFonts w:hint="eastAsia" w:eastAsia="楷体_GB2312"/>
          <w:color w:val="auto"/>
          <w:lang w:eastAsia="zh-CN"/>
        </w:rPr>
        <w:t>（二）</w:t>
      </w:r>
      <w:r>
        <w:rPr>
          <w:rStyle w:val="30"/>
          <w:color w:val="auto"/>
        </w:rPr>
        <w:t>夏季</w:t>
      </w:r>
      <w:r>
        <w:rPr>
          <w:rFonts w:ascii="Times New Roman" w:hAnsi="Times New Roman" w:eastAsia="仿宋_GB2312" w:cs="仿宋_GB2312"/>
          <w:color w:val="auto"/>
          <w:sz w:val="32"/>
          <w:szCs w:val="32"/>
          <w:highlight w:val="none"/>
        </w:rPr>
        <w:t>：加密巡检频次、管网检查井清掏、用电安全排查、设施修缮；</w:t>
      </w:r>
    </w:p>
    <w:p w14:paraId="32DD3686">
      <w:pPr>
        <w:pStyle w:val="11"/>
        <w:widowControl w:val="0"/>
        <w:numPr>
          <w:ilvl w:val="0"/>
          <w:numId w:val="0"/>
        </w:numPr>
        <w:topLinePunct w:val="0"/>
        <w:ind w:left="0" w:leftChars="0" w:firstLine="616"/>
        <w:rPr>
          <w:rFonts w:ascii="Times New Roman" w:hAnsi="Times New Roman" w:eastAsia="仿宋_GB2312" w:cs="仿宋_GB2312"/>
          <w:b w:val="0"/>
          <w:color w:val="auto"/>
          <w:sz w:val="32"/>
          <w:szCs w:val="32"/>
          <w:highlight w:val="none"/>
        </w:rPr>
      </w:pPr>
      <w:r>
        <w:rPr>
          <w:rStyle w:val="30"/>
          <w:rFonts w:hint="eastAsia" w:eastAsia="楷体_GB2312"/>
          <w:color w:val="auto"/>
          <w:lang w:eastAsia="zh-CN"/>
        </w:rPr>
        <w:t>（三）</w:t>
      </w:r>
      <w:r>
        <w:rPr>
          <w:rStyle w:val="30"/>
          <w:color w:val="auto"/>
        </w:rPr>
        <w:t>秋季</w:t>
      </w:r>
      <w:r>
        <w:rPr>
          <w:rFonts w:ascii="Times New Roman" w:hAnsi="Times New Roman" w:eastAsia="仿宋_GB2312" w:cs="仿宋_GB2312"/>
          <w:color w:val="auto"/>
          <w:sz w:val="32"/>
          <w:szCs w:val="32"/>
          <w:highlight w:val="none"/>
        </w:rPr>
        <w:t>：全面设施体检、设备保养、管网疏通、隐患集中整改；</w:t>
      </w:r>
    </w:p>
    <w:p w14:paraId="4C32C288">
      <w:pPr>
        <w:pStyle w:val="11"/>
        <w:widowControl w:val="0"/>
        <w:numPr>
          <w:ilvl w:val="0"/>
          <w:numId w:val="0"/>
        </w:numPr>
        <w:topLinePunct w:val="0"/>
        <w:ind w:left="0" w:leftChars="0" w:firstLine="616"/>
        <w:rPr>
          <w:rFonts w:ascii="Times New Roman" w:hAnsi="Times New Roman" w:eastAsia="仿宋_GB2312" w:cs="仿宋_GB2312"/>
          <w:b w:val="0"/>
          <w:color w:val="auto"/>
          <w:sz w:val="32"/>
          <w:szCs w:val="32"/>
          <w:highlight w:val="none"/>
        </w:rPr>
      </w:pPr>
      <w:r>
        <w:rPr>
          <w:rStyle w:val="30"/>
          <w:rFonts w:hint="eastAsia" w:eastAsia="楷体_GB2312"/>
          <w:color w:val="auto"/>
          <w:spacing wpsCustomData:val="-6" w:val="-2"/>
          <w:lang w:eastAsia="zh-CN"/>
        </w:rPr>
        <w:t>（四）</w:t>
      </w:r>
      <w:r>
        <w:rPr>
          <w:rStyle w:val="30"/>
          <w:color w:val="auto"/>
          <w:spacing wpsCustomData:val="-6" w:val="-2"/>
        </w:rPr>
        <w:t>冬季</w:t>
      </w:r>
      <w:r>
        <w:rPr>
          <w:rFonts w:ascii="Times New Roman" w:hAnsi="Times New Roman" w:eastAsia="仿宋_GB2312" w:cs="仿宋_GB2312"/>
          <w:color w:val="auto"/>
          <w:spacing wpsCustomData:val="-6" w:val="-2"/>
          <w:sz w:val="32"/>
          <w:szCs w:val="32"/>
          <w:highlight w:val="none"/>
        </w:rPr>
        <w:t>：管道排空防冻、设备断电上锁、露天设施防</w:t>
      </w:r>
      <w:r>
        <w:rPr>
          <w:rFonts w:ascii="Times New Roman" w:hAnsi="Times New Roman" w:eastAsia="仿宋_GB2312" w:cs="仿宋_GB2312"/>
          <w:color w:val="auto"/>
          <w:spacing wpsCustomData:val="-6" w:val="-6"/>
          <w:sz w:val="32"/>
          <w:szCs w:val="32"/>
          <w:highlight w:val="none"/>
        </w:rPr>
        <w:t>寒</w:t>
      </w:r>
      <w:r>
        <w:rPr>
          <w:rFonts w:ascii="Times New Roman" w:hAnsi="Times New Roman" w:eastAsia="仿宋_GB2312" w:cs="仿宋_GB2312"/>
          <w:color w:val="auto"/>
          <w:sz w:val="32"/>
          <w:szCs w:val="32"/>
          <w:highlight w:val="none"/>
        </w:rPr>
        <w:t>封存。</w:t>
      </w:r>
    </w:p>
    <w:p w14:paraId="3A4389AE">
      <w:pPr>
        <w:pStyle w:val="2"/>
        <w:keepNext w:val="0"/>
        <w:keepLines w:val="0"/>
        <w:widowControl w:val="0"/>
        <w:numPr>
          <w:ilvl w:val="0"/>
          <w:numId w:val="0"/>
        </w:numPr>
        <w:ind w:left="0" w:leftChars="0" w:firstLine="640"/>
        <w:rPr>
          <w:b w:val="0"/>
          <w:color w:val="auto"/>
          <w:highlight w:val="none"/>
        </w:rPr>
      </w:pPr>
      <w:r>
        <w:rPr>
          <w:rFonts w:hint="eastAsia"/>
          <w:color w:val="auto"/>
          <w:highlight w:val="none"/>
          <w:lang w:eastAsia="zh-CN"/>
        </w:rPr>
        <w:t>第二十一条</w:t>
      </w:r>
      <w:r>
        <w:rPr>
          <w:rFonts w:hint="eastAsia" w:ascii="仿宋" w:hAnsi="仿宋" w:eastAsia="仿宋" w:cs="仿宋"/>
          <w:color w:val="auto"/>
          <w:kern w:val="44"/>
          <w:sz w:val="32"/>
          <w:szCs w:val="32"/>
          <w:highlight w:val="none"/>
          <w:lang w:eastAsia="zh-CN"/>
        </w:rPr>
        <w:t xml:space="preserve"> </w:t>
      </w:r>
      <w:r>
        <w:rPr>
          <w:color w:val="auto"/>
          <w:highlight w:val="none"/>
        </w:rPr>
        <w:t xml:space="preserve">应急抢修时限  </w:t>
      </w:r>
    </w:p>
    <w:p w14:paraId="5266C0FD">
      <w:pPr>
        <w:pStyle w:val="11"/>
        <w:widowControl w:val="0"/>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突发管道爆裂、断电停灌、道路坍塌等险情实行30 分钟响应、4 小时人员到场、24 小时完成处置。乡镇组建应急抢修队伍、村级储备应急配件，大面积自然灾害损毁按程序逐级申报抢修补助。</w:t>
      </w:r>
    </w:p>
    <w:p w14:paraId="2F0D338C">
      <w:pPr>
        <w:pStyle w:val="2"/>
        <w:keepNext w:val="0"/>
        <w:keepLines w:val="0"/>
        <w:widowControl w:val="0"/>
        <w:numPr>
          <w:ilvl w:val="0"/>
          <w:numId w:val="0"/>
        </w:numPr>
        <w:ind w:left="0" w:leftChars="0" w:firstLine="640"/>
        <w:rPr>
          <w:b w:val="0"/>
          <w:color w:val="auto"/>
          <w:highlight w:val="none"/>
        </w:rPr>
      </w:pPr>
      <w:r>
        <w:rPr>
          <w:rFonts w:hint="eastAsia"/>
          <w:color w:val="auto"/>
          <w:highlight w:val="none"/>
          <w:lang w:eastAsia="zh-CN"/>
        </w:rPr>
        <w:t>第二十二条</w:t>
      </w:r>
      <w:r>
        <w:rPr>
          <w:rFonts w:hint="eastAsia" w:ascii="仿宋" w:hAnsi="仿宋" w:eastAsia="仿宋" w:cs="仿宋"/>
          <w:color w:val="auto"/>
          <w:kern w:val="44"/>
          <w:sz w:val="32"/>
          <w:szCs w:val="32"/>
          <w:highlight w:val="none"/>
          <w:lang w:eastAsia="zh-CN"/>
        </w:rPr>
        <w:t xml:space="preserve"> </w:t>
      </w:r>
      <w:r>
        <w:rPr>
          <w:color w:val="auto"/>
          <w:highlight w:val="none"/>
        </w:rPr>
        <w:t xml:space="preserve">台账标准化管理  </w:t>
      </w:r>
    </w:p>
    <w:p w14:paraId="36A90DD3">
      <w:pPr>
        <w:pStyle w:val="11"/>
        <w:widowControl w:val="0"/>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实行“一项目一台账、一设施一档案”，完整归集资产移交、巡查记录、维修凭证、收费票据、备件领用、隐患整改全链条资料，做到账实相符、有据可查、审计可追溯。</w:t>
      </w:r>
    </w:p>
    <w:p w14:paraId="16D50419">
      <w:pPr>
        <w:pStyle w:val="2"/>
        <w:keepNext w:val="0"/>
        <w:keepLines w:val="0"/>
        <w:widowControl w:val="0"/>
        <w:numPr>
          <w:ilvl w:val="0"/>
          <w:numId w:val="0"/>
        </w:numPr>
        <w:ind w:left="0" w:leftChars="0" w:firstLine="640"/>
        <w:rPr>
          <w:b w:val="0"/>
          <w:color w:val="auto"/>
          <w:highlight w:val="none"/>
        </w:rPr>
      </w:pPr>
      <w:r>
        <w:rPr>
          <w:rFonts w:hint="eastAsia"/>
          <w:color w:val="auto"/>
          <w:highlight w:val="none"/>
          <w:lang w:eastAsia="zh-CN"/>
        </w:rPr>
        <w:t>第二十三条</w:t>
      </w:r>
      <w:r>
        <w:rPr>
          <w:rFonts w:hint="eastAsia" w:ascii="仿宋" w:hAnsi="仿宋" w:eastAsia="仿宋" w:cs="仿宋"/>
          <w:color w:val="auto"/>
          <w:kern w:val="44"/>
          <w:sz w:val="32"/>
          <w:szCs w:val="32"/>
          <w:highlight w:val="none"/>
          <w:lang w:eastAsia="zh-CN"/>
        </w:rPr>
        <w:t xml:space="preserve"> </w:t>
      </w:r>
      <w:r>
        <w:rPr>
          <w:color w:val="auto"/>
          <w:highlight w:val="none"/>
        </w:rPr>
        <w:t xml:space="preserve">安全生产管控  </w:t>
      </w:r>
    </w:p>
    <w:p w14:paraId="5A9D35F8">
      <w:pPr>
        <w:pStyle w:val="11"/>
        <w:widowControl w:val="0"/>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常态化开展安全排查和安全培训，高危设施专人上锁管控。第三方运维作业发生的安全事故及损失，由第三方全权承担经济和法律责任。</w:t>
      </w:r>
    </w:p>
    <w:p w14:paraId="7ACA5AFB">
      <w:pPr>
        <w:pStyle w:val="29"/>
        <w:widowControl w:val="0"/>
        <w:numPr>
          <w:ilvl w:val="0"/>
          <w:numId w:val="0"/>
        </w:numPr>
        <w:ind w:leftChars="0"/>
        <w:rPr>
          <w:b w:val="0"/>
          <w:color w:val="auto"/>
          <w:highlight w:val="none"/>
        </w:rPr>
      </w:pPr>
      <w:r>
        <w:rPr>
          <w:rFonts w:hint="eastAsia"/>
          <w:color w:val="auto"/>
          <w:highlight w:val="none"/>
          <w:lang w:eastAsia="zh-CN"/>
        </w:rPr>
        <w:t>第</w:t>
      </w:r>
      <w:r>
        <w:rPr>
          <w:rFonts w:hint="eastAsia"/>
          <w:color w:val="auto"/>
          <w:highlight w:val="none"/>
          <w:lang w:val="en-US" w:eastAsia="zh-CN"/>
        </w:rPr>
        <w:t>七</w:t>
      </w:r>
      <w:r>
        <w:rPr>
          <w:rFonts w:hint="eastAsia"/>
          <w:color w:val="auto"/>
          <w:highlight w:val="none"/>
          <w:lang w:eastAsia="zh-CN"/>
        </w:rPr>
        <w:t>章</w:t>
      </w:r>
      <w:r>
        <w:rPr>
          <w:rFonts w:hint="eastAsia" w:ascii="仿宋" w:hAnsi="仿宋" w:eastAsia="仿宋" w:cs="仿宋"/>
          <w:bCs/>
          <w:color w:val="auto"/>
          <w:spacing w:val="-6"/>
          <w:kern w:val="44"/>
          <w:sz w:val="32"/>
          <w:szCs w:val="32"/>
          <w:highlight w:val="none"/>
          <w:lang w:eastAsia="zh-CN" w:bidi="ar-SA"/>
        </w:rPr>
        <w:t xml:space="preserve"> </w:t>
      </w:r>
      <w:r>
        <w:rPr>
          <w:color w:val="auto"/>
          <w:highlight w:val="none"/>
        </w:rPr>
        <w:t>保障与约束机制</w:t>
      </w:r>
    </w:p>
    <w:p w14:paraId="57FF89A0">
      <w:pPr>
        <w:pStyle w:val="2"/>
        <w:keepNext w:val="0"/>
        <w:keepLines w:val="0"/>
        <w:widowControl w:val="0"/>
        <w:numPr>
          <w:ilvl w:val="0"/>
          <w:numId w:val="0"/>
        </w:numPr>
        <w:ind w:left="0" w:leftChars="0" w:firstLine="640"/>
        <w:rPr>
          <w:b w:val="0"/>
          <w:color w:val="auto"/>
          <w:highlight w:val="none"/>
        </w:rPr>
      </w:pPr>
      <w:r>
        <w:rPr>
          <w:rFonts w:hint="eastAsia"/>
          <w:color w:val="auto"/>
          <w:highlight w:val="none"/>
          <w:lang w:eastAsia="zh-CN"/>
        </w:rPr>
        <w:t>第二十四条</w:t>
      </w:r>
      <w:r>
        <w:rPr>
          <w:rFonts w:hint="eastAsia" w:ascii="仿宋" w:hAnsi="仿宋" w:eastAsia="仿宋" w:cs="仿宋"/>
          <w:color w:val="auto"/>
          <w:kern w:val="44"/>
          <w:sz w:val="32"/>
          <w:szCs w:val="32"/>
          <w:highlight w:val="none"/>
          <w:lang w:eastAsia="zh-CN"/>
        </w:rPr>
        <w:t xml:space="preserve"> </w:t>
      </w:r>
      <w:r>
        <w:rPr>
          <w:color w:val="auto"/>
          <w:highlight w:val="none"/>
        </w:rPr>
        <w:t>宣传引导</w:t>
      </w:r>
    </w:p>
    <w:p w14:paraId="1E9F5070">
      <w:pPr>
        <w:pStyle w:val="11"/>
        <w:widowControl w:val="0"/>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依托村集体经济组织成员（代表）大会、入户宣讲、双语村务公示、村级微信群常态化宣传管护政策，引导农户主动缴费、自觉护管设施。</w:t>
      </w:r>
    </w:p>
    <w:p w14:paraId="2D2ECC8D">
      <w:pPr>
        <w:pStyle w:val="2"/>
        <w:keepNext w:val="0"/>
        <w:keepLines w:val="0"/>
        <w:widowControl w:val="0"/>
        <w:numPr>
          <w:ilvl w:val="0"/>
          <w:numId w:val="0"/>
        </w:numPr>
        <w:ind w:left="0" w:leftChars="0" w:firstLine="640"/>
        <w:rPr>
          <w:b w:val="0"/>
          <w:color w:val="auto"/>
          <w:highlight w:val="none"/>
        </w:rPr>
      </w:pPr>
      <w:r>
        <w:rPr>
          <w:rFonts w:hint="eastAsia"/>
          <w:color w:val="auto"/>
          <w:highlight w:val="none"/>
          <w:lang w:eastAsia="zh-CN"/>
        </w:rPr>
        <w:t>第二十五条</w:t>
      </w:r>
      <w:r>
        <w:rPr>
          <w:rFonts w:hint="eastAsia" w:ascii="仿宋" w:hAnsi="仿宋" w:eastAsia="仿宋" w:cs="仿宋"/>
          <w:color w:val="auto"/>
          <w:kern w:val="44"/>
          <w:sz w:val="32"/>
          <w:szCs w:val="32"/>
          <w:highlight w:val="none"/>
          <w:lang w:eastAsia="zh-CN"/>
        </w:rPr>
        <w:t xml:space="preserve"> </w:t>
      </w:r>
      <w:r>
        <w:rPr>
          <w:color w:val="auto"/>
          <w:highlight w:val="none"/>
        </w:rPr>
        <w:t xml:space="preserve">收费纪律约束 </w:t>
      </w:r>
    </w:p>
    <w:p w14:paraId="46827A31">
      <w:pPr>
        <w:pStyle w:val="11"/>
        <w:widowControl w:val="0"/>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严禁超标收费、搭车收费、捆绑收费。一经查实违规收费，立即清退整改，严肃追责问责。</w:t>
      </w:r>
    </w:p>
    <w:p w14:paraId="560F8511">
      <w:pPr>
        <w:pStyle w:val="2"/>
        <w:keepNext w:val="0"/>
        <w:keepLines w:val="0"/>
        <w:widowControl w:val="0"/>
        <w:numPr>
          <w:ilvl w:val="0"/>
          <w:numId w:val="0"/>
        </w:numPr>
        <w:ind w:left="0" w:leftChars="0" w:firstLine="640"/>
        <w:rPr>
          <w:b w:val="0"/>
          <w:color w:val="auto"/>
          <w:highlight w:val="none"/>
        </w:rPr>
      </w:pPr>
      <w:r>
        <w:rPr>
          <w:rFonts w:hint="eastAsia"/>
          <w:color w:val="auto"/>
          <w:highlight w:val="none"/>
          <w:lang w:eastAsia="zh-CN"/>
        </w:rPr>
        <w:t>第二十六条</w:t>
      </w:r>
      <w:r>
        <w:rPr>
          <w:rFonts w:hint="eastAsia" w:ascii="仿宋" w:hAnsi="仿宋" w:eastAsia="仿宋" w:cs="仿宋"/>
          <w:color w:val="auto"/>
          <w:kern w:val="44"/>
          <w:sz w:val="32"/>
          <w:szCs w:val="32"/>
          <w:highlight w:val="none"/>
          <w:lang w:eastAsia="zh-CN"/>
        </w:rPr>
        <w:t xml:space="preserve"> </w:t>
      </w:r>
      <w:r>
        <w:rPr>
          <w:color w:val="auto"/>
          <w:highlight w:val="none"/>
        </w:rPr>
        <w:t xml:space="preserve">失信约束举措  </w:t>
      </w:r>
    </w:p>
    <w:p w14:paraId="529EF7AB">
      <w:pPr>
        <w:pStyle w:val="11"/>
        <w:widowControl w:val="0"/>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对恶意损毁设施</w:t>
      </w:r>
      <w:r>
        <w:rPr>
          <w:rFonts w:hint="eastAsia" w:cs="仿宋_GB2312"/>
          <w:color w:val="auto"/>
          <w:sz w:val="32"/>
          <w:szCs w:val="32"/>
          <w:highlight w:val="none"/>
          <w:lang w:val="en-US" w:eastAsia="zh-CN"/>
        </w:rPr>
        <w:t>的单位和个人，依法责令其限期修复、赔偿损失；违反治安管理规定的，移交公安机关依法处理；构成犯罪的，依法追究刑事责任。对</w:t>
      </w:r>
      <w:r>
        <w:rPr>
          <w:rFonts w:ascii="Times New Roman" w:hAnsi="Times New Roman" w:eastAsia="仿宋_GB2312" w:cs="仿宋_GB2312"/>
          <w:color w:val="auto"/>
          <w:sz w:val="32"/>
          <w:szCs w:val="32"/>
          <w:highlight w:val="none"/>
        </w:rPr>
        <w:t>长期无故拒缴管护费的主体，在村内公示、与村集体经济收益分红挂钩、依法暂停其集体资源使用权；造成重大损失的，依法诉讼追偿。村集体经济组织与种植大户签订承包合同（协议）时明确具体的违约责任，依规合法保障村集体经济组织的合法权益。</w:t>
      </w:r>
    </w:p>
    <w:p w14:paraId="7445873C">
      <w:pPr>
        <w:pStyle w:val="2"/>
        <w:keepNext w:val="0"/>
        <w:keepLines w:val="0"/>
        <w:widowControl w:val="0"/>
        <w:numPr>
          <w:ilvl w:val="0"/>
          <w:numId w:val="0"/>
        </w:numPr>
        <w:ind w:left="0" w:leftChars="0" w:firstLine="640"/>
        <w:rPr>
          <w:b w:val="0"/>
          <w:color w:val="auto"/>
          <w:highlight w:val="none"/>
        </w:rPr>
      </w:pPr>
      <w:r>
        <w:rPr>
          <w:rFonts w:hint="eastAsia"/>
          <w:color w:val="auto"/>
          <w:highlight w:val="none"/>
          <w:lang w:eastAsia="zh-CN"/>
        </w:rPr>
        <w:t>第二十七条</w:t>
      </w:r>
      <w:r>
        <w:rPr>
          <w:rFonts w:hint="eastAsia" w:ascii="仿宋" w:hAnsi="仿宋" w:eastAsia="仿宋" w:cs="仿宋"/>
          <w:color w:val="auto"/>
          <w:kern w:val="44"/>
          <w:sz w:val="32"/>
          <w:szCs w:val="32"/>
          <w:highlight w:val="none"/>
          <w:lang w:eastAsia="zh-CN"/>
        </w:rPr>
        <w:t xml:space="preserve"> </w:t>
      </w:r>
      <w:r>
        <w:rPr>
          <w:color w:val="auto"/>
          <w:highlight w:val="none"/>
        </w:rPr>
        <w:t xml:space="preserve">保险兜底保障  </w:t>
      </w:r>
    </w:p>
    <w:p w14:paraId="1E687D40">
      <w:pPr>
        <w:pStyle w:val="11"/>
        <w:widowControl w:val="0"/>
        <w:jc w:val="both"/>
        <w:rPr>
          <w:rFonts w:hint="eastAsia" w:cs="仿宋_GB2312"/>
          <w:color w:val="auto"/>
          <w:sz w:val="32"/>
          <w:szCs w:val="32"/>
          <w:highlight w:val="none"/>
          <w:lang w:val="en-US" w:eastAsia="zh-CN"/>
        </w:rPr>
      </w:pPr>
      <w:r>
        <w:rPr>
          <w:rFonts w:ascii="Times New Roman" w:hAnsi="Times New Roman" w:eastAsia="仿宋_GB2312" w:cs="仿宋_GB2312"/>
          <w:color w:val="auto"/>
          <w:sz w:val="32"/>
          <w:szCs w:val="32"/>
          <w:highlight w:val="none"/>
        </w:rPr>
        <w:t xml:space="preserve">统筹利用管护资金统一投保农田设施保险，自然灾害及意外损毁由保险理赔资金优先用于设施修复，降低运维负担。          </w:t>
      </w:r>
      <w:r>
        <w:rPr>
          <w:rFonts w:hint="eastAsia" w:cs="仿宋_GB2312"/>
          <w:color w:val="auto"/>
          <w:sz w:val="32"/>
          <w:szCs w:val="32"/>
          <w:highlight w:val="none"/>
          <w:lang w:val="en-US" w:eastAsia="zh-CN"/>
        </w:rPr>
        <w:t xml:space="preserve"> </w:t>
      </w:r>
    </w:p>
    <w:p w14:paraId="330ECE2A">
      <w:pPr>
        <w:pStyle w:val="11"/>
        <w:widowControl w:val="0"/>
        <w:ind w:left="0" w:leftChars="0" w:firstLine="0" w:firstLineChars="0"/>
        <w:jc w:val="center"/>
        <w:rPr>
          <w:rFonts w:hint="eastAsia" w:ascii="黑体" w:hAnsi="黑体" w:eastAsia="黑体" w:cs="黑体"/>
          <w:bCs/>
          <w:color w:val="auto"/>
          <w:spacing w:val="-6"/>
          <w:kern w:val="44"/>
          <w:sz w:val="32"/>
          <w:szCs w:val="32"/>
          <w:highlight w:val="none"/>
          <w:lang w:eastAsia="zh-CN" w:bidi="ar-SA"/>
        </w:rPr>
      </w:pPr>
      <w:r>
        <w:rPr>
          <w:rFonts w:hint="eastAsia" w:ascii="黑体" w:hAnsi="黑体" w:eastAsia="黑体" w:cs="黑体"/>
          <w:bCs/>
          <w:color w:val="auto"/>
          <w:spacing w:val="-6"/>
          <w:kern w:val="44"/>
          <w:sz w:val="32"/>
          <w:szCs w:val="32"/>
          <w:highlight w:val="none"/>
          <w:lang w:eastAsia="zh-CN" w:bidi="ar-SA"/>
        </w:rPr>
        <w:t>第八章  附则</w:t>
      </w:r>
    </w:p>
    <w:p w14:paraId="78BCA3BB">
      <w:pPr>
        <w:pStyle w:val="2"/>
        <w:keepNext w:val="0"/>
        <w:keepLines w:val="0"/>
        <w:widowControl w:val="0"/>
        <w:numPr>
          <w:ilvl w:val="0"/>
          <w:numId w:val="0"/>
        </w:numPr>
        <w:ind w:left="0" w:leftChars="0" w:firstLine="640"/>
        <w:rPr>
          <w:rFonts w:hint="eastAsia" w:ascii="仿宋" w:hAnsi="仿宋" w:eastAsia="仿宋" w:cs="仿宋"/>
          <w:color w:val="auto"/>
          <w:kern w:val="44"/>
          <w:sz w:val="32"/>
          <w:szCs w:val="32"/>
          <w:highlight w:val="none"/>
          <w:lang w:eastAsia="zh-CN"/>
        </w:rPr>
      </w:pPr>
      <w:r>
        <w:rPr>
          <w:rFonts w:hint="eastAsia"/>
          <w:color w:val="auto"/>
          <w:highlight w:val="none"/>
          <w:lang w:eastAsia="zh-CN"/>
        </w:rPr>
        <w:t>第二十八条</w:t>
      </w:r>
      <w:r>
        <w:rPr>
          <w:rFonts w:hint="eastAsia" w:ascii="仿宋" w:hAnsi="仿宋" w:eastAsia="仿宋" w:cs="仿宋"/>
          <w:color w:val="auto"/>
          <w:kern w:val="44"/>
          <w:sz w:val="32"/>
          <w:szCs w:val="32"/>
          <w:highlight w:val="none"/>
          <w:lang w:eastAsia="zh-CN"/>
        </w:rPr>
        <w:t xml:space="preserve"> 国有企事业单位</w:t>
      </w:r>
      <w:r>
        <w:rPr>
          <w:rFonts w:hint="eastAsia" w:ascii="仿宋" w:hAnsi="仿宋" w:eastAsia="仿宋" w:cs="仿宋"/>
          <w:color w:val="auto"/>
          <w:kern w:val="44"/>
          <w:sz w:val="32"/>
          <w:szCs w:val="32"/>
          <w:highlight w:val="none"/>
          <w:lang w:val="en-US" w:eastAsia="zh-CN"/>
        </w:rPr>
        <w:t>及牛场片区</w:t>
      </w:r>
      <w:r>
        <w:rPr>
          <w:rFonts w:hint="eastAsia" w:ascii="仿宋" w:hAnsi="仿宋" w:eastAsia="仿宋" w:cs="仿宋"/>
          <w:color w:val="auto"/>
          <w:kern w:val="44"/>
          <w:sz w:val="32"/>
          <w:szCs w:val="32"/>
          <w:highlight w:val="none"/>
          <w:lang w:eastAsia="zh-CN"/>
        </w:rPr>
        <w:t>等资产使用、收益主体，参照本办法规定执行。</w:t>
      </w:r>
    </w:p>
    <w:p w14:paraId="46C90D49">
      <w:pPr>
        <w:pStyle w:val="2"/>
        <w:keepNext w:val="0"/>
        <w:keepLines w:val="0"/>
        <w:widowControl w:val="0"/>
        <w:numPr>
          <w:ilvl w:val="0"/>
          <w:numId w:val="0"/>
        </w:numPr>
        <w:ind w:left="0" w:leftChars="0" w:firstLine="640"/>
        <w:rPr>
          <w:b w:val="0"/>
          <w:color w:val="auto"/>
          <w:highlight w:val="none"/>
        </w:rPr>
      </w:pPr>
      <w:r>
        <w:rPr>
          <w:rFonts w:hint="eastAsia"/>
          <w:color w:val="auto"/>
          <w:highlight w:val="none"/>
          <w:lang w:eastAsia="zh-CN"/>
        </w:rPr>
        <w:t>第二十九条</w:t>
      </w:r>
      <w:r>
        <w:rPr>
          <w:rFonts w:hint="eastAsia"/>
          <w:color w:val="auto"/>
          <w:highlight w:val="none"/>
          <w:lang w:val="en-US" w:eastAsia="zh-CN"/>
        </w:rPr>
        <w:t xml:space="preserve"> </w:t>
      </w:r>
      <w:r>
        <w:rPr>
          <w:color w:val="auto"/>
          <w:highlight w:val="none"/>
        </w:rPr>
        <w:t xml:space="preserve">实施时效 </w:t>
      </w:r>
    </w:p>
    <w:p w14:paraId="41E0C871">
      <w:pPr>
        <w:pStyle w:val="2"/>
        <w:keepNext w:val="0"/>
        <w:keepLines w:val="0"/>
        <w:widowControl w:val="0"/>
        <w:numPr>
          <w:ilvl w:val="0"/>
          <w:numId w:val="0"/>
        </w:numPr>
        <w:ind w:left="0" w:leftChars="0" w:firstLine="640"/>
        <w:rPr>
          <w:rFonts w:hint="eastAsia" w:ascii="Times New Roman" w:hAnsi="Times New Roman" w:eastAsia="仿宋_GB2312" w:cs="仿宋_GB2312"/>
          <w:color w:val="auto"/>
          <w:sz w:val="32"/>
          <w:szCs w:val="32"/>
          <w:highlight w:val="yellow"/>
          <w:lang w:eastAsia="zh-CN"/>
        </w:rPr>
      </w:pPr>
      <w:r>
        <w:rPr>
          <w:rFonts w:ascii="Times New Roman" w:hAnsi="Times New Roman" w:eastAsia="仿宋_GB2312" w:cs="仿宋_GB2312"/>
          <w:color w:val="auto"/>
          <w:sz w:val="32"/>
          <w:szCs w:val="32"/>
          <w:highlight w:val="none"/>
        </w:rPr>
        <w:t>本办法自2026年</w:t>
      </w:r>
      <w:r>
        <w:rPr>
          <w:rFonts w:hint="eastAsia" w:ascii="Times New Roman" w:hAnsi="Times New Roman" w:eastAsia="仿宋_GB2312" w:cs="仿宋_GB2312"/>
          <w:color w:val="auto"/>
          <w:sz w:val="32"/>
          <w:szCs w:val="32"/>
          <w:highlight w:val="none"/>
          <w:lang w:val="en-US" w:eastAsia="zh-CN"/>
        </w:rPr>
        <w:t>10</w:t>
      </w:r>
      <w:r>
        <w:rPr>
          <w:rFonts w:ascii="Times New Roman" w:hAnsi="Times New Roman" w:eastAsia="仿宋_GB2312" w:cs="仿宋_GB2312"/>
          <w:color w:val="auto"/>
          <w:sz w:val="32"/>
          <w:szCs w:val="32"/>
          <w:highlight w:val="none"/>
        </w:rPr>
        <w:t>月</w:t>
      </w:r>
      <w:r>
        <w:rPr>
          <w:rFonts w:hint="eastAsia" w:ascii="Times New Roman" w:hAnsi="Times New Roman" w:eastAsia="仿宋_GB2312" w:cs="仿宋_GB2312"/>
          <w:color w:val="auto"/>
          <w:sz w:val="32"/>
          <w:szCs w:val="32"/>
          <w:highlight w:val="none"/>
          <w:lang w:val="en-US" w:eastAsia="zh-CN"/>
        </w:rPr>
        <w:t>1</w:t>
      </w:r>
      <w:bookmarkStart w:id="1" w:name="_GoBack"/>
      <w:bookmarkEnd w:id="1"/>
      <w:r>
        <w:rPr>
          <w:rFonts w:ascii="Times New Roman" w:hAnsi="Times New Roman" w:eastAsia="仿宋_GB2312" w:cs="仿宋_GB2312"/>
          <w:color w:val="auto"/>
          <w:sz w:val="32"/>
          <w:szCs w:val="32"/>
          <w:highlight w:val="none"/>
        </w:rPr>
        <w:t>日起施行，县域原有同类管护规定与本办法不一致的，以本办法为准</w:t>
      </w:r>
      <w:r>
        <w:rPr>
          <w:rFonts w:hint="eastAsia" w:ascii="Times New Roman" w:hAnsi="Times New Roman" w:eastAsia="仿宋_GB2312" w:cs="仿宋_GB2312"/>
          <w:color w:val="auto"/>
          <w:sz w:val="32"/>
          <w:szCs w:val="32"/>
          <w:highlight w:val="none"/>
          <w:lang w:eastAsia="zh-CN"/>
        </w:rPr>
        <w:t>。</w:t>
      </w:r>
    </w:p>
    <w:p w14:paraId="008353C1">
      <w:pPr>
        <w:pStyle w:val="2"/>
        <w:keepNext w:val="0"/>
        <w:keepLines w:val="0"/>
        <w:widowControl w:val="0"/>
        <w:numPr>
          <w:ilvl w:val="0"/>
          <w:numId w:val="0"/>
        </w:numPr>
        <w:ind w:left="0" w:leftChars="0" w:firstLine="640"/>
        <w:rPr>
          <w:b w:val="0"/>
          <w:color w:val="auto"/>
          <w:highlight w:val="none"/>
        </w:rPr>
      </w:pPr>
      <w:r>
        <w:rPr>
          <w:rFonts w:hint="eastAsia"/>
          <w:color w:val="auto"/>
          <w:highlight w:val="none"/>
          <w:lang w:val="en-US" w:eastAsia="zh-CN"/>
        </w:rPr>
        <w:t>第三十条</w:t>
      </w:r>
      <w:r>
        <w:rPr>
          <w:rFonts w:hint="eastAsia" w:ascii="仿宋" w:hAnsi="仿宋" w:eastAsia="仿宋" w:cs="仿宋"/>
          <w:color w:val="auto"/>
          <w:kern w:val="44"/>
          <w:sz w:val="32"/>
          <w:szCs w:val="32"/>
          <w:highlight w:val="none"/>
          <w:lang w:eastAsia="zh-CN"/>
        </w:rPr>
        <w:t xml:space="preserve"> </w:t>
      </w:r>
      <w:r>
        <w:rPr>
          <w:color w:val="auto"/>
          <w:highlight w:val="none"/>
        </w:rPr>
        <w:t>解释权限</w:t>
      </w:r>
    </w:p>
    <w:p w14:paraId="7E1BD094">
      <w:pPr>
        <w:pStyle w:val="11"/>
        <w:widowControl w:val="0"/>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本办法由巩留县农业农村局负责解释。</w:t>
      </w:r>
    </w:p>
    <w:p w14:paraId="377DA887">
      <w:pPr>
        <w:pStyle w:val="11"/>
        <w:widowControl w:val="0"/>
        <w:bidi w:val="0"/>
        <w:rPr>
          <w:color w:val="auto"/>
        </w:rPr>
      </w:pPr>
    </w:p>
    <w:p w14:paraId="73ABDA40">
      <w:pPr>
        <w:pStyle w:val="11"/>
        <w:widowControl w:val="0"/>
        <w:ind w:left="2162" w:hanging="1546" w:firstLineChars="0"/>
        <w:rPr>
          <w:rFonts w:ascii="Times New Roman" w:hAnsi="Times New Roman" w:eastAsia="仿宋_GB2312" w:cs="仿宋_GB2312"/>
          <w:b/>
          <w:color w:val="auto"/>
          <w:sz w:val="32"/>
          <w:szCs w:val="32"/>
          <w:highlight w:val="none"/>
        </w:rPr>
      </w:pPr>
      <mc:AlternateContent>
        <mc:Choice Requires="wpsCustomData">
          <wpsCustomData:docfieldStart id="1" docfieldname="附件说明_1" hidden="0" print="1" readonly="0" index="6"/>
        </mc:Choice>
      </mc:AlternateContent>
      <w:r>
        <w:rPr>
          <w:rFonts w:ascii="Times New Roman" w:hAnsi="Times New Roman" w:eastAsia="仿宋_GB2312" w:cs="仿宋_GB2312"/>
          <w:b/>
          <w:color w:val="auto"/>
          <w:sz w:val="32"/>
          <w:szCs w:val="32"/>
          <w:highlight w:val="none"/>
        </w:rPr>
        <w:t>附件清单：</w:t>
      </w:r>
    </w:p>
    <w:p w14:paraId="48151D3D">
      <w:pPr>
        <w:pStyle w:val="11"/>
        <w:widowControl w:val="0"/>
        <w:ind w:left="2162" w:firstLine="0" w:firstLineChars="0"/>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附件 1：管护项目与标准</w:t>
      </w:r>
    </w:p>
    <w:p w14:paraId="20982730">
      <w:pPr>
        <w:pStyle w:val="11"/>
        <w:widowControl w:val="0"/>
        <w:ind w:left="2162" w:firstLine="0" w:firstLineChars="0"/>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附件 2：高标准农田自主管护 ／ 第三方托管两种运营及收费模式细则</w:t>
      </w:r>
    </w:p>
    <w:p w14:paraId="471E3124">
      <w:pPr>
        <w:pStyle w:val="11"/>
        <w:widowControl w:val="0"/>
        <w:ind w:left="2162" w:firstLine="0" w:firstLineChars="0"/>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 xml:space="preserve">附件 3：高标准农田建设项目巡查记录表    </w:t>
      </w:r>
      <mc:AlternateContent>
        <mc:Choice Requires="wpsCustomData">
          <wpsCustomData:docfieldEnd id="1"/>
        </mc:Choice>
      </mc:AlternateContent>
    </w:p>
    <w:p w14:paraId="5A80937F">
      <w:pPr>
        <w:pStyle w:val="11"/>
        <w:spacing w:line="520" w:lineRule="exact"/>
        <w:ind w:left="50" w:right="125" w:firstLine="672" w:firstLineChars="200"/>
        <w:rPr>
          <w:rFonts w:hint="eastAsia"/>
          <w:color w:val="auto"/>
          <w:spacing w:val="8"/>
          <w:sz w:val="32"/>
          <w:szCs w:val="32"/>
          <w:highlight w:val="none"/>
          <w:lang w:val="en-US" w:eastAsia="zh-CN"/>
        </w:rPr>
      </w:pPr>
    </w:p>
    <w:p w14:paraId="7B1EEFF9">
      <w:pPr>
        <w:pStyle w:val="11"/>
        <w:spacing w:line="520" w:lineRule="exact"/>
        <w:ind w:left="50" w:right="125" w:firstLine="672" w:firstLineChars="200"/>
        <w:rPr>
          <w:rFonts w:hint="eastAsia"/>
          <w:color w:val="auto"/>
          <w:spacing w:val="8"/>
          <w:sz w:val="32"/>
          <w:szCs w:val="32"/>
          <w:highlight w:val="none"/>
          <w:lang w:val="en-US" w:eastAsia="zh-CN"/>
        </w:rPr>
      </w:pPr>
    </w:p>
    <w:p w14:paraId="53EA7616">
      <w:pPr>
        <w:rPr>
          <w:color w:val="auto"/>
          <w:highlight w:val="none"/>
        </w:rPr>
      </w:pPr>
      <w:r>
        <w:rPr>
          <w:color w:val="auto"/>
          <w:highlight w:val="none"/>
        </w:rPr>
        <w:br w:type="page"/>
      </w:r>
    </w:p>
    <w:p w14:paraId="3BAB1D18">
      <w:pPr>
        <w:pStyle w:val="28"/>
        <w:widowControl/>
        <w:rPr>
          <w:color w:val="auto"/>
          <w:highlight w:val="none"/>
        </w:rPr>
      </w:pPr>
      <mc:AlternateContent>
        <mc:Choice Requires="wpsCustomData">
          <wpsCustomData:docfieldStart id="2" docfieldname="附件_1" hidden="0" print="1" readonly="0" index="1"/>
        </mc:Choice>
      </mc:AlternateContent>
      <w:r>
        <w:rPr>
          <w:color w:val="auto"/>
          <w:highlight w:val="none"/>
        </w:rPr>
        <w:t>附件1</w:t>
      </w:r>
      <mc:AlternateContent>
        <mc:Choice Requires="wpsCustomData">
          <wpsCustomData:docfieldEnd id="2"/>
        </mc:Choice>
      </mc:AlternateContent>
    </w:p>
    <w:p w14:paraId="79DAE89E">
      <w:pPr>
        <w:pStyle w:val="11"/>
        <w:bidi w:val="0"/>
        <w:rPr>
          <w:color w:val="auto"/>
        </w:rPr>
      </w:pPr>
    </w:p>
    <w:p w14:paraId="288B79B8">
      <w:pPr>
        <w:pStyle w:val="15"/>
        <w:widowControl/>
        <w:rPr>
          <w:color w:val="auto"/>
          <w:highlight w:val="none"/>
        </w:rPr>
      </w:pPr>
      <w:r>
        <w:rPr>
          <w:color w:val="auto"/>
          <w:highlight w:val="none"/>
        </w:rPr>
        <w:t>管护项目与标准</w:t>
      </w:r>
    </w:p>
    <w:p w14:paraId="32CA66B6">
      <w:pPr>
        <w:pStyle w:val="2"/>
        <w:widowControl/>
        <w:rPr>
          <w:color w:val="auto"/>
          <w:highlight w:val="none"/>
        </w:rPr>
      </w:pPr>
      <w:r>
        <w:rPr>
          <w:color w:val="auto"/>
        </w:rPr>
        <w:t>一、</w:t>
      </w:r>
      <w:r>
        <w:rPr>
          <w:color w:val="auto"/>
          <w:highlight w:val="none"/>
        </w:rPr>
        <w:t>泵房及设备</w:t>
      </w:r>
    </w:p>
    <w:p w14:paraId="3292F104">
      <w:pPr>
        <w:pStyle w:val="11"/>
        <w:widowControl/>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运行安全、无渗漏、机组完好、防护到位。</w:t>
      </w:r>
    </w:p>
    <w:p w14:paraId="47760A88">
      <w:pPr>
        <w:pStyle w:val="11"/>
        <w:widowControl/>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1.专人专管，一房一档；灌溉期每周巡检，非灌溉期每月巡检。</w:t>
      </w:r>
    </w:p>
    <w:p w14:paraId="2F4E86E6">
      <w:pPr>
        <w:pStyle w:val="11"/>
        <w:widowControl/>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2.开机前试机、测电流电压、查密封；灌水结束后停机保养、清杂物。</w:t>
      </w:r>
    </w:p>
    <w:p w14:paraId="4A3D0AB7">
      <w:pPr>
        <w:pStyle w:val="11"/>
        <w:widowControl/>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3.电机轴承定期加油，管路阀门除锈润滑，备用机组每月试转。</w:t>
      </w:r>
    </w:p>
    <w:p w14:paraId="6E3315AD">
      <w:pPr>
        <w:pStyle w:val="11"/>
        <w:widowControl/>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4.配备灭火器、防滑垫、警示标识，严禁无关人员进入。</w:t>
      </w:r>
    </w:p>
    <w:p w14:paraId="2660079E">
      <w:pPr>
        <w:pStyle w:val="2"/>
        <w:widowControl/>
        <w:rPr>
          <w:color w:val="auto"/>
          <w:highlight w:val="none"/>
        </w:rPr>
      </w:pPr>
      <w:r>
        <w:rPr>
          <w:color w:val="auto"/>
          <w:highlight w:val="none"/>
        </w:rPr>
        <w:t>二、变压器、配电箱</w:t>
      </w:r>
    </w:p>
    <w:p w14:paraId="619E7BF6">
      <w:pPr>
        <w:pStyle w:val="11"/>
        <w:widowControl/>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绝缘完好、接线规范、无裸露、接地可靠。</w:t>
      </w:r>
    </w:p>
    <w:p w14:paraId="12362E07">
      <w:pPr>
        <w:pStyle w:val="11"/>
        <w:widowControl/>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1.上锁管理，设立防护栏与警示标志，禁止堆放杂物。</w:t>
      </w:r>
    </w:p>
    <w:p w14:paraId="035C8F26">
      <w:pPr>
        <w:pStyle w:val="11"/>
        <w:widowControl/>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2.每月测温度、查接头、看油位、清灰尘。</w:t>
      </w:r>
    </w:p>
    <w:p w14:paraId="6B289585">
      <w:pPr>
        <w:pStyle w:val="11"/>
        <w:widowControl/>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3.严禁私拉乱接，发现异响、异味、冒烟立即断电上报。</w:t>
      </w:r>
    </w:p>
    <w:p w14:paraId="5811DDC4">
      <w:pPr>
        <w:pStyle w:val="11"/>
        <w:widowControl/>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4.委托供电所或专业机构年度预防性试验。</w:t>
      </w:r>
    </w:p>
    <w:p w14:paraId="1143ED5F">
      <w:pPr>
        <w:pStyle w:val="2"/>
        <w:widowControl/>
        <w:rPr>
          <w:color w:val="auto"/>
          <w:highlight w:val="none"/>
        </w:rPr>
      </w:pPr>
      <w:r>
        <w:rPr>
          <w:color w:val="auto"/>
          <w:highlight w:val="none"/>
        </w:rPr>
        <w:t>三、沉砂池、渠道</w:t>
      </w:r>
    </w:p>
    <w:p w14:paraId="7855008B">
      <w:pPr>
        <w:pStyle w:val="11"/>
        <w:widowControl/>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畅通无淤、无垮塌、无渗漏。</w:t>
      </w:r>
    </w:p>
    <w:p w14:paraId="491AD03E">
      <w:pPr>
        <w:pStyle w:val="11"/>
        <w:widowControl/>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1.春灌前、秋收后两次集中清淤，日常及时清杂草垃圾。</w:t>
      </w:r>
    </w:p>
    <w:p w14:paraId="2A5A4136">
      <w:pPr>
        <w:pStyle w:val="11"/>
        <w:widowControl/>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2.检查边坡、防渗层，破损当日修补，防止冲蚀扩大。</w:t>
      </w:r>
    </w:p>
    <w:p w14:paraId="1F621674">
      <w:pPr>
        <w:pStyle w:val="11"/>
        <w:widowControl/>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3.控制进水流速，防止泥沙淤积，定期排空清理。</w:t>
      </w:r>
    </w:p>
    <w:p w14:paraId="65F0AEA7">
      <w:pPr>
        <w:pStyle w:val="11"/>
        <w:widowControl/>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4.围栏无破损，大门使用正常。</w:t>
      </w:r>
    </w:p>
    <w:p w14:paraId="58F8AD34">
      <w:pPr>
        <w:pStyle w:val="2"/>
        <w:widowControl/>
        <w:rPr>
          <w:color w:val="auto"/>
          <w:highlight w:val="none"/>
        </w:rPr>
      </w:pPr>
      <w:r>
        <w:rPr>
          <w:color w:val="auto"/>
          <w:highlight w:val="none"/>
        </w:rPr>
        <w:t>四、田间闸阀井</w:t>
      </w:r>
    </w:p>
    <w:p w14:paraId="42446242">
      <w:pPr>
        <w:pStyle w:val="11"/>
        <w:widowControl/>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井盖完好、井内通畅、无积水杂物。</w:t>
      </w:r>
    </w:p>
    <w:p w14:paraId="2442AA5C">
      <w:pPr>
        <w:pStyle w:val="11"/>
        <w:widowControl/>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1.巡查必看井盖，缺失破损及时更换加固。</w:t>
      </w:r>
    </w:p>
    <w:p w14:paraId="202AA540">
      <w:pPr>
        <w:pStyle w:val="11"/>
        <w:widowControl/>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2.每轮灌水后开盖检查，清淤泥、管件渗漏及时维修。</w:t>
      </w:r>
    </w:p>
    <w:p w14:paraId="5A97C9A3">
      <w:pPr>
        <w:pStyle w:val="2"/>
        <w:widowControl/>
        <w:rPr>
          <w:color w:val="auto"/>
          <w:highlight w:val="none"/>
        </w:rPr>
      </w:pPr>
      <w:r>
        <w:rPr>
          <w:color w:val="auto"/>
          <w:highlight w:val="none"/>
        </w:rPr>
        <w:t>五、滴灌系统、出水桩</w:t>
      </w:r>
    </w:p>
    <w:p w14:paraId="41B974CE">
      <w:pPr>
        <w:pStyle w:val="11"/>
        <w:widowControl/>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压力稳定、无漏水、滤网清洁。</w:t>
      </w:r>
    </w:p>
    <w:p w14:paraId="32CD970D">
      <w:pPr>
        <w:pStyle w:val="11"/>
        <w:widowControl/>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1.每次灌水前后冲洗过滤器，检修阀门、接头。</w:t>
      </w:r>
    </w:p>
    <w:p w14:paraId="059918A9">
      <w:pPr>
        <w:pStyle w:val="11"/>
        <w:widowControl/>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2.农机作业期设置警示桩，严防碾压破损。</w:t>
      </w:r>
    </w:p>
    <w:p w14:paraId="16D05599">
      <w:pPr>
        <w:pStyle w:val="11"/>
        <w:widowControl/>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3.冬季必须排空管道，做好防冻保温。</w:t>
      </w:r>
    </w:p>
    <w:p w14:paraId="7ED67828">
      <w:pPr>
        <w:pStyle w:val="2"/>
        <w:widowControl/>
        <w:rPr>
          <w:color w:val="auto"/>
          <w:highlight w:val="none"/>
        </w:rPr>
      </w:pPr>
      <w:r>
        <w:rPr>
          <w:color w:val="auto"/>
          <w:highlight w:val="none"/>
        </w:rPr>
        <w:t>六、田间道路、林网</w:t>
      </w:r>
    </w:p>
    <w:p w14:paraId="06263210">
      <w:pPr>
        <w:pStyle w:val="11"/>
        <w:widowControl/>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路面平整、路肩完好、林带整齐。</w:t>
      </w:r>
    </w:p>
    <w:p w14:paraId="168BF5D5">
      <w:pPr>
        <w:pStyle w:val="11"/>
        <w:widowControl/>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1.及时填补坑槽，清理路障，保障农机通行。</w:t>
      </w:r>
    </w:p>
    <w:p w14:paraId="4BD8C260">
      <w:pPr>
        <w:pStyle w:val="11"/>
        <w:widowControl/>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2.春季修埂、夏季扶苗、秋冬季修枝刷白。</w:t>
      </w:r>
    </w:p>
    <w:p w14:paraId="389B32C6">
      <w:pPr>
        <w:pStyle w:val="11"/>
        <w:keepNext w:val="0"/>
        <w:keepLines w:val="0"/>
        <w:pageBreakBefore w:val="0"/>
        <w:widowControl/>
        <w:kinsoku w:val="0"/>
        <w:wordWrap/>
        <w:overflowPunct/>
        <w:topLinePunct w:val="0"/>
        <w:autoSpaceDE w:val="0"/>
        <w:autoSpaceDN w:val="0"/>
        <w:bidi w:val="0"/>
        <w:adjustRightInd w:val="0"/>
        <w:snapToGrid w:val="0"/>
        <w:spacing w:line="540" w:lineRule="exact"/>
        <w:ind w:left="50" w:right="125" w:firstLine="634"/>
        <w:jc w:val="both"/>
        <w:textAlignment w:val="baseline"/>
        <w:rPr>
          <w:rFonts w:hint="eastAsia"/>
          <w:color w:val="auto"/>
          <w:spacing w:val="8"/>
          <w:sz w:val="32"/>
          <w:szCs w:val="32"/>
          <w:highlight w:val="none"/>
          <w:lang w:val="en-US" w:eastAsia="zh-CN"/>
        </w:rPr>
      </w:pPr>
    </w:p>
    <w:p w14:paraId="5001488F">
      <w:pPr>
        <w:pStyle w:val="11"/>
        <w:keepNext w:val="0"/>
        <w:keepLines w:val="0"/>
        <w:pageBreakBefore w:val="0"/>
        <w:widowControl/>
        <w:kinsoku w:val="0"/>
        <w:wordWrap/>
        <w:overflowPunct/>
        <w:topLinePunct w:val="0"/>
        <w:autoSpaceDE w:val="0"/>
        <w:autoSpaceDN w:val="0"/>
        <w:bidi w:val="0"/>
        <w:adjustRightInd w:val="0"/>
        <w:snapToGrid w:val="0"/>
        <w:spacing w:line="540" w:lineRule="exact"/>
        <w:ind w:left="50" w:right="125" w:firstLine="634"/>
        <w:jc w:val="both"/>
        <w:textAlignment w:val="baseline"/>
        <w:rPr>
          <w:color w:val="auto"/>
          <w:spacing w:val="8"/>
          <w:sz w:val="32"/>
          <w:szCs w:val="32"/>
          <w:highlight w:val="none"/>
        </w:rPr>
      </w:pPr>
      <w:r>
        <w:rPr>
          <w:color w:val="auto"/>
          <w:spacing w:val="8"/>
          <w:sz w:val="32"/>
          <w:szCs w:val="32"/>
          <w:highlight w:val="none"/>
        </w:rPr>
        <w:br w:type="page"/>
      </w:r>
    </w:p>
    <w:p w14:paraId="34531F21">
      <w:pPr>
        <w:pStyle w:val="28"/>
        <w:widowControl/>
        <w:rPr>
          <w:color w:val="auto"/>
          <w:highlight w:val="none"/>
        </w:rPr>
      </w:pPr>
      <mc:AlternateContent>
        <mc:Choice Requires="wpsCustomData">
          <wpsCustomData:docfieldStart id="3" docfieldname="附件_2" hidden="0" print="1" readonly="0" index="2"/>
        </mc:Choice>
      </mc:AlternateContent>
      <w:r>
        <w:rPr>
          <w:color w:val="auto"/>
          <w:highlight w:val="none"/>
        </w:rPr>
        <w:t>附件2：</w:t>
      </w:r>
      <mc:AlternateContent>
        <mc:Choice Requires="wpsCustomData">
          <wpsCustomData:docfieldEnd id="3"/>
        </mc:Choice>
      </mc:AlternateContent>
    </w:p>
    <w:p w14:paraId="52B17512">
      <w:pPr>
        <w:pStyle w:val="15"/>
        <w:widowControl/>
        <w:rPr>
          <w:color w:val="auto"/>
          <w:highlight w:val="none"/>
        </w:rPr>
      </w:pPr>
      <w:r>
        <w:rPr>
          <w:color w:val="auto"/>
          <w:highlight w:val="none"/>
        </w:rPr>
        <w:t>高标准农田自主管护 ／ 市场化托管两种运营及收费模式细则</w:t>
      </w:r>
    </w:p>
    <w:p w14:paraId="7EEA3791">
      <w:pPr>
        <w:pStyle w:val="11"/>
        <w:widowControl/>
        <w:rPr>
          <w:rFonts w:ascii="Times New Roman" w:hAnsi="Times New Roman" w:eastAsia="仿宋_GB2312" w:cs="仿宋_GB2312"/>
          <w:b/>
          <w:color w:val="auto"/>
          <w:sz w:val="32"/>
          <w:szCs w:val="32"/>
          <w:highlight w:val="none"/>
        </w:rPr>
      </w:pPr>
      <w:r>
        <w:rPr>
          <w:rFonts w:ascii="Times New Roman" w:hAnsi="Times New Roman" w:eastAsia="仿宋_GB2312" w:cs="仿宋_GB2312"/>
          <w:b/>
          <w:color w:val="auto"/>
          <w:sz w:val="32"/>
          <w:szCs w:val="32"/>
          <w:highlight w:val="none"/>
        </w:rPr>
        <w:t>模式一：基础管护费＋维修材料费</w:t>
      </w:r>
    </w:p>
    <w:p w14:paraId="0455C734">
      <w:pPr>
        <w:pStyle w:val="11"/>
        <w:widowControl/>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基础管护费：不超过20元／亩／年（根据灌溉面积、管理设施测算），用于人工巡查、泵房、清淤、变压器、检查井、农田道路、林网等日常维修与保养，人员报酬、巡检档案管理。</w:t>
      </w:r>
    </w:p>
    <w:p w14:paraId="63D2A9C7">
      <w:pPr>
        <w:pStyle w:val="11"/>
        <w:widowControl/>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大修基金：5元／亩／年，用于更换水泵、电机、变压器等大额部件。</w:t>
      </w:r>
    </w:p>
    <w:p w14:paraId="3E886927">
      <w:pPr>
        <w:pStyle w:val="11"/>
        <w:widowControl/>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农户自购：肥料、滴灌带等生产资料。</w:t>
      </w:r>
    </w:p>
    <w:p w14:paraId="07E04738">
      <w:pPr>
        <w:pStyle w:val="11"/>
        <w:widowControl/>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适用范围：自主管护或市场化托管。　</w:t>
      </w:r>
    </w:p>
    <w:p w14:paraId="44B36252">
      <w:pPr>
        <w:pStyle w:val="11"/>
        <w:widowControl/>
        <w:rPr>
          <w:rFonts w:ascii="Times New Roman" w:hAnsi="Times New Roman" w:eastAsia="仿宋_GB2312" w:cs="仿宋_GB2312"/>
          <w:b/>
          <w:color w:val="auto"/>
          <w:sz w:val="32"/>
          <w:szCs w:val="32"/>
          <w:highlight w:val="none"/>
        </w:rPr>
      </w:pPr>
      <w:r>
        <w:rPr>
          <w:rFonts w:ascii="Times New Roman" w:hAnsi="Times New Roman" w:eastAsia="仿宋_GB2312" w:cs="仿宋_GB2312"/>
          <w:b/>
          <w:color w:val="auto"/>
          <w:sz w:val="32"/>
          <w:szCs w:val="32"/>
          <w:highlight w:val="none"/>
        </w:rPr>
        <w:t>模式二：基础管护费＋维修材料费＋按次灌水服务费</w:t>
      </w:r>
    </w:p>
    <w:p w14:paraId="18B2B5CF">
      <w:pPr>
        <w:pStyle w:val="11"/>
        <w:widowControl/>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基础管护费：不超过20元／亩／年（根据灌溉面积、管理设施测算），用于人工巡查、泵房、清淤、变压器、检查井、农田道路、林网等日常维修与保养，人员报酬、巡检档案管理。</w:t>
      </w:r>
    </w:p>
    <w:p w14:paraId="5783248F">
      <w:pPr>
        <w:pStyle w:val="11"/>
        <w:widowControl/>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大修基金：5元／亩／年，用于更换水泵、电机、变压器等大额部件。</w:t>
      </w:r>
    </w:p>
    <w:p w14:paraId="7C5C2A31">
      <w:pPr>
        <w:pStyle w:val="11"/>
        <w:widowControl/>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灌水服务费：8—10元／亩／次（包括灌水操作、设备运行、现场管理等服务费用）。由受益主体与第三方管护单位协商确定，并在管护协议中明确，报村“两委”备案。</w:t>
      </w:r>
    </w:p>
    <w:p w14:paraId="3D15037E">
      <w:pPr>
        <w:pStyle w:val="11"/>
        <w:widowControl/>
        <w:rPr>
          <w:rFonts w:ascii="Times New Roman" w:hAnsi="Times New Roman" w:eastAsia="仿宋_GB2312" w:cs="仿宋_GB2312"/>
          <w:color w:val="auto"/>
          <w:sz w:val="32"/>
          <w:szCs w:val="32"/>
          <w:highlight w:val="none"/>
        </w:rPr>
      </w:pPr>
      <w:r>
        <w:rPr>
          <w:rFonts w:ascii="Times New Roman" w:hAnsi="Times New Roman" w:eastAsia="仿宋_GB2312" w:cs="仿宋_GB2312"/>
          <w:color w:val="auto"/>
          <w:sz w:val="32"/>
          <w:szCs w:val="32"/>
          <w:highlight w:val="none"/>
        </w:rPr>
        <w:t>农户自购：肥料、滴灌带等生产资料。</w:t>
      </w:r>
    </w:p>
    <w:p w14:paraId="3083CE05">
      <w:pPr>
        <w:pStyle w:val="11"/>
        <w:widowControl/>
        <w:rPr>
          <w:rFonts w:ascii="Times New Roman" w:hAnsi="Times New Roman" w:eastAsia="仿宋_GB2312" w:cs="仿宋_GB2312"/>
          <w:color w:val="auto"/>
          <w:sz w:val="32"/>
          <w:szCs w:val="32"/>
          <w:highlight w:val="none"/>
        </w:rPr>
        <w:sectPr>
          <w:footerReference r:id="rId3" w:type="default"/>
          <w:footerReference r:id="rId4" w:type="even"/>
          <w:pgSz w:w="11906" w:h="16839"/>
          <w:pgMar w:top="2098" w:right="1474" w:bottom="1984" w:left="1587" w:header="851" w:footer="1417" w:gutter="0"/>
          <w:pgNumType w:fmt="numberInDash" w:start="1"/>
          <w:cols w:space="720" w:num="1"/>
          <w:docGrid w:type="linesAndChars" w:linePitch="579" w:charSpace="15"/>
        </w:sectPr>
      </w:pPr>
      <w:r>
        <w:rPr>
          <w:rFonts w:ascii="Times New Roman" w:hAnsi="Times New Roman" w:eastAsia="仿宋_GB2312" w:cs="仿宋_GB2312"/>
          <w:color w:val="auto"/>
          <w:sz w:val="32"/>
          <w:szCs w:val="32"/>
          <w:highlight w:val="none"/>
        </w:rPr>
        <w:t>适用范围：市场化托管。</w:t>
      </w:r>
    </w:p>
    <w:p w14:paraId="22244FE5">
      <w:pPr>
        <w:pStyle w:val="28"/>
        <w:bidi w:val="0"/>
        <w:rPr>
          <w:color w:val="auto"/>
        </w:rPr>
      </w:pPr>
      <mc:AlternateContent>
        <mc:Choice Requires="wpsCustomData">
          <wpsCustomData:docfieldStart id="4" docfieldname="附件_3" hidden="0" print="1" readonly="0" index="3"/>
        </mc:Choice>
      </mc:AlternateContent>
      <w:r>
        <w:rPr>
          <w:color w:val="auto"/>
        </w:rPr>
        <w:t>附件3</w:t>
      </w:r>
      <mc:AlternateContent>
        <mc:Choice Requires="wpsCustomData">
          <wpsCustomData:docfieldEnd id="4"/>
        </mc:Choice>
      </mc:AlternateContent>
    </w:p>
    <w:p w14:paraId="56BAC7CC">
      <w:pPr>
        <w:pStyle w:val="15"/>
        <w:keepNext w:val="0"/>
        <w:keepLines w:val="0"/>
        <w:pageBreakBefore w:val="0"/>
        <w:widowControl/>
        <w:kinsoku/>
        <w:wordWrap/>
        <w:overflowPunct/>
        <w:topLinePunct w:val="0"/>
        <w:autoSpaceDE/>
        <w:autoSpaceDN/>
        <w:bidi w:val="0"/>
        <w:adjustRightInd/>
        <w:snapToGrid/>
        <w:spacing w:line="400" w:lineRule="exact"/>
        <w:textAlignment w:val="auto"/>
        <w:rPr>
          <w:color w:val="auto"/>
          <w:sz w:val="32"/>
          <w:szCs w:val="32"/>
          <w:highlight w:val="none"/>
        </w:rPr>
      </w:pPr>
      <w:r>
        <w:rPr>
          <w:color w:val="auto"/>
          <w:sz w:val="32"/>
          <w:szCs w:val="32"/>
          <w:highlight w:val="none"/>
        </w:rPr>
        <w:t>高标准农田建设项目巡查记录表</w:t>
      </w:r>
    </w:p>
    <w:tbl>
      <w:tblPr>
        <w:tblStyle w:val="16"/>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404"/>
        <w:gridCol w:w="1100"/>
        <w:gridCol w:w="7548"/>
        <w:gridCol w:w="1100"/>
        <w:gridCol w:w="1821"/>
      </w:tblGrid>
      <w:tr w14:paraId="3BA455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3" w:hRule="atLeast"/>
          <w:jc w:val="center"/>
        </w:trPr>
        <w:tc>
          <w:tcPr>
            <w:tcW w:w="5000" w:type="pct"/>
            <w:gridSpan w:val="5"/>
            <w:tcBorders>
              <w:top w:val="nil"/>
              <w:left w:val="nil"/>
              <w:bottom w:val="nil"/>
              <w:right w:val="nil"/>
            </w:tcBorders>
            <w:shd w:val="clear" w:color="auto" w:fill="auto"/>
            <w:vAlign w:val="top"/>
          </w:tcPr>
          <w:p w14:paraId="4193F827">
            <w:pPr>
              <w:keepNext w:val="0"/>
              <w:keepLines w:val="0"/>
              <w:widowControl/>
              <w:suppressLineNumbers w:val="0"/>
              <w:jc w:val="left"/>
              <w:textAlignment w:val="top"/>
              <w:rPr>
                <w:rFonts w:ascii="黑体" w:hAnsi="宋体" w:eastAsia="黑体" w:cs="黑体"/>
                <w:i w:val="0"/>
                <w:iCs w:val="0"/>
                <w:color w:val="auto"/>
                <w:sz w:val="18"/>
                <w:szCs w:val="18"/>
                <w:highlight w:val="none"/>
                <w:u w:val="none"/>
              </w:rPr>
            </w:pPr>
            <w:r>
              <w:rPr>
                <w:rFonts w:ascii="黑体" w:hAnsi="宋体" w:eastAsia="黑体" w:cs="黑体"/>
                <w:i w:val="0"/>
                <w:iCs w:val="0"/>
                <w:snapToGrid w:val="0"/>
                <w:color w:val="auto"/>
                <w:kern w:val="0"/>
                <w:sz w:val="18"/>
                <w:szCs w:val="18"/>
                <w:highlight w:val="none"/>
                <w:u w:val="none"/>
                <w:lang w:val="en-US" w:eastAsia="zh-CN" w:bidi="ar"/>
              </w:rPr>
              <w:t>项目名称：</w:t>
            </w:r>
            <w:r>
              <w:rPr>
                <w:rStyle w:val="21"/>
                <w:snapToGrid w:val="0"/>
                <w:color w:val="auto"/>
                <w:highlight w:val="none"/>
                <w:lang w:val="en-US" w:eastAsia="zh-CN" w:bidi="ar"/>
              </w:rPr>
              <w:t xml:space="preserve">                                                                      </w:t>
            </w:r>
            <w:r>
              <w:rPr>
                <w:rStyle w:val="22"/>
                <w:snapToGrid w:val="0"/>
                <w:color w:val="auto"/>
                <w:highlight w:val="none"/>
                <w:lang w:val="en-US" w:eastAsia="zh-CN" w:bidi="ar"/>
              </w:rPr>
              <w:t xml:space="preserve">                 巡查时间：</w:t>
            </w:r>
            <w:r>
              <w:rPr>
                <w:rStyle w:val="21"/>
                <w:snapToGrid w:val="0"/>
                <w:color w:val="auto"/>
                <w:highlight w:val="none"/>
                <w:lang w:val="en-US" w:eastAsia="zh-CN" w:bidi="ar"/>
              </w:rPr>
              <w:t xml:space="preserve">         </w:t>
            </w:r>
            <w:r>
              <w:rPr>
                <w:rStyle w:val="22"/>
                <w:snapToGrid w:val="0"/>
                <w:color w:val="auto"/>
                <w:highlight w:val="none"/>
                <w:lang w:val="en-US" w:eastAsia="zh-CN" w:bidi="ar"/>
              </w:rPr>
              <w:t xml:space="preserve"> 年</w:t>
            </w:r>
            <w:r>
              <w:rPr>
                <w:rStyle w:val="21"/>
                <w:snapToGrid w:val="0"/>
                <w:color w:val="auto"/>
                <w:highlight w:val="none"/>
                <w:lang w:val="en-US" w:eastAsia="zh-CN" w:bidi="ar"/>
              </w:rPr>
              <w:t xml:space="preserve">      </w:t>
            </w:r>
            <w:r>
              <w:rPr>
                <w:rStyle w:val="22"/>
                <w:snapToGrid w:val="0"/>
                <w:color w:val="auto"/>
                <w:highlight w:val="none"/>
                <w:lang w:val="en-US" w:eastAsia="zh-CN" w:bidi="ar"/>
              </w:rPr>
              <w:t xml:space="preserve"> 月</w:t>
            </w:r>
            <w:r>
              <w:rPr>
                <w:rStyle w:val="21"/>
                <w:snapToGrid w:val="0"/>
                <w:color w:val="auto"/>
                <w:highlight w:val="none"/>
                <w:lang w:val="en-US" w:eastAsia="zh-CN" w:bidi="ar"/>
              </w:rPr>
              <w:t xml:space="preserve">      </w:t>
            </w:r>
            <w:r>
              <w:rPr>
                <w:rStyle w:val="22"/>
                <w:snapToGrid w:val="0"/>
                <w:color w:val="auto"/>
                <w:highlight w:val="none"/>
                <w:lang w:val="en-US" w:eastAsia="zh-CN" w:bidi="ar"/>
              </w:rPr>
              <w:t xml:space="preserve"> 日</w:t>
            </w:r>
          </w:p>
        </w:tc>
      </w:tr>
      <w:tr w14:paraId="5F1021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 w:hRule="atLeast"/>
          <w:jc w:val="center"/>
        </w:trPr>
        <w:tc>
          <w:tcPr>
            <w:tcW w:w="5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67207">
            <w:pPr>
              <w:keepNext w:val="0"/>
              <w:keepLines w:val="0"/>
              <w:widowControl/>
              <w:suppressLineNumbers w:val="0"/>
              <w:jc w:val="center"/>
              <w:textAlignment w:val="center"/>
              <w:rPr>
                <w:rFonts w:ascii="宋体" w:hAnsi="宋体" w:eastAsia="宋体" w:cs="宋体"/>
                <w:b/>
                <w:bCs/>
                <w:i w:val="0"/>
                <w:iCs w:val="0"/>
                <w:color w:val="auto"/>
                <w:sz w:val="18"/>
                <w:szCs w:val="18"/>
                <w:highlight w:val="none"/>
                <w:u w:val="none"/>
              </w:rPr>
            </w:pPr>
            <w:r>
              <w:rPr>
                <w:rFonts w:ascii="宋体" w:hAnsi="宋体" w:eastAsia="宋体" w:cs="宋体"/>
                <w:b/>
                <w:bCs/>
                <w:i w:val="0"/>
                <w:iCs w:val="0"/>
                <w:snapToGrid w:val="0"/>
                <w:color w:val="auto"/>
                <w:kern w:val="0"/>
                <w:sz w:val="18"/>
                <w:szCs w:val="18"/>
                <w:highlight w:val="none"/>
                <w:u w:val="none"/>
                <w:lang w:val="en-US" w:eastAsia="zh-CN" w:bidi="ar"/>
              </w:rPr>
              <w:t>巡查位置</w:t>
            </w:r>
          </w:p>
        </w:tc>
        <w:tc>
          <w:tcPr>
            <w:tcW w:w="333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A6A9B0">
            <w:pPr>
              <w:keepNext w:val="0"/>
              <w:keepLines w:val="0"/>
              <w:widowControl/>
              <w:suppressLineNumbers w:val="0"/>
              <w:jc w:val="center"/>
              <w:textAlignment w:val="center"/>
              <w:rPr>
                <w:rFonts w:ascii="宋体" w:hAnsi="宋体" w:eastAsia="宋体" w:cs="宋体"/>
                <w:b/>
                <w:bCs/>
                <w:i w:val="0"/>
                <w:iCs w:val="0"/>
                <w:color w:val="auto"/>
                <w:sz w:val="18"/>
                <w:szCs w:val="18"/>
                <w:highlight w:val="none"/>
                <w:u w:val="none"/>
              </w:rPr>
            </w:pPr>
            <w:r>
              <w:rPr>
                <w:rFonts w:ascii="宋体" w:hAnsi="宋体" w:eastAsia="宋体" w:cs="宋体"/>
                <w:b/>
                <w:bCs/>
                <w:i w:val="0"/>
                <w:iCs w:val="0"/>
                <w:snapToGrid w:val="0"/>
                <w:color w:val="auto"/>
                <w:kern w:val="0"/>
                <w:sz w:val="18"/>
                <w:szCs w:val="18"/>
                <w:highlight w:val="none"/>
                <w:u w:val="none"/>
                <w:lang w:val="en-US" w:eastAsia="zh-CN" w:bidi="ar"/>
              </w:rPr>
              <w:t>巡查内容</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EF7BD8">
            <w:pPr>
              <w:keepNext w:val="0"/>
              <w:keepLines w:val="0"/>
              <w:widowControl/>
              <w:suppressLineNumbers w:val="0"/>
              <w:jc w:val="center"/>
              <w:textAlignment w:val="center"/>
              <w:rPr>
                <w:rFonts w:ascii="宋体" w:hAnsi="宋体" w:eastAsia="宋体" w:cs="宋体"/>
                <w:b/>
                <w:bCs/>
                <w:i w:val="0"/>
                <w:iCs w:val="0"/>
                <w:color w:val="auto"/>
                <w:sz w:val="18"/>
                <w:szCs w:val="18"/>
                <w:highlight w:val="none"/>
                <w:u w:val="none"/>
              </w:rPr>
            </w:pPr>
            <w:r>
              <w:rPr>
                <w:rFonts w:ascii="宋体" w:hAnsi="宋体" w:eastAsia="宋体" w:cs="宋体"/>
                <w:b/>
                <w:bCs/>
                <w:i w:val="0"/>
                <w:iCs w:val="0"/>
                <w:snapToGrid w:val="0"/>
                <w:color w:val="auto"/>
                <w:kern w:val="0"/>
                <w:sz w:val="18"/>
                <w:szCs w:val="18"/>
                <w:highlight w:val="none"/>
                <w:u w:val="none"/>
                <w:lang w:val="en-US" w:eastAsia="zh-CN" w:bidi="ar"/>
              </w:rPr>
              <w:t>存在问题</w:t>
            </w:r>
          </w:p>
        </w:tc>
        <w:tc>
          <w:tcPr>
            <w:tcW w:w="7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22E7CA">
            <w:pPr>
              <w:keepNext w:val="0"/>
              <w:keepLines w:val="0"/>
              <w:widowControl/>
              <w:suppressLineNumbers w:val="0"/>
              <w:jc w:val="center"/>
              <w:textAlignment w:val="center"/>
              <w:rPr>
                <w:rFonts w:ascii="宋体" w:hAnsi="宋体" w:eastAsia="宋体" w:cs="宋体"/>
                <w:b/>
                <w:bCs/>
                <w:i w:val="0"/>
                <w:iCs w:val="0"/>
                <w:color w:val="auto"/>
                <w:sz w:val="18"/>
                <w:szCs w:val="18"/>
                <w:highlight w:val="none"/>
                <w:u w:val="none"/>
              </w:rPr>
            </w:pPr>
            <w:r>
              <w:rPr>
                <w:rFonts w:ascii="宋体" w:hAnsi="宋体" w:eastAsia="宋体" w:cs="宋体"/>
                <w:b/>
                <w:bCs/>
                <w:i w:val="0"/>
                <w:iCs w:val="0"/>
                <w:snapToGrid w:val="0"/>
                <w:color w:val="auto"/>
                <w:kern w:val="0"/>
                <w:sz w:val="18"/>
                <w:szCs w:val="18"/>
                <w:highlight w:val="none"/>
                <w:u w:val="none"/>
                <w:lang w:val="en-US" w:eastAsia="zh-CN" w:bidi="ar"/>
              </w:rPr>
              <w:t>备注</w:t>
            </w:r>
          </w:p>
        </w:tc>
      </w:tr>
      <w:tr w14:paraId="251F42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 w:hRule="atLeast"/>
          <w:jc w:val="center"/>
        </w:trPr>
        <w:tc>
          <w:tcPr>
            <w:tcW w:w="5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CBF306">
            <w:pPr>
              <w:keepNext w:val="0"/>
              <w:keepLines w:val="0"/>
              <w:widowControl/>
              <w:suppressLineNumbers w:val="0"/>
              <w:jc w:val="center"/>
              <w:textAlignment w:val="center"/>
              <w:rPr>
                <w:rFonts w:ascii="宋体" w:hAnsi="宋体" w:eastAsia="宋体" w:cs="宋体"/>
                <w:b/>
                <w:bCs/>
                <w:i w:val="0"/>
                <w:iCs w:val="0"/>
                <w:color w:val="auto"/>
                <w:sz w:val="18"/>
                <w:szCs w:val="18"/>
                <w:highlight w:val="none"/>
                <w:u w:val="none"/>
              </w:rPr>
            </w:pPr>
            <w:r>
              <w:rPr>
                <w:rFonts w:ascii="宋体" w:hAnsi="宋体" w:eastAsia="宋体" w:cs="宋体"/>
                <w:b/>
                <w:bCs/>
                <w:i w:val="0"/>
                <w:iCs w:val="0"/>
                <w:snapToGrid w:val="0"/>
                <w:color w:val="auto"/>
                <w:kern w:val="0"/>
                <w:sz w:val="18"/>
                <w:szCs w:val="18"/>
                <w:highlight w:val="none"/>
                <w:u w:val="none"/>
                <w:lang w:val="en-US" w:eastAsia="zh-CN" w:bidi="ar"/>
              </w:rPr>
              <w:t>沉砂池及渠道</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F7602F">
            <w:pPr>
              <w:keepNext w:val="0"/>
              <w:keepLines w:val="0"/>
              <w:widowControl/>
              <w:suppressLineNumbers w:val="0"/>
              <w:jc w:val="center"/>
              <w:textAlignment w:val="center"/>
              <w:rPr>
                <w:rFonts w:ascii="宋体" w:hAnsi="宋体" w:eastAsia="宋体" w:cs="宋体"/>
                <w:b/>
                <w:bCs/>
                <w:i w:val="0"/>
                <w:iCs w:val="0"/>
                <w:color w:val="auto"/>
                <w:sz w:val="18"/>
                <w:szCs w:val="18"/>
                <w:highlight w:val="none"/>
                <w:u w:val="none"/>
              </w:rPr>
            </w:pPr>
            <w:r>
              <w:rPr>
                <w:rFonts w:ascii="宋体" w:hAnsi="宋体" w:eastAsia="宋体" w:cs="宋体"/>
                <w:b/>
                <w:bCs/>
                <w:i w:val="0"/>
                <w:iCs w:val="0"/>
                <w:snapToGrid w:val="0"/>
                <w:color w:val="auto"/>
                <w:kern w:val="0"/>
                <w:sz w:val="18"/>
                <w:szCs w:val="18"/>
                <w:highlight w:val="none"/>
                <w:u w:val="none"/>
                <w:lang w:val="en-US" w:eastAsia="zh-CN" w:bidi="ar"/>
              </w:rPr>
              <w:t>外观质量</w:t>
            </w:r>
          </w:p>
        </w:tc>
        <w:tc>
          <w:tcPr>
            <w:tcW w:w="2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72A296">
            <w:pPr>
              <w:keepNext w:val="0"/>
              <w:keepLines w:val="0"/>
              <w:widowControl/>
              <w:suppressLineNumbers w:val="0"/>
              <w:jc w:val="left"/>
              <w:textAlignment w:val="center"/>
              <w:rPr>
                <w:rFonts w:ascii="宋体" w:hAnsi="宋体" w:eastAsia="宋体" w:cs="宋体"/>
                <w:i w:val="0"/>
                <w:iCs w:val="0"/>
                <w:color w:val="auto"/>
                <w:sz w:val="18"/>
                <w:szCs w:val="18"/>
                <w:highlight w:val="none"/>
                <w:u w:val="none"/>
              </w:rPr>
            </w:pPr>
            <w:r>
              <w:rPr>
                <w:rStyle w:val="23"/>
                <w:snapToGrid w:val="0"/>
                <w:color w:val="auto"/>
                <w:highlight w:val="none"/>
                <w:lang w:val="en-US" w:eastAsia="zh-CN" w:bidi="ar"/>
              </w:rPr>
              <w:t>（</w:t>
            </w:r>
            <w:r>
              <w:rPr>
                <w:rStyle w:val="24"/>
                <w:rFonts w:eastAsia="宋体"/>
                <w:snapToGrid w:val="0"/>
                <w:color w:val="auto"/>
                <w:highlight w:val="none"/>
                <w:lang w:val="en-US" w:eastAsia="zh-CN" w:bidi="ar"/>
              </w:rPr>
              <w:t>1</w:t>
            </w:r>
            <w:r>
              <w:rPr>
                <w:rStyle w:val="23"/>
                <w:snapToGrid w:val="0"/>
                <w:color w:val="auto"/>
                <w:highlight w:val="none"/>
                <w:lang w:val="en-US" w:eastAsia="zh-CN" w:bidi="ar"/>
              </w:rPr>
              <w:t>）是否存在沉降开裂、坍塌破损、底部掏空等结构隐患。</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top"/>
          </w:tcPr>
          <w:p w14:paraId="2406970F">
            <w:pPr>
              <w:jc w:val="left"/>
              <w:rPr>
                <w:rFonts w:hint="eastAsia" w:ascii="Arial" w:hAnsi="Arial" w:eastAsia="宋体" w:cs="Arial"/>
                <w:i w:val="0"/>
                <w:iCs w:val="0"/>
                <w:color w:val="auto"/>
                <w:sz w:val="18"/>
                <w:szCs w:val="18"/>
                <w:highlight w:val="none"/>
                <w:u w:val="none"/>
              </w:rPr>
            </w:pPr>
          </w:p>
        </w:tc>
        <w:tc>
          <w:tcPr>
            <w:tcW w:w="700" w:type="pct"/>
            <w:tcBorders>
              <w:top w:val="single" w:color="000000" w:sz="4" w:space="0"/>
              <w:left w:val="single" w:color="000000" w:sz="4" w:space="0"/>
              <w:bottom w:val="single" w:color="000000" w:sz="4" w:space="0"/>
              <w:right w:val="single" w:color="000000" w:sz="4" w:space="0"/>
            </w:tcBorders>
            <w:shd w:val="clear" w:color="auto" w:fill="auto"/>
            <w:vAlign w:val="top"/>
          </w:tcPr>
          <w:p w14:paraId="78C76463">
            <w:pPr>
              <w:jc w:val="left"/>
              <w:rPr>
                <w:rFonts w:hint="default" w:ascii="Arial" w:hAnsi="Arial" w:eastAsia="宋体" w:cs="Arial"/>
                <w:i w:val="0"/>
                <w:iCs w:val="0"/>
                <w:color w:val="auto"/>
                <w:sz w:val="18"/>
                <w:szCs w:val="18"/>
                <w:highlight w:val="none"/>
                <w:u w:val="none"/>
              </w:rPr>
            </w:pPr>
          </w:p>
        </w:tc>
      </w:tr>
      <w:tr w14:paraId="1136E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5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3AEBAA">
            <w:pPr>
              <w:jc w:val="center"/>
              <w:rPr>
                <w:rFonts w:hint="eastAsia" w:ascii="宋体" w:hAnsi="宋体" w:eastAsia="宋体" w:cs="宋体"/>
                <w:b/>
                <w:bCs/>
                <w:i w:val="0"/>
                <w:iCs w:val="0"/>
                <w:color w:val="auto"/>
                <w:sz w:val="18"/>
                <w:szCs w:val="18"/>
                <w:highlight w:val="none"/>
                <w:u w:val="none"/>
              </w:rPr>
            </w:pPr>
          </w:p>
        </w:tc>
        <w:tc>
          <w:tcPr>
            <w:tcW w:w="4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A8932F">
            <w:pPr>
              <w:keepNext w:val="0"/>
              <w:keepLines w:val="0"/>
              <w:widowControl/>
              <w:suppressLineNumbers w:val="0"/>
              <w:jc w:val="center"/>
              <w:textAlignment w:val="center"/>
              <w:rPr>
                <w:rFonts w:ascii="宋体" w:hAnsi="宋体" w:eastAsia="宋体" w:cs="宋体"/>
                <w:b/>
                <w:bCs/>
                <w:i w:val="0"/>
                <w:iCs w:val="0"/>
                <w:color w:val="auto"/>
                <w:sz w:val="18"/>
                <w:szCs w:val="18"/>
                <w:highlight w:val="none"/>
                <w:u w:val="none"/>
              </w:rPr>
            </w:pPr>
            <w:r>
              <w:rPr>
                <w:rFonts w:ascii="宋体" w:hAnsi="宋体" w:eastAsia="宋体" w:cs="宋体"/>
                <w:b/>
                <w:bCs/>
                <w:i w:val="0"/>
                <w:iCs w:val="0"/>
                <w:snapToGrid w:val="0"/>
                <w:color w:val="auto"/>
                <w:kern w:val="0"/>
                <w:sz w:val="18"/>
                <w:szCs w:val="18"/>
                <w:highlight w:val="none"/>
                <w:u w:val="none"/>
                <w:lang w:val="en-US" w:eastAsia="zh-CN" w:bidi="ar"/>
              </w:rPr>
              <w:t>防护措施</w:t>
            </w:r>
          </w:p>
        </w:tc>
        <w:tc>
          <w:tcPr>
            <w:tcW w:w="2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1F9708">
            <w:pPr>
              <w:keepNext w:val="0"/>
              <w:keepLines w:val="0"/>
              <w:widowControl/>
              <w:suppressLineNumbers w:val="0"/>
              <w:jc w:val="left"/>
              <w:textAlignment w:val="center"/>
              <w:rPr>
                <w:rFonts w:ascii="宋体" w:hAnsi="宋体" w:eastAsia="宋体" w:cs="宋体"/>
                <w:i w:val="0"/>
                <w:iCs w:val="0"/>
                <w:color w:val="auto"/>
                <w:sz w:val="18"/>
                <w:szCs w:val="18"/>
                <w:highlight w:val="none"/>
                <w:u w:val="none"/>
              </w:rPr>
            </w:pPr>
            <w:r>
              <w:rPr>
                <w:rStyle w:val="23"/>
                <w:snapToGrid w:val="0"/>
                <w:color w:val="auto"/>
                <w:highlight w:val="none"/>
                <w:lang w:val="en-US" w:eastAsia="zh-CN" w:bidi="ar"/>
              </w:rPr>
              <w:t>（</w:t>
            </w:r>
            <w:r>
              <w:rPr>
                <w:rStyle w:val="24"/>
                <w:rFonts w:eastAsia="宋体"/>
                <w:snapToGrid w:val="0"/>
                <w:color w:val="auto"/>
                <w:highlight w:val="none"/>
                <w:lang w:val="en-US" w:eastAsia="zh-CN" w:bidi="ar"/>
              </w:rPr>
              <w:t>1</w:t>
            </w:r>
            <w:r>
              <w:rPr>
                <w:rStyle w:val="23"/>
                <w:snapToGrid w:val="0"/>
                <w:color w:val="auto"/>
                <w:highlight w:val="none"/>
                <w:lang w:val="en-US" w:eastAsia="zh-CN" w:bidi="ar"/>
              </w:rPr>
              <w:t>）设施周边设置有醒目的警示、安全等标识牌。</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top"/>
          </w:tcPr>
          <w:p w14:paraId="78DC395F">
            <w:pPr>
              <w:jc w:val="left"/>
              <w:rPr>
                <w:rFonts w:hint="default" w:ascii="Arial" w:hAnsi="Arial" w:eastAsia="宋体" w:cs="Arial"/>
                <w:i w:val="0"/>
                <w:iCs w:val="0"/>
                <w:color w:val="auto"/>
                <w:sz w:val="18"/>
                <w:szCs w:val="18"/>
                <w:highlight w:val="none"/>
                <w:u w:val="none"/>
              </w:rPr>
            </w:pPr>
          </w:p>
        </w:tc>
        <w:tc>
          <w:tcPr>
            <w:tcW w:w="700" w:type="pct"/>
            <w:tcBorders>
              <w:top w:val="single" w:color="000000" w:sz="4" w:space="0"/>
              <w:left w:val="single" w:color="000000" w:sz="4" w:space="0"/>
              <w:bottom w:val="single" w:color="000000" w:sz="4" w:space="0"/>
              <w:right w:val="single" w:color="000000" w:sz="4" w:space="0"/>
            </w:tcBorders>
            <w:shd w:val="clear" w:color="auto" w:fill="auto"/>
            <w:vAlign w:val="top"/>
          </w:tcPr>
          <w:p w14:paraId="6C213F40">
            <w:pPr>
              <w:jc w:val="left"/>
              <w:rPr>
                <w:rFonts w:hint="default" w:ascii="Arial" w:hAnsi="Arial" w:eastAsia="宋体" w:cs="Arial"/>
                <w:i w:val="0"/>
                <w:iCs w:val="0"/>
                <w:color w:val="auto"/>
                <w:sz w:val="18"/>
                <w:szCs w:val="18"/>
                <w:highlight w:val="none"/>
                <w:u w:val="none"/>
              </w:rPr>
            </w:pPr>
          </w:p>
        </w:tc>
      </w:tr>
      <w:tr w14:paraId="70F425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 w:hRule="atLeast"/>
          <w:jc w:val="center"/>
        </w:trPr>
        <w:tc>
          <w:tcPr>
            <w:tcW w:w="5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121D81">
            <w:pPr>
              <w:jc w:val="center"/>
              <w:rPr>
                <w:rFonts w:hint="eastAsia" w:ascii="宋体" w:hAnsi="宋体" w:eastAsia="宋体" w:cs="宋体"/>
                <w:b/>
                <w:bCs/>
                <w:i w:val="0"/>
                <w:iCs w:val="0"/>
                <w:color w:val="auto"/>
                <w:sz w:val="18"/>
                <w:szCs w:val="18"/>
                <w:highlight w:val="none"/>
                <w:u w:val="none"/>
              </w:rPr>
            </w:pPr>
          </w:p>
        </w:tc>
        <w:tc>
          <w:tcPr>
            <w:tcW w:w="4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062E5D">
            <w:pPr>
              <w:jc w:val="center"/>
              <w:rPr>
                <w:rFonts w:hint="eastAsia" w:ascii="宋体" w:hAnsi="宋体" w:eastAsia="宋体" w:cs="宋体"/>
                <w:b/>
                <w:bCs/>
                <w:i w:val="0"/>
                <w:iCs w:val="0"/>
                <w:color w:val="auto"/>
                <w:sz w:val="18"/>
                <w:szCs w:val="18"/>
                <w:highlight w:val="none"/>
                <w:u w:val="none"/>
              </w:rPr>
            </w:pPr>
          </w:p>
        </w:tc>
        <w:tc>
          <w:tcPr>
            <w:tcW w:w="2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56A399">
            <w:pPr>
              <w:keepNext w:val="0"/>
              <w:keepLines w:val="0"/>
              <w:widowControl/>
              <w:suppressLineNumbers w:val="0"/>
              <w:jc w:val="left"/>
              <w:textAlignment w:val="center"/>
              <w:rPr>
                <w:rFonts w:ascii="宋体" w:hAnsi="宋体" w:eastAsia="宋体" w:cs="宋体"/>
                <w:i w:val="0"/>
                <w:iCs w:val="0"/>
                <w:color w:val="auto"/>
                <w:sz w:val="18"/>
                <w:szCs w:val="18"/>
                <w:highlight w:val="none"/>
                <w:u w:val="none"/>
              </w:rPr>
            </w:pPr>
            <w:r>
              <w:rPr>
                <w:rStyle w:val="23"/>
                <w:snapToGrid w:val="0"/>
                <w:color w:val="auto"/>
                <w:highlight w:val="none"/>
                <w:lang w:val="en-US" w:eastAsia="zh-CN" w:bidi="ar"/>
              </w:rPr>
              <w:t>（</w:t>
            </w:r>
            <w:r>
              <w:rPr>
                <w:rStyle w:val="24"/>
                <w:rFonts w:eastAsia="宋体"/>
                <w:snapToGrid w:val="0"/>
                <w:color w:val="auto"/>
                <w:highlight w:val="none"/>
                <w:lang w:val="en-US" w:eastAsia="zh-CN" w:bidi="ar"/>
              </w:rPr>
              <w:t>2</w:t>
            </w:r>
            <w:r>
              <w:rPr>
                <w:rStyle w:val="23"/>
                <w:snapToGrid w:val="0"/>
                <w:color w:val="auto"/>
                <w:highlight w:val="none"/>
                <w:lang w:val="en-US" w:eastAsia="zh-CN" w:bidi="ar"/>
              </w:rPr>
              <w:t>）设施安全步梯、安全爬梯、操作平台等防护设施能正常使用。</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top"/>
          </w:tcPr>
          <w:p w14:paraId="67E5F87B">
            <w:pPr>
              <w:jc w:val="left"/>
              <w:rPr>
                <w:rFonts w:hint="default" w:ascii="Arial" w:hAnsi="Arial" w:eastAsia="宋体" w:cs="Arial"/>
                <w:i w:val="0"/>
                <w:iCs w:val="0"/>
                <w:color w:val="auto"/>
                <w:sz w:val="18"/>
                <w:szCs w:val="18"/>
                <w:highlight w:val="none"/>
                <w:u w:val="none"/>
              </w:rPr>
            </w:pPr>
          </w:p>
        </w:tc>
        <w:tc>
          <w:tcPr>
            <w:tcW w:w="700" w:type="pct"/>
            <w:tcBorders>
              <w:top w:val="single" w:color="000000" w:sz="4" w:space="0"/>
              <w:left w:val="single" w:color="000000" w:sz="4" w:space="0"/>
              <w:bottom w:val="single" w:color="000000" w:sz="4" w:space="0"/>
              <w:right w:val="single" w:color="000000" w:sz="4" w:space="0"/>
            </w:tcBorders>
            <w:shd w:val="clear" w:color="auto" w:fill="auto"/>
            <w:vAlign w:val="top"/>
          </w:tcPr>
          <w:p w14:paraId="438F568E">
            <w:pPr>
              <w:jc w:val="left"/>
              <w:rPr>
                <w:rFonts w:hint="default" w:ascii="Arial" w:hAnsi="Arial" w:eastAsia="宋体" w:cs="Arial"/>
                <w:i w:val="0"/>
                <w:iCs w:val="0"/>
                <w:color w:val="auto"/>
                <w:sz w:val="18"/>
                <w:szCs w:val="18"/>
                <w:highlight w:val="none"/>
                <w:u w:val="none"/>
              </w:rPr>
            </w:pPr>
          </w:p>
        </w:tc>
      </w:tr>
      <w:tr w14:paraId="03951D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 w:hRule="atLeast"/>
          <w:jc w:val="center"/>
        </w:trPr>
        <w:tc>
          <w:tcPr>
            <w:tcW w:w="5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F0DA01">
            <w:pPr>
              <w:jc w:val="center"/>
              <w:rPr>
                <w:rFonts w:hint="eastAsia" w:ascii="宋体" w:hAnsi="宋体" w:eastAsia="宋体" w:cs="宋体"/>
                <w:b/>
                <w:bCs/>
                <w:i w:val="0"/>
                <w:iCs w:val="0"/>
                <w:color w:val="auto"/>
                <w:sz w:val="18"/>
                <w:szCs w:val="18"/>
                <w:highlight w:val="none"/>
                <w:u w:val="none"/>
              </w:rPr>
            </w:pPr>
          </w:p>
        </w:tc>
        <w:tc>
          <w:tcPr>
            <w:tcW w:w="4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E5EBDB">
            <w:pPr>
              <w:jc w:val="center"/>
              <w:rPr>
                <w:rFonts w:hint="eastAsia" w:ascii="宋体" w:hAnsi="宋体" w:eastAsia="宋体" w:cs="宋体"/>
                <w:b/>
                <w:bCs/>
                <w:i w:val="0"/>
                <w:iCs w:val="0"/>
                <w:color w:val="auto"/>
                <w:sz w:val="18"/>
                <w:szCs w:val="18"/>
                <w:highlight w:val="none"/>
                <w:u w:val="none"/>
              </w:rPr>
            </w:pPr>
          </w:p>
        </w:tc>
        <w:tc>
          <w:tcPr>
            <w:tcW w:w="2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6BB780">
            <w:pPr>
              <w:keepNext w:val="0"/>
              <w:keepLines w:val="0"/>
              <w:widowControl/>
              <w:suppressLineNumbers w:val="0"/>
              <w:jc w:val="left"/>
              <w:textAlignment w:val="center"/>
              <w:rPr>
                <w:rFonts w:ascii="宋体" w:hAnsi="宋体" w:eastAsia="宋体" w:cs="宋体"/>
                <w:i w:val="0"/>
                <w:iCs w:val="0"/>
                <w:color w:val="auto"/>
                <w:sz w:val="18"/>
                <w:szCs w:val="18"/>
                <w:highlight w:val="none"/>
                <w:u w:val="none"/>
              </w:rPr>
            </w:pPr>
            <w:r>
              <w:rPr>
                <w:rStyle w:val="23"/>
                <w:snapToGrid w:val="0"/>
                <w:color w:val="auto"/>
                <w:highlight w:val="none"/>
                <w:lang w:val="en-US" w:eastAsia="zh-CN" w:bidi="ar"/>
              </w:rPr>
              <w:t>（</w:t>
            </w:r>
            <w:r>
              <w:rPr>
                <w:rStyle w:val="24"/>
                <w:rFonts w:eastAsia="宋体"/>
                <w:snapToGrid w:val="0"/>
                <w:color w:val="auto"/>
                <w:highlight w:val="none"/>
                <w:lang w:val="en-US" w:eastAsia="zh-CN" w:bidi="ar"/>
              </w:rPr>
              <w:t>3</w:t>
            </w:r>
            <w:r>
              <w:rPr>
                <w:rStyle w:val="23"/>
                <w:snapToGrid w:val="0"/>
                <w:color w:val="auto"/>
                <w:highlight w:val="none"/>
                <w:lang w:val="en-US" w:eastAsia="zh-CN" w:bidi="ar"/>
              </w:rPr>
              <w:t>）设施周围设有防护围栏，防护围栏高度满足设计要求，且不低于</w:t>
            </w:r>
            <w:r>
              <w:rPr>
                <w:rStyle w:val="24"/>
                <w:rFonts w:eastAsia="宋体"/>
                <w:snapToGrid w:val="0"/>
                <w:color w:val="auto"/>
                <w:highlight w:val="none"/>
                <w:lang w:val="en-US" w:eastAsia="zh-CN" w:bidi="ar"/>
              </w:rPr>
              <w:t>1.2m</w:t>
            </w:r>
            <w:r>
              <w:rPr>
                <w:rStyle w:val="23"/>
                <w:snapToGrid w:val="0"/>
                <w:color w:val="auto"/>
                <w:highlight w:val="none"/>
                <w:lang w:val="en-US" w:eastAsia="zh-CN" w:bidi="ar"/>
              </w:rPr>
              <w:t>。</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top"/>
          </w:tcPr>
          <w:p w14:paraId="01BC78CF">
            <w:pPr>
              <w:jc w:val="left"/>
              <w:rPr>
                <w:rFonts w:hint="default" w:ascii="Arial" w:hAnsi="Arial" w:eastAsia="宋体" w:cs="Arial"/>
                <w:i w:val="0"/>
                <w:iCs w:val="0"/>
                <w:color w:val="auto"/>
                <w:sz w:val="18"/>
                <w:szCs w:val="18"/>
                <w:highlight w:val="none"/>
                <w:u w:val="none"/>
              </w:rPr>
            </w:pPr>
          </w:p>
        </w:tc>
        <w:tc>
          <w:tcPr>
            <w:tcW w:w="700" w:type="pct"/>
            <w:tcBorders>
              <w:top w:val="single" w:color="000000" w:sz="4" w:space="0"/>
              <w:left w:val="single" w:color="000000" w:sz="4" w:space="0"/>
              <w:bottom w:val="single" w:color="000000" w:sz="4" w:space="0"/>
              <w:right w:val="single" w:color="000000" w:sz="4" w:space="0"/>
            </w:tcBorders>
            <w:shd w:val="clear" w:color="auto" w:fill="auto"/>
            <w:vAlign w:val="top"/>
          </w:tcPr>
          <w:p w14:paraId="7D95E31D">
            <w:pPr>
              <w:jc w:val="left"/>
              <w:rPr>
                <w:rFonts w:hint="default" w:ascii="Arial" w:hAnsi="Arial" w:eastAsia="宋体" w:cs="Arial"/>
                <w:i w:val="0"/>
                <w:iCs w:val="0"/>
                <w:color w:val="auto"/>
                <w:sz w:val="18"/>
                <w:szCs w:val="18"/>
                <w:highlight w:val="none"/>
                <w:u w:val="none"/>
              </w:rPr>
            </w:pPr>
          </w:p>
        </w:tc>
      </w:tr>
      <w:tr w14:paraId="18308E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 w:hRule="atLeast"/>
          <w:jc w:val="center"/>
        </w:trPr>
        <w:tc>
          <w:tcPr>
            <w:tcW w:w="5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708A9D">
            <w:pPr>
              <w:jc w:val="center"/>
              <w:rPr>
                <w:rFonts w:hint="eastAsia" w:ascii="宋体" w:hAnsi="宋体" w:eastAsia="宋体" w:cs="宋体"/>
                <w:b/>
                <w:bCs/>
                <w:i w:val="0"/>
                <w:iCs w:val="0"/>
                <w:color w:val="auto"/>
                <w:sz w:val="18"/>
                <w:szCs w:val="18"/>
                <w:highlight w:val="none"/>
                <w:u w:val="none"/>
              </w:rPr>
            </w:pP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C53EF">
            <w:pPr>
              <w:keepNext w:val="0"/>
              <w:keepLines w:val="0"/>
              <w:widowControl/>
              <w:suppressLineNumbers w:val="0"/>
              <w:jc w:val="center"/>
              <w:textAlignment w:val="center"/>
              <w:rPr>
                <w:rFonts w:ascii="宋体" w:hAnsi="宋体" w:eastAsia="宋体" w:cs="宋体"/>
                <w:b/>
                <w:bCs/>
                <w:i w:val="0"/>
                <w:iCs w:val="0"/>
                <w:color w:val="auto"/>
                <w:sz w:val="18"/>
                <w:szCs w:val="18"/>
                <w:highlight w:val="none"/>
                <w:u w:val="none"/>
              </w:rPr>
            </w:pPr>
            <w:r>
              <w:rPr>
                <w:rFonts w:ascii="宋体" w:hAnsi="宋体" w:eastAsia="宋体" w:cs="宋体"/>
                <w:b/>
                <w:bCs/>
                <w:i w:val="0"/>
                <w:iCs w:val="0"/>
                <w:snapToGrid w:val="0"/>
                <w:color w:val="auto"/>
                <w:kern w:val="0"/>
                <w:sz w:val="18"/>
                <w:szCs w:val="18"/>
                <w:highlight w:val="none"/>
                <w:u w:val="none"/>
                <w:lang w:val="en-US" w:eastAsia="zh-CN" w:bidi="ar"/>
              </w:rPr>
              <w:t>运行使用</w:t>
            </w:r>
          </w:p>
        </w:tc>
        <w:tc>
          <w:tcPr>
            <w:tcW w:w="2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D4D417">
            <w:pPr>
              <w:keepNext w:val="0"/>
              <w:keepLines w:val="0"/>
              <w:widowControl/>
              <w:suppressLineNumbers w:val="0"/>
              <w:jc w:val="left"/>
              <w:textAlignment w:val="center"/>
              <w:rPr>
                <w:rFonts w:ascii="宋体" w:hAnsi="宋体" w:eastAsia="宋体" w:cs="宋体"/>
                <w:i w:val="0"/>
                <w:iCs w:val="0"/>
                <w:color w:val="auto"/>
                <w:sz w:val="18"/>
                <w:szCs w:val="18"/>
                <w:highlight w:val="none"/>
                <w:u w:val="none"/>
              </w:rPr>
            </w:pPr>
            <w:r>
              <w:rPr>
                <w:rStyle w:val="23"/>
                <w:snapToGrid w:val="0"/>
                <w:color w:val="auto"/>
                <w:highlight w:val="none"/>
                <w:lang w:val="en-US" w:eastAsia="zh-CN" w:bidi="ar"/>
              </w:rPr>
              <w:t>（</w:t>
            </w:r>
            <w:r>
              <w:rPr>
                <w:rStyle w:val="24"/>
                <w:rFonts w:eastAsia="宋体"/>
                <w:snapToGrid w:val="0"/>
                <w:color w:val="auto"/>
                <w:highlight w:val="none"/>
                <w:lang w:val="en-US" w:eastAsia="zh-CN" w:bidi="ar"/>
              </w:rPr>
              <w:t>1</w:t>
            </w:r>
            <w:r>
              <w:rPr>
                <w:rStyle w:val="23"/>
                <w:snapToGrid w:val="0"/>
                <w:color w:val="auto"/>
                <w:highlight w:val="none"/>
                <w:lang w:val="en-US" w:eastAsia="zh-CN" w:bidi="ar"/>
              </w:rPr>
              <w:t>）工程设施能够发挥预期功能作用。</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top"/>
          </w:tcPr>
          <w:p w14:paraId="6E2ABFC9">
            <w:pPr>
              <w:jc w:val="left"/>
              <w:rPr>
                <w:rFonts w:hint="default" w:ascii="Arial" w:hAnsi="Arial" w:eastAsia="宋体" w:cs="Arial"/>
                <w:i w:val="0"/>
                <w:iCs w:val="0"/>
                <w:color w:val="auto"/>
                <w:sz w:val="18"/>
                <w:szCs w:val="18"/>
                <w:highlight w:val="none"/>
                <w:u w:val="none"/>
              </w:rPr>
            </w:pPr>
          </w:p>
        </w:tc>
        <w:tc>
          <w:tcPr>
            <w:tcW w:w="700" w:type="pct"/>
            <w:tcBorders>
              <w:top w:val="single" w:color="000000" w:sz="4" w:space="0"/>
              <w:left w:val="single" w:color="000000" w:sz="4" w:space="0"/>
              <w:bottom w:val="single" w:color="000000" w:sz="4" w:space="0"/>
              <w:right w:val="single" w:color="000000" w:sz="4" w:space="0"/>
            </w:tcBorders>
            <w:shd w:val="clear" w:color="auto" w:fill="auto"/>
            <w:vAlign w:val="top"/>
          </w:tcPr>
          <w:p w14:paraId="72A051D7">
            <w:pPr>
              <w:jc w:val="left"/>
              <w:rPr>
                <w:rFonts w:hint="default" w:ascii="Arial" w:hAnsi="Arial" w:eastAsia="宋体" w:cs="Arial"/>
                <w:i w:val="0"/>
                <w:iCs w:val="0"/>
                <w:color w:val="auto"/>
                <w:sz w:val="18"/>
                <w:szCs w:val="18"/>
                <w:highlight w:val="none"/>
                <w:u w:val="none"/>
              </w:rPr>
            </w:pPr>
          </w:p>
        </w:tc>
      </w:tr>
      <w:tr w14:paraId="71262B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 w:hRule="atLeast"/>
          <w:jc w:val="center"/>
        </w:trPr>
        <w:tc>
          <w:tcPr>
            <w:tcW w:w="5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D9B80F">
            <w:pPr>
              <w:keepNext w:val="0"/>
              <w:keepLines w:val="0"/>
              <w:widowControl/>
              <w:suppressLineNumbers w:val="0"/>
              <w:jc w:val="center"/>
              <w:textAlignment w:val="center"/>
              <w:rPr>
                <w:rFonts w:ascii="宋体" w:hAnsi="宋体" w:eastAsia="宋体" w:cs="宋体"/>
                <w:b/>
                <w:bCs/>
                <w:i w:val="0"/>
                <w:iCs w:val="0"/>
                <w:color w:val="auto"/>
                <w:sz w:val="18"/>
                <w:szCs w:val="18"/>
                <w:highlight w:val="none"/>
                <w:u w:val="none"/>
              </w:rPr>
            </w:pPr>
            <w:r>
              <w:rPr>
                <w:rFonts w:ascii="宋体" w:hAnsi="宋体" w:eastAsia="宋体" w:cs="宋体"/>
                <w:b/>
                <w:bCs/>
                <w:i w:val="0"/>
                <w:iCs w:val="0"/>
                <w:snapToGrid w:val="0"/>
                <w:color w:val="auto"/>
                <w:kern w:val="0"/>
                <w:sz w:val="18"/>
                <w:szCs w:val="18"/>
                <w:highlight w:val="none"/>
                <w:u w:val="none"/>
                <w:lang w:val="en-US" w:eastAsia="zh-CN" w:bidi="ar"/>
              </w:rPr>
              <w:t>泵站及设备</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0287D8">
            <w:pPr>
              <w:keepNext w:val="0"/>
              <w:keepLines w:val="0"/>
              <w:widowControl/>
              <w:suppressLineNumbers w:val="0"/>
              <w:jc w:val="center"/>
              <w:textAlignment w:val="center"/>
              <w:rPr>
                <w:rFonts w:ascii="宋体" w:hAnsi="宋体" w:eastAsia="宋体" w:cs="宋体"/>
                <w:b/>
                <w:bCs/>
                <w:i w:val="0"/>
                <w:iCs w:val="0"/>
                <w:color w:val="auto"/>
                <w:sz w:val="18"/>
                <w:szCs w:val="18"/>
                <w:highlight w:val="none"/>
                <w:u w:val="none"/>
              </w:rPr>
            </w:pPr>
            <w:r>
              <w:rPr>
                <w:rFonts w:ascii="宋体" w:hAnsi="宋体" w:eastAsia="宋体" w:cs="宋体"/>
                <w:b/>
                <w:bCs/>
                <w:i w:val="0"/>
                <w:iCs w:val="0"/>
                <w:snapToGrid w:val="0"/>
                <w:color w:val="auto"/>
                <w:kern w:val="0"/>
                <w:sz w:val="18"/>
                <w:szCs w:val="18"/>
                <w:highlight w:val="none"/>
                <w:u w:val="none"/>
                <w:lang w:val="en-US" w:eastAsia="zh-CN" w:bidi="ar"/>
              </w:rPr>
              <w:t>外观质量</w:t>
            </w:r>
          </w:p>
        </w:tc>
        <w:tc>
          <w:tcPr>
            <w:tcW w:w="2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B6CBB">
            <w:pPr>
              <w:keepNext w:val="0"/>
              <w:keepLines w:val="0"/>
              <w:widowControl/>
              <w:suppressLineNumbers w:val="0"/>
              <w:jc w:val="left"/>
              <w:textAlignment w:val="center"/>
              <w:rPr>
                <w:rFonts w:ascii="宋体" w:hAnsi="宋体" w:eastAsia="宋体" w:cs="宋体"/>
                <w:i w:val="0"/>
                <w:iCs w:val="0"/>
                <w:color w:val="auto"/>
                <w:sz w:val="18"/>
                <w:szCs w:val="18"/>
                <w:highlight w:val="none"/>
                <w:u w:val="none"/>
              </w:rPr>
            </w:pPr>
            <w:r>
              <w:rPr>
                <w:rStyle w:val="23"/>
                <w:snapToGrid w:val="0"/>
                <w:color w:val="auto"/>
                <w:highlight w:val="none"/>
                <w:lang w:val="en-US" w:eastAsia="zh-CN" w:bidi="ar"/>
              </w:rPr>
              <w:t>（</w:t>
            </w:r>
            <w:r>
              <w:rPr>
                <w:rStyle w:val="24"/>
                <w:rFonts w:eastAsia="宋体"/>
                <w:snapToGrid w:val="0"/>
                <w:color w:val="auto"/>
                <w:highlight w:val="none"/>
                <w:lang w:val="en-US" w:eastAsia="zh-CN" w:bidi="ar"/>
              </w:rPr>
              <w:t>1</w:t>
            </w:r>
            <w:r>
              <w:rPr>
                <w:rStyle w:val="23"/>
                <w:snapToGrid w:val="0"/>
                <w:color w:val="auto"/>
                <w:highlight w:val="none"/>
                <w:lang w:val="en-US" w:eastAsia="zh-CN" w:bidi="ar"/>
              </w:rPr>
              <w:t>）墙体、地面、镇墩、散水等设施无沉降开裂、坍塌破损。</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top"/>
          </w:tcPr>
          <w:p w14:paraId="20ABD2C9">
            <w:pPr>
              <w:jc w:val="left"/>
              <w:rPr>
                <w:rFonts w:hint="default" w:ascii="Arial" w:hAnsi="Arial" w:eastAsia="宋体" w:cs="Arial"/>
                <w:i w:val="0"/>
                <w:iCs w:val="0"/>
                <w:color w:val="auto"/>
                <w:sz w:val="18"/>
                <w:szCs w:val="18"/>
                <w:highlight w:val="none"/>
                <w:u w:val="none"/>
              </w:rPr>
            </w:pPr>
          </w:p>
        </w:tc>
        <w:tc>
          <w:tcPr>
            <w:tcW w:w="700" w:type="pct"/>
            <w:tcBorders>
              <w:top w:val="single" w:color="000000" w:sz="4" w:space="0"/>
              <w:left w:val="single" w:color="000000" w:sz="4" w:space="0"/>
              <w:bottom w:val="single" w:color="000000" w:sz="4" w:space="0"/>
              <w:right w:val="single" w:color="000000" w:sz="4" w:space="0"/>
            </w:tcBorders>
            <w:shd w:val="clear" w:color="auto" w:fill="auto"/>
            <w:vAlign w:val="top"/>
          </w:tcPr>
          <w:p w14:paraId="75AF7612">
            <w:pPr>
              <w:jc w:val="left"/>
              <w:rPr>
                <w:rFonts w:hint="default" w:ascii="Arial" w:hAnsi="Arial" w:eastAsia="宋体" w:cs="Arial"/>
                <w:i w:val="0"/>
                <w:iCs w:val="0"/>
                <w:color w:val="auto"/>
                <w:sz w:val="18"/>
                <w:szCs w:val="18"/>
                <w:highlight w:val="none"/>
                <w:u w:val="none"/>
              </w:rPr>
            </w:pPr>
          </w:p>
        </w:tc>
      </w:tr>
      <w:tr w14:paraId="3368D0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 w:hRule="atLeast"/>
          <w:jc w:val="center"/>
        </w:trPr>
        <w:tc>
          <w:tcPr>
            <w:tcW w:w="5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66FC90">
            <w:pPr>
              <w:jc w:val="center"/>
              <w:rPr>
                <w:rFonts w:hint="eastAsia" w:ascii="宋体" w:hAnsi="宋体" w:eastAsia="宋体" w:cs="宋体"/>
                <w:b/>
                <w:bCs/>
                <w:i w:val="0"/>
                <w:iCs w:val="0"/>
                <w:color w:val="auto"/>
                <w:sz w:val="18"/>
                <w:szCs w:val="18"/>
                <w:highlight w:val="none"/>
                <w:u w:val="none"/>
              </w:rPr>
            </w:pPr>
          </w:p>
        </w:tc>
        <w:tc>
          <w:tcPr>
            <w:tcW w:w="4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3094E1">
            <w:pPr>
              <w:keepNext w:val="0"/>
              <w:keepLines w:val="0"/>
              <w:widowControl/>
              <w:suppressLineNumbers w:val="0"/>
              <w:jc w:val="center"/>
              <w:textAlignment w:val="center"/>
              <w:rPr>
                <w:rFonts w:ascii="宋体" w:hAnsi="宋体" w:eastAsia="宋体" w:cs="宋体"/>
                <w:b/>
                <w:bCs/>
                <w:i w:val="0"/>
                <w:iCs w:val="0"/>
                <w:color w:val="auto"/>
                <w:sz w:val="18"/>
                <w:szCs w:val="18"/>
                <w:highlight w:val="none"/>
                <w:u w:val="none"/>
              </w:rPr>
            </w:pPr>
            <w:r>
              <w:rPr>
                <w:rFonts w:ascii="宋体" w:hAnsi="宋体" w:eastAsia="宋体" w:cs="宋体"/>
                <w:b/>
                <w:bCs/>
                <w:i w:val="0"/>
                <w:iCs w:val="0"/>
                <w:snapToGrid w:val="0"/>
                <w:color w:val="auto"/>
                <w:kern w:val="0"/>
                <w:sz w:val="18"/>
                <w:szCs w:val="18"/>
                <w:highlight w:val="none"/>
                <w:u w:val="none"/>
                <w:lang w:val="en-US" w:eastAsia="zh-CN" w:bidi="ar"/>
              </w:rPr>
              <w:t>防护措施</w:t>
            </w:r>
          </w:p>
        </w:tc>
        <w:tc>
          <w:tcPr>
            <w:tcW w:w="2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8998CC">
            <w:pPr>
              <w:keepNext w:val="0"/>
              <w:keepLines w:val="0"/>
              <w:widowControl/>
              <w:suppressLineNumbers w:val="0"/>
              <w:jc w:val="left"/>
              <w:textAlignment w:val="center"/>
              <w:rPr>
                <w:rFonts w:ascii="宋体" w:hAnsi="宋体" w:eastAsia="宋体" w:cs="宋体"/>
                <w:i w:val="0"/>
                <w:iCs w:val="0"/>
                <w:color w:val="auto"/>
                <w:sz w:val="18"/>
                <w:szCs w:val="18"/>
                <w:highlight w:val="none"/>
                <w:u w:val="none"/>
              </w:rPr>
            </w:pPr>
            <w:r>
              <w:rPr>
                <w:rStyle w:val="23"/>
                <w:snapToGrid w:val="0"/>
                <w:color w:val="auto"/>
                <w:highlight w:val="none"/>
                <w:lang w:val="en-US" w:eastAsia="zh-CN" w:bidi="ar"/>
              </w:rPr>
              <w:t>（</w:t>
            </w:r>
            <w:r>
              <w:rPr>
                <w:rStyle w:val="24"/>
                <w:rFonts w:eastAsia="宋体"/>
                <w:snapToGrid w:val="0"/>
                <w:color w:val="auto"/>
                <w:highlight w:val="none"/>
                <w:lang w:val="en-US" w:eastAsia="zh-CN" w:bidi="ar"/>
              </w:rPr>
              <w:t>1</w:t>
            </w:r>
            <w:r>
              <w:rPr>
                <w:rStyle w:val="23"/>
                <w:snapToGrid w:val="0"/>
                <w:color w:val="auto"/>
                <w:highlight w:val="none"/>
                <w:lang w:val="en-US" w:eastAsia="zh-CN" w:bidi="ar"/>
              </w:rPr>
              <w:t>）设备设有触电防护措施（接地保护、漏电保护装置、绝缘防护等）。</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top"/>
          </w:tcPr>
          <w:p w14:paraId="4FA6AFBC">
            <w:pPr>
              <w:jc w:val="left"/>
              <w:rPr>
                <w:rFonts w:hint="default" w:ascii="Arial" w:hAnsi="Arial" w:eastAsia="宋体" w:cs="Arial"/>
                <w:i w:val="0"/>
                <w:iCs w:val="0"/>
                <w:color w:val="auto"/>
                <w:sz w:val="18"/>
                <w:szCs w:val="18"/>
                <w:highlight w:val="none"/>
                <w:u w:val="none"/>
              </w:rPr>
            </w:pPr>
          </w:p>
        </w:tc>
        <w:tc>
          <w:tcPr>
            <w:tcW w:w="700" w:type="pct"/>
            <w:tcBorders>
              <w:top w:val="single" w:color="000000" w:sz="4" w:space="0"/>
              <w:left w:val="single" w:color="000000" w:sz="4" w:space="0"/>
              <w:bottom w:val="single" w:color="000000" w:sz="4" w:space="0"/>
              <w:right w:val="single" w:color="000000" w:sz="4" w:space="0"/>
            </w:tcBorders>
            <w:shd w:val="clear" w:color="auto" w:fill="auto"/>
            <w:vAlign w:val="top"/>
          </w:tcPr>
          <w:p w14:paraId="2D526175">
            <w:pPr>
              <w:jc w:val="left"/>
              <w:rPr>
                <w:rFonts w:hint="default" w:ascii="Arial" w:hAnsi="Arial" w:eastAsia="宋体" w:cs="Arial"/>
                <w:i w:val="0"/>
                <w:iCs w:val="0"/>
                <w:color w:val="auto"/>
                <w:sz w:val="18"/>
                <w:szCs w:val="18"/>
                <w:highlight w:val="none"/>
                <w:u w:val="none"/>
              </w:rPr>
            </w:pPr>
          </w:p>
        </w:tc>
      </w:tr>
      <w:tr w14:paraId="4D1964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 w:hRule="atLeast"/>
          <w:jc w:val="center"/>
        </w:trPr>
        <w:tc>
          <w:tcPr>
            <w:tcW w:w="5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98B561">
            <w:pPr>
              <w:jc w:val="center"/>
              <w:rPr>
                <w:rFonts w:hint="eastAsia" w:ascii="宋体" w:hAnsi="宋体" w:eastAsia="宋体" w:cs="宋体"/>
                <w:b/>
                <w:bCs/>
                <w:i w:val="0"/>
                <w:iCs w:val="0"/>
                <w:color w:val="auto"/>
                <w:sz w:val="18"/>
                <w:szCs w:val="18"/>
                <w:highlight w:val="none"/>
                <w:u w:val="none"/>
              </w:rPr>
            </w:pPr>
          </w:p>
        </w:tc>
        <w:tc>
          <w:tcPr>
            <w:tcW w:w="4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66E442">
            <w:pPr>
              <w:jc w:val="center"/>
              <w:rPr>
                <w:rFonts w:hint="eastAsia" w:ascii="宋体" w:hAnsi="宋体" w:eastAsia="宋体" w:cs="宋体"/>
                <w:b/>
                <w:bCs/>
                <w:i w:val="0"/>
                <w:iCs w:val="0"/>
                <w:color w:val="auto"/>
                <w:sz w:val="18"/>
                <w:szCs w:val="18"/>
                <w:highlight w:val="none"/>
                <w:u w:val="none"/>
              </w:rPr>
            </w:pPr>
          </w:p>
        </w:tc>
        <w:tc>
          <w:tcPr>
            <w:tcW w:w="2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C58A0">
            <w:pPr>
              <w:keepNext w:val="0"/>
              <w:keepLines w:val="0"/>
              <w:widowControl/>
              <w:suppressLineNumbers w:val="0"/>
              <w:jc w:val="left"/>
              <w:textAlignment w:val="center"/>
              <w:rPr>
                <w:rFonts w:ascii="宋体" w:hAnsi="宋体" w:eastAsia="宋体" w:cs="宋体"/>
                <w:i w:val="0"/>
                <w:iCs w:val="0"/>
                <w:color w:val="auto"/>
                <w:sz w:val="18"/>
                <w:szCs w:val="18"/>
                <w:highlight w:val="none"/>
                <w:u w:val="none"/>
              </w:rPr>
            </w:pPr>
            <w:r>
              <w:rPr>
                <w:rStyle w:val="23"/>
                <w:snapToGrid w:val="0"/>
                <w:color w:val="auto"/>
                <w:highlight w:val="none"/>
                <w:lang w:val="en-US" w:eastAsia="zh-CN" w:bidi="ar"/>
              </w:rPr>
              <w:t>（</w:t>
            </w:r>
            <w:r>
              <w:rPr>
                <w:rStyle w:val="24"/>
                <w:rFonts w:eastAsia="宋体"/>
                <w:snapToGrid w:val="0"/>
                <w:color w:val="auto"/>
                <w:highlight w:val="none"/>
                <w:lang w:val="en-US" w:eastAsia="zh-CN" w:bidi="ar"/>
              </w:rPr>
              <w:t>2</w:t>
            </w:r>
            <w:r>
              <w:rPr>
                <w:rStyle w:val="23"/>
                <w:snapToGrid w:val="0"/>
                <w:color w:val="auto"/>
                <w:highlight w:val="none"/>
                <w:lang w:val="en-US" w:eastAsia="zh-CN" w:bidi="ar"/>
              </w:rPr>
              <w:t>）泵房内排线整齐有序，无漏电风险。</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top"/>
          </w:tcPr>
          <w:p w14:paraId="7F792DE1">
            <w:pPr>
              <w:jc w:val="left"/>
              <w:rPr>
                <w:rFonts w:hint="default" w:ascii="Arial" w:hAnsi="Arial" w:eastAsia="宋体" w:cs="Arial"/>
                <w:i w:val="0"/>
                <w:iCs w:val="0"/>
                <w:color w:val="auto"/>
                <w:sz w:val="18"/>
                <w:szCs w:val="18"/>
                <w:highlight w:val="none"/>
                <w:u w:val="none"/>
              </w:rPr>
            </w:pPr>
          </w:p>
        </w:tc>
        <w:tc>
          <w:tcPr>
            <w:tcW w:w="700" w:type="pct"/>
            <w:tcBorders>
              <w:top w:val="single" w:color="000000" w:sz="4" w:space="0"/>
              <w:left w:val="single" w:color="000000" w:sz="4" w:space="0"/>
              <w:bottom w:val="single" w:color="000000" w:sz="4" w:space="0"/>
              <w:right w:val="single" w:color="000000" w:sz="4" w:space="0"/>
            </w:tcBorders>
            <w:shd w:val="clear" w:color="auto" w:fill="auto"/>
            <w:vAlign w:val="top"/>
          </w:tcPr>
          <w:p w14:paraId="19B54701">
            <w:pPr>
              <w:jc w:val="left"/>
              <w:rPr>
                <w:rFonts w:hint="default" w:ascii="Arial" w:hAnsi="Arial" w:eastAsia="宋体" w:cs="Arial"/>
                <w:i w:val="0"/>
                <w:iCs w:val="0"/>
                <w:color w:val="auto"/>
                <w:sz w:val="18"/>
                <w:szCs w:val="18"/>
                <w:highlight w:val="none"/>
                <w:u w:val="none"/>
              </w:rPr>
            </w:pPr>
          </w:p>
        </w:tc>
      </w:tr>
      <w:tr w14:paraId="00765A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 w:hRule="atLeast"/>
          <w:jc w:val="center"/>
        </w:trPr>
        <w:tc>
          <w:tcPr>
            <w:tcW w:w="5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9CE67B">
            <w:pPr>
              <w:jc w:val="center"/>
              <w:rPr>
                <w:rFonts w:hint="eastAsia" w:ascii="宋体" w:hAnsi="宋体" w:eastAsia="宋体" w:cs="宋体"/>
                <w:b/>
                <w:bCs/>
                <w:i w:val="0"/>
                <w:iCs w:val="0"/>
                <w:color w:val="auto"/>
                <w:sz w:val="18"/>
                <w:szCs w:val="18"/>
                <w:highlight w:val="none"/>
                <w:u w:val="none"/>
              </w:rPr>
            </w:pPr>
          </w:p>
        </w:tc>
        <w:tc>
          <w:tcPr>
            <w:tcW w:w="4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5D37DF">
            <w:pPr>
              <w:jc w:val="center"/>
              <w:rPr>
                <w:rFonts w:hint="eastAsia" w:ascii="宋体" w:hAnsi="宋体" w:eastAsia="宋体" w:cs="宋体"/>
                <w:b/>
                <w:bCs/>
                <w:i w:val="0"/>
                <w:iCs w:val="0"/>
                <w:color w:val="auto"/>
                <w:sz w:val="18"/>
                <w:szCs w:val="18"/>
                <w:highlight w:val="none"/>
                <w:u w:val="none"/>
              </w:rPr>
            </w:pPr>
          </w:p>
        </w:tc>
        <w:tc>
          <w:tcPr>
            <w:tcW w:w="2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5DB99C">
            <w:pPr>
              <w:keepNext w:val="0"/>
              <w:keepLines w:val="0"/>
              <w:widowControl/>
              <w:suppressLineNumbers w:val="0"/>
              <w:jc w:val="left"/>
              <w:textAlignment w:val="center"/>
              <w:rPr>
                <w:rFonts w:ascii="宋体" w:hAnsi="宋体" w:eastAsia="宋体" w:cs="宋体"/>
                <w:i w:val="0"/>
                <w:iCs w:val="0"/>
                <w:color w:val="auto"/>
                <w:sz w:val="18"/>
                <w:szCs w:val="18"/>
                <w:highlight w:val="none"/>
                <w:u w:val="none"/>
              </w:rPr>
            </w:pPr>
            <w:r>
              <w:rPr>
                <w:rStyle w:val="23"/>
                <w:snapToGrid w:val="0"/>
                <w:color w:val="auto"/>
                <w:highlight w:val="none"/>
                <w:lang w:val="en-US" w:eastAsia="zh-CN" w:bidi="ar"/>
              </w:rPr>
              <w:t>（</w:t>
            </w:r>
            <w:r>
              <w:rPr>
                <w:rStyle w:val="24"/>
                <w:rFonts w:eastAsia="宋体"/>
                <w:snapToGrid w:val="0"/>
                <w:color w:val="auto"/>
                <w:highlight w:val="none"/>
                <w:lang w:val="en-US" w:eastAsia="zh-CN" w:bidi="ar"/>
              </w:rPr>
              <w:t>3</w:t>
            </w:r>
            <w:r>
              <w:rPr>
                <w:rStyle w:val="23"/>
                <w:snapToGrid w:val="0"/>
                <w:color w:val="auto"/>
                <w:highlight w:val="none"/>
                <w:lang w:val="en-US" w:eastAsia="zh-CN" w:bidi="ar"/>
              </w:rPr>
              <w:t>）墙上悬挂有操作规程及安全管理制度标识牌。</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top"/>
          </w:tcPr>
          <w:p w14:paraId="3DBBFEF6">
            <w:pPr>
              <w:jc w:val="left"/>
              <w:rPr>
                <w:rFonts w:hint="default" w:ascii="Arial" w:hAnsi="Arial" w:eastAsia="宋体" w:cs="Arial"/>
                <w:i w:val="0"/>
                <w:iCs w:val="0"/>
                <w:color w:val="auto"/>
                <w:sz w:val="18"/>
                <w:szCs w:val="18"/>
                <w:highlight w:val="none"/>
                <w:u w:val="none"/>
              </w:rPr>
            </w:pPr>
          </w:p>
        </w:tc>
        <w:tc>
          <w:tcPr>
            <w:tcW w:w="700" w:type="pct"/>
            <w:tcBorders>
              <w:top w:val="single" w:color="000000" w:sz="4" w:space="0"/>
              <w:left w:val="single" w:color="000000" w:sz="4" w:space="0"/>
              <w:bottom w:val="single" w:color="000000" w:sz="4" w:space="0"/>
              <w:right w:val="single" w:color="000000" w:sz="4" w:space="0"/>
            </w:tcBorders>
            <w:shd w:val="clear" w:color="auto" w:fill="auto"/>
            <w:vAlign w:val="top"/>
          </w:tcPr>
          <w:p w14:paraId="4F263187">
            <w:pPr>
              <w:jc w:val="left"/>
              <w:rPr>
                <w:rFonts w:hint="default" w:ascii="Arial" w:hAnsi="Arial" w:eastAsia="宋体" w:cs="Arial"/>
                <w:i w:val="0"/>
                <w:iCs w:val="0"/>
                <w:color w:val="auto"/>
                <w:sz w:val="18"/>
                <w:szCs w:val="18"/>
                <w:highlight w:val="none"/>
                <w:u w:val="none"/>
              </w:rPr>
            </w:pPr>
          </w:p>
        </w:tc>
      </w:tr>
      <w:tr w14:paraId="7E0DA1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 w:hRule="atLeast"/>
          <w:jc w:val="center"/>
        </w:trPr>
        <w:tc>
          <w:tcPr>
            <w:tcW w:w="5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D8C2EB">
            <w:pPr>
              <w:jc w:val="center"/>
              <w:rPr>
                <w:rFonts w:hint="eastAsia" w:ascii="宋体" w:hAnsi="宋体" w:eastAsia="宋体" w:cs="宋体"/>
                <w:b/>
                <w:bCs/>
                <w:i w:val="0"/>
                <w:iCs w:val="0"/>
                <w:color w:val="auto"/>
                <w:sz w:val="18"/>
                <w:szCs w:val="18"/>
                <w:highlight w:val="none"/>
                <w:u w:val="none"/>
              </w:rPr>
            </w:pPr>
          </w:p>
        </w:tc>
        <w:tc>
          <w:tcPr>
            <w:tcW w:w="4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23E1C2">
            <w:pPr>
              <w:keepNext w:val="0"/>
              <w:keepLines w:val="0"/>
              <w:widowControl/>
              <w:suppressLineNumbers w:val="0"/>
              <w:jc w:val="center"/>
              <w:textAlignment w:val="center"/>
              <w:rPr>
                <w:rFonts w:ascii="宋体" w:hAnsi="宋体" w:eastAsia="宋体" w:cs="宋体"/>
                <w:b/>
                <w:bCs/>
                <w:i w:val="0"/>
                <w:iCs w:val="0"/>
                <w:color w:val="auto"/>
                <w:sz w:val="18"/>
                <w:szCs w:val="18"/>
                <w:highlight w:val="none"/>
                <w:u w:val="none"/>
              </w:rPr>
            </w:pPr>
            <w:r>
              <w:rPr>
                <w:rFonts w:ascii="宋体" w:hAnsi="宋体" w:eastAsia="宋体" w:cs="宋体"/>
                <w:b/>
                <w:bCs/>
                <w:i w:val="0"/>
                <w:iCs w:val="0"/>
                <w:snapToGrid w:val="0"/>
                <w:color w:val="auto"/>
                <w:kern w:val="0"/>
                <w:sz w:val="18"/>
                <w:szCs w:val="18"/>
                <w:highlight w:val="none"/>
                <w:u w:val="none"/>
                <w:lang w:val="en-US" w:eastAsia="zh-CN" w:bidi="ar"/>
              </w:rPr>
              <w:t>管道及镇</w:t>
            </w:r>
            <w:r>
              <w:rPr>
                <w:rFonts w:ascii="宋体" w:hAnsi="宋体" w:eastAsia="宋体" w:cs="宋体"/>
                <w:b/>
                <w:bCs/>
                <w:i w:val="0"/>
                <w:iCs w:val="0"/>
                <w:snapToGrid w:val="0"/>
                <w:color w:val="auto"/>
                <w:kern w:val="0"/>
                <w:sz w:val="18"/>
                <w:szCs w:val="18"/>
                <w:highlight w:val="none"/>
                <w:u w:val="none"/>
                <w:lang w:val="en-US" w:eastAsia="zh-CN" w:bidi="ar"/>
              </w:rPr>
              <w:br w:type="textWrapping"/>
            </w:r>
            <w:r>
              <w:rPr>
                <w:rFonts w:ascii="宋体" w:hAnsi="宋体" w:eastAsia="宋体" w:cs="宋体"/>
                <w:b/>
                <w:bCs/>
                <w:i w:val="0"/>
                <w:iCs w:val="0"/>
                <w:snapToGrid w:val="0"/>
                <w:color w:val="auto"/>
                <w:kern w:val="0"/>
                <w:sz w:val="18"/>
                <w:szCs w:val="18"/>
                <w:highlight w:val="none"/>
                <w:u w:val="none"/>
                <w:lang w:val="en-US" w:eastAsia="zh-CN" w:bidi="ar"/>
              </w:rPr>
              <w:t>墩安装</w:t>
            </w:r>
          </w:p>
        </w:tc>
        <w:tc>
          <w:tcPr>
            <w:tcW w:w="2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029397">
            <w:pPr>
              <w:keepNext w:val="0"/>
              <w:keepLines w:val="0"/>
              <w:widowControl/>
              <w:suppressLineNumbers w:val="0"/>
              <w:jc w:val="left"/>
              <w:textAlignment w:val="center"/>
              <w:rPr>
                <w:rFonts w:ascii="宋体" w:hAnsi="宋体" w:eastAsia="宋体" w:cs="宋体"/>
                <w:i w:val="0"/>
                <w:iCs w:val="0"/>
                <w:color w:val="auto"/>
                <w:sz w:val="18"/>
                <w:szCs w:val="18"/>
                <w:highlight w:val="none"/>
                <w:u w:val="none"/>
              </w:rPr>
            </w:pPr>
            <w:r>
              <w:rPr>
                <w:rStyle w:val="23"/>
                <w:snapToGrid w:val="0"/>
                <w:color w:val="auto"/>
                <w:highlight w:val="none"/>
                <w:lang w:val="en-US" w:eastAsia="zh-CN" w:bidi="ar"/>
              </w:rPr>
              <w:t>（</w:t>
            </w:r>
            <w:r>
              <w:rPr>
                <w:rStyle w:val="24"/>
                <w:rFonts w:eastAsia="宋体"/>
                <w:snapToGrid w:val="0"/>
                <w:color w:val="auto"/>
                <w:highlight w:val="none"/>
                <w:lang w:val="en-US" w:eastAsia="zh-CN" w:bidi="ar"/>
              </w:rPr>
              <w:t>1</w:t>
            </w:r>
            <w:r>
              <w:rPr>
                <w:rStyle w:val="23"/>
                <w:snapToGrid w:val="0"/>
                <w:color w:val="auto"/>
                <w:highlight w:val="none"/>
                <w:lang w:val="en-US" w:eastAsia="zh-CN" w:bidi="ar"/>
              </w:rPr>
              <w:t>）管材管件安装完好，法兰连接紧密、无渗漏。</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top"/>
          </w:tcPr>
          <w:p w14:paraId="1E519080">
            <w:pPr>
              <w:jc w:val="left"/>
              <w:rPr>
                <w:rFonts w:hint="default" w:ascii="Arial" w:hAnsi="Arial" w:eastAsia="宋体" w:cs="Arial"/>
                <w:i w:val="0"/>
                <w:iCs w:val="0"/>
                <w:color w:val="auto"/>
                <w:sz w:val="18"/>
                <w:szCs w:val="18"/>
                <w:highlight w:val="none"/>
                <w:u w:val="none"/>
              </w:rPr>
            </w:pPr>
          </w:p>
        </w:tc>
        <w:tc>
          <w:tcPr>
            <w:tcW w:w="700" w:type="pct"/>
            <w:tcBorders>
              <w:top w:val="single" w:color="000000" w:sz="4" w:space="0"/>
              <w:left w:val="single" w:color="000000" w:sz="4" w:space="0"/>
              <w:bottom w:val="single" w:color="000000" w:sz="4" w:space="0"/>
              <w:right w:val="single" w:color="000000" w:sz="4" w:space="0"/>
            </w:tcBorders>
            <w:shd w:val="clear" w:color="auto" w:fill="auto"/>
            <w:vAlign w:val="top"/>
          </w:tcPr>
          <w:p w14:paraId="7C578B95">
            <w:pPr>
              <w:jc w:val="left"/>
              <w:rPr>
                <w:rFonts w:hint="default" w:ascii="Arial" w:hAnsi="Arial" w:eastAsia="宋体" w:cs="Arial"/>
                <w:i w:val="0"/>
                <w:iCs w:val="0"/>
                <w:color w:val="auto"/>
                <w:sz w:val="18"/>
                <w:szCs w:val="18"/>
                <w:highlight w:val="none"/>
                <w:u w:val="none"/>
              </w:rPr>
            </w:pPr>
          </w:p>
        </w:tc>
      </w:tr>
      <w:tr w14:paraId="736CC9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 w:hRule="atLeast"/>
          <w:jc w:val="center"/>
        </w:trPr>
        <w:tc>
          <w:tcPr>
            <w:tcW w:w="5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6288E8">
            <w:pPr>
              <w:jc w:val="center"/>
              <w:rPr>
                <w:rFonts w:hint="eastAsia" w:ascii="宋体" w:hAnsi="宋体" w:eastAsia="宋体" w:cs="宋体"/>
                <w:b/>
                <w:bCs/>
                <w:i w:val="0"/>
                <w:iCs w:val="0"/>
                <w:color w:val="auto"/>
                <w:sz w:val="18"/>
                <w:szCs w:val="18"/>
                <w:highlight w:val="none"/>
                <w:u w:val="none"/>
              </w:rPr>
            </w:pPr>
          </w:p>
        </w:tc>
        <w:tc>
          <w:tcPr>
            <w:tcW w:w="4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A99BBF">
            <w:pPr>
              <w:jc w:val="center"/>
              <w:rPr>
                <w:rFonts w:hint="eastAsia" w:ascii="宋体" w:hAnsi="宋体" w:eastAsia="宋体" w:cs="宋体"/>
                <w:b/>
                <w:bCs/>
                <w:i w:val="0"/>
                <w:iCs w:val="0"/>
                <w:color w:val="auto"/>
                <w:sz w:val="18"/>
                <w:szCs w:val="18"/>
                <w:highlight w:val="none"/>
                <w:u w:val="none"/>
              </w:rPr>
            </w:pPr>
          </w:p>
        </w:tc>
        <w:tc>
          <w:tcPr>
            <w:tcW w:w="2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0D12AA">
            <w:pPr>
              <w:keepNext w:val="0"/>
              <w:keepLines w:val="0"/>
              <w:widowControl/>
              <w:suppressLineNumbers w:val="0"/>
              <w:jc w:val="left"/>
              <w:textAlignment w:val="center"/>
              <w:rPr>
                <w:rFonts w:ascii="宋体" w:hAnsi="宋体" w:eastAsia="宋体" w:cs="宋体"/>
                <w:i w:val="0"/>
                <w:iCs w:val="0"/>
                <w:color w:val="auto"/>
                <w:sz w:val="18"/>
                <w:szCs w:val="18"/>
                <w:highlight w:val="none"/>
                <w:u w:val="none"/>
              </w:rPr>
            </w:pPr>
            <w:r>
              <w:rPr>
                <w:rStyle w:val="23"/>
                <w:snapToGrid w:val="0"/>
                <w:color w:val="auto"/>
                <w:highlight w:val="none"/>
                <w:lang w:val="en-US" w:eastAsia="zh-CN" w:bidi="ar"/>
              </w:rPr>
              <w:t>（</w:t>
            </w:r>
            <w:r>
              <w:rPr>
                <w:rStyle w:val="24"/>
                <w:rFonts w:eastAsia="宋体"/>
                <w:snapToGrid w:val="0"/>
                <w:color w:val="auto"/>
                <w:highlight w:val="none"/>
                <w:lang w:val="en-US" w:eastAsia="zh-CN" w:bidi="ar"/>
              </w:rPr>
              <w:t>2</w:t>
            </w:r>
            <w:r>
              <w:rPr>
                <w:rStyle w:val="23"/>
                <w:snapToGrid w:val="0"/>
                <w:color w:val="auto"/>
                <w:highlight w:val="none"/>
                <w:lang w:val="en-US" w:eastAsia="zh-CN" w:bidi="ar"/>
              </w:rPr>
              <w:t>）管材管件无破损变形、剥落锈蚀。</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top"/>
          </w:tcPr>
          <w:p w14:paraId="149F662D">
            <w:pPr>
              <w:jc w:val="left"/>
              <w:rPr>
                <w:rFonts w:hint="default" w:ascii="Arial" w:hAnsi="Arial" w:eastAsia="宋体" w:cs="Arial"/>
                <w:i w:val="0"/>
                <w:iCs w:val="0"/>
                <w:color w:val="auto"/>
                <w:sz w:val="18"/>
                <w:szCs w:val="18"/>
                <w:highlight w:val="none"/>
                <w:u w:val="none"/>
              </w:rPr>
            </w:pPr>
          </w:p>
        </w:tc>
        <w:tc>
          <w:tcPr>
            <w:tcW w:w="700" w:type="pct"/>
            <w:tcBorders>
              <w:top w:val="single" w:color="000000" w:sz="4" w:space="0"/>
              <w:left w:val="single" w:color="000000" w:sz="4" w:space="0"/>
              <w:bottom w:val="single" w:color="000000" w:sz="4" w:space="0"/>
              <w:right w:val="single" w:color="000000" w:sz="4" w:space="0"/>
            </w:tcBorders>
            <w:shd w:val="clear" w:color="auto" w:fill="auto"/>
            <w:vAlign w:val="top"/>
          </w:tcPr>
          <w:p w14:paraId="7B212B18">
            <w:pPr>
              <w:jc w:val="left"/>
              <w:rPr>
                <w:rFonts w:hint="default" w:ascii="Arial" w:hAnsi="Arial" w:eastAsia="宋体" w:cs="Arial"/>
                <w:i w:val="0"/>
                <w:iCs w:val="0"/>
                <w:color w:val="auto"/>
                <w:sz w:val="18"/>
                <w:szCs w:val="18"/>
                <w:highlight w:val="none"/>
                <w:u w:val="none"/>
              </w:rPr>
            </w:pPr>
          </w:p>
        </w:tc>
      </w:tr>
      <w:tr w14:paraId="7D280B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 w:hRule="atLeast"/>
          <w:jc w:val="center"/>
        </w:trPr>
        <w:tc>
          <w:tcPr>
            <w:tcW w:w="5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9D98D7">
            <w:pPr>
              <w:jc w:val="center"/>
              <w:rPr>
                <w:rFonts w:hint="eastAsia" w:ascii="宋体" w:hAnsi="宋体" w:eastAsia="宋体" w:cs="宋体"/>
                <w:b/>
                <w:bCs/>
                <w:i w:val="0"/>
                <w:iCs w:val="0"/>
                <w:color w:val="auto"/>
                <w:sz w:val="18"/>
                <w:szCs w:val="18"/>
                <w:highlight w:val="none"/>
                <w:u w:val="none"/>
              </w:rPr>
            </w:pPr>
          </w:p>
        </w:tc>
        <w:tc>
          <w:tcPr>
            <w:tcW w:w="4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C6522B">
            <w:pPr>
              <w:jc w:val="center"/>
              <w:rPr>
                <w:rFonts w:hint="eastAsia" w:ascii="宋体" w:hAnsi="宋体" w:eastAsia="宋体" w:cs="宋体"/>
                <w:b/>
                <w:bCs/>
                <w:i w:val="0"/>
                <w:iCs w:val="0"/>
                <w:color w:val="auto"/>
                <w:sz w:val="18"/>
                <w:szCs w:val="18"/>
                <w:highlight w:val="none"/>
                <w:u w:val="none"/>
              </w:rPr>
            </w:pPr>
          </w:p>
        </w:tc>
        <w:tc>
          <w:tcPr>
            <w:tcW w:w="2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00B8E0">
            <w:pPr>
              <w:keepNext w:val="0"/>
              <w:keepLines w:val="0"/>
              <w:widowControl/>
              <w:suppressLineNumbers w:val="0"/>
              <w:jc w:val="left"/>
              <w:textAlignment w:val="center"/>
              <w:rPr>
                <w:rFonts w:ascii="宋体" w:hAnsi="宋体" w:eastAsia="宋体" w:cs="宋体"/>
                <w:i w:val="0"/>
                <w:iCs w:val="0"/>
                <w:color w:val="auto"/>
                <w:sz w:val="18"/>
                <w:szCs w:val="18"/>
                <w:highlight w:val="none"/>
                <w:u w:val="none"/>
              </w:rPr>
            </w:pPr>
            <w:r>
              <w:rPr>
                <w:rStyle w:val="23"/>
                <w:snapToGrid w:val="0"/>
                <w:color w:val="auto"/>
                <w:highlight w:val="none"/>
                <w:lang w:val="en-US" w:eastAsia="zh-CN" w:bidi="ar"/>
              </w:rPr>
              <w:t>（</w:t>
            </w:r>
            <w:r>
              <w:rPr>
                <w:rStyle w:val="24"/>
                <w:rFonts w:eastAsia="宋体"/>
                <w:snapToGrid w:val="0"/>
                <w:color w:val="auto"/>
                <w:highlight w:val="none"/>
                <w:lang w:val="en-US" w:eastAsia="zh-CN" w:bidi="ar"/>
              </w:rPr>
              <w:t>3</w:t>
            </w:r>
            <w:r>
              <w:rPr>
                <w:rStyle w:val="23"/>
                <w:snapToGrid w:val="0"/>
                <w:color w:val="auto"/>
                <w:highlight w:val="none"/>
                <w:lang w:val="en-US" w:eastAsia="zh-CN" w:bidi="ar"/>
              </w:rPr>
              <w:t>）镇墩设置位置和数量合理，镇墩与管道连接牢固。</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top"/>
          </w:tcPr>
          <w:p w14:paraId="49230DF2">
            <w:pPr>
              <w:jc w:val="left"/>
              <w:rPr>
                <w:rFonts w:hint="default" w:ascii="Arial" w:hAnsi="Arial" w:eastAsia="宋体" w:cs="Arial"/>
                <w:i w:val="0"/>
                <w:iCs w:val="0"/>
                <w:color w:val="auto"/>
                <w:sz w:val="18"/>
                <w:szCs w:val="18"/>
                <w:highlight w:val="none"/>
                <w:u w:val="none"/>
              </w:rPr>
            </w:pPr>
          </w:p>
        </w:tc>
        <w:tc>
          <w:tcPr>
            <w:tcW w:w="700" w:type="pct"/>
            <w:tcBorders>
              <w:top w:val="single" w:color="000000" w:sz="4" w:space="0"/>
              <w:left w:val="single" w:color="000000" w:sz="4" w:space="0"/>
              <w:bottom w:val="single" w:color="000000" w:sz="4" w:space="0"/>
              <w:right w:val="single" w:color="000000" w:sz="4" w:space="0"/>
            </w:tcBorders>
            <w:shd w:val="clear" w:color="auto" w:fill="auto"/>
            <w:vAlign w:val="top"/>
          </w:tcPr>
          <w:p w14:paraId="2C26B6E0">
            <w:pPr>
              <w:jc w:val="left"/>
              <w:rPr>
                <w:rFonts w:hint="default" w:ascii="Arial" w:hAnsi="Arial" w:eastAsia="宋体" w:cs="Arial"/>
                <w:i w:val="0"/>
                <w:iCs w:val="0"/>
                <w:color w:val="auto"/>
                <w:sz w:val="18"/>
                <w:szCs w:val="18"/>
                <w:highlight w:val="none"/>
                <w:u w:val="none"/>
              </w:rPr>
            </w:pPr>
          </w:p>
        </w:tc>
      </w:tr>
      <w:tr w14:paraId="46A80E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 w:hRule="atLeast"/>
          <w:jc w:val="center"/>
        </w:trPr>
        <w:tc>
          <w:tcPr>
            <w:tcW w:w="5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9B3CC8">
            <w:pPr>
              <w:jc w:val="center"/>
              <w:rPr>
                <w:rFonts w:hint="eastAsia" w:ascii="宋体" w:hAnsi="宋体" w:eastAsia="宋体" w:cs="宋体"/>
                <w:b/>
                <w:bCs/>
                <w:i w:val="0"/>
                <w:iCs w:val="0"/>
                <w:color w:val="auto"/>
                <w:sz w:val="18"/>
                <w:szCs w:val="18"/>
                <w:highlight w:val="none"/>
                <w:u w:val="none"/>
              </w:rPr>
            </w:pPr>
          </w:p>
        </w:tc>
        <w:tc>
          <w:tcPr>
            <w:tcW w:w="4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13DA45">
            <w:pPr>
              <w:keepNext w:val="0"/>
              <w:keepLines w:val="0"/>
              <w:widowControl/>
              <w:suppressLineNumbers w:val="0"/>
              <w:jc w:val="center"/>
              <w:textAlignment w:val="center"/>
              <w:rPr>
                <w:rFonts w:ascii="宋体" w:hAnsi="宋体" w:eastAsia="宋体" w:cs="宋体"/>
                <w:b/>
                <w:bCs/>
                <w:i w:val="0"/>
                <w:iCs w:val="0"/>
                <w:color w:val="auto"/>
                <w:sz w:val="18"/>
                <w:szCs w:val="18"/>
                <w:highlight w:val="none"/>
                <w:u w:val="none"/>
              </w:rPr>
            </w:pPr>
            <w:r>
              <w:rPr>
                <w:rFonts w:ascii="宋体" w:hAnsi="宋体" w:eastAsia="宋体" w:cs="宋体"/>
                <w:b/>
                <w:bCs/>
                <w:i w:val="0"/>
                <w:iCs w:val="0"/>
                <w:snapToGrid w:val="0"/>
                <w:color w:val="auto"/>
                <w:kern w:val="0"/>
                <w:sz w:val="18"/>
                <w:szCs w:val="18"/>
                <w:highlight w:val="none"/>
                <w:u w:val="none"/>
                <w:lang w:val="en-US" w:eastAsia="zh-CN" w:bidi="ar"/>
              </w:rPr>
              <w:t>机电机组</w:t>
            </w:r>
            <w:r>
              <w:rPr>
                <w:rFonts w:ascii="宋体" w:hAnsi="宋体" w:eastAsia="宋体" w:cs="宋体"/>
                <w:b/>
                <w:bCs/>
                <w:i w:val="0"/>
                <w:iCs w:val="0"/>
                <w:snapToGrid w:val="0"/>
                <w:color w:val="auto"/>
                <w:kern w:val="0"/>
                <w:sz w:val="18"/>
                <w:szCs w:val="18"/>
                <w:highlight w:val="none"/>
                <w:u w:val="none"/>
                <w:lang w:val="en-US" w:eastAsia="zh-CN" w:bidi="ar"/>
              </w:rPr>
              <w:br w:type="textWrapping"/>
            </w:r>
            <w:r>
              <w:rPr>
                <w:rFonts w:ascii="宋体" w:hAnsi="宋体" w:eastAsia="宋体" w:cs="宋体"/>
                <w:b/>
                <w:bCs/>
                <w:i w:val="0"/>
                <w:iCs w:val="0"/>
                <w:snapToGrid w:val="0"/>
                <w:color w:val="auto"/>
                <w:kern w:val="0"/>
                <w:sz w:val="18"/>
                <w:szCs w:val="18"/>
                <w:highlight w:val="none"/>
                <w:u w:val="none"/>
                <w:lang w:val="en-US" w:eastAsia="zh-CN" w:bidi="ar"/>
              </w:rPr>
              <w:t>安装（过</w:t>
            </w:r>
            <w:r>
              <w:rPr>
                <w:rFonts w:ascii="宋体" w:hAnsi="宋体" w:eastAsia="宋体" w:cs="宋体"/>
                <w:b/>
                <w:bCs/>
                <w:i w:val="0"/>
                <w:iCs w:val="0"/>
                <w:snapToGrid w:val="0"/>
                <w:color w:val="auto"/>
                <w:kern w:val="0"/>
                <w:sz w:val="18"/>
                <w:szCs w:val="18"/>
                <w:highlight w:val="none"/>
                <w:u w:val="none"/>
                <w:lang w:val="en-US" w:eastAsia="zh-CN" w:bidi="ar"/>
              </w:rPr>
              <w:br w:type="textWrapping"/>
            </w:r>
            <w:r>
              <w:rPr>
                <w:rFonts w:ascii="宋体" w:hAnsi="宋体" w:eastAsia="宋体" w:cs="宋体"/>
                <w:b/>
                <w:bCs/>
                <w:i w:val="0"/>
                <w:iCs w:val="0"/>
                <w:snapToGrid w:val="0"/>
                <w:color w:val="auto"/>
                <w:kern w:val="0"/>
                <w:sz w:val="18"/>
                <w:szCs w:val="18"/>
                <w:highlight w:val="none"/>
                <w:u w:val="none"/>
                <w:lang w:val="en-US" w:eastAsia="zh-CN" w:bidi="ar"/>
              </w:rPr>
              <w:t>滤器、水</w:t>
            </w:r>
            <w:r>
              <w:rPr>
                <w:rFonts w:ascii="宋体" w:hAnsi="宋体" w:eastAsia="宋体" w:cs="宋体"/>
                <w:b/>
                <w:bCs/>
                <w:i w:val="0"/>
                <w:iCs w:val="0"/>
                <w:snapToGrid w:val="0"/>
                <w:color w:val="auto"/>
                <w:kern w:val="0"/>
                <w:sz w:val="18"/>
                <w:szCs w:val="18"/>
                <w:highlight w:val="none"/>
                <w:u w:val="none"/>
                <w:lang w:val="en-US" w:eastAsia="zh-CN" w:bidi="ar"/>
              </w:rPr>
              <w:br w:type="textWrapping"/>
            </w:r>
            <w:r>
              <w:rPr>
                <w:rFonts w:ascii="宋体" w:hAnsi="宋体" w:eastAsia="宋体" w:cs="宋体"/>
                <w:b/>
                <w:bCs/>
                <w:i w:val="0"/>
                <w:iCs w:val="0"/>
                <w:snapToGrid w:val="0"/>
                <w:color w:val="auto"/>
                <w:kern w:val="0"/>
                <w:sz w:val="18"/>
                <w:szCs w:val="18"/>
                <w:highlight w:val="none"/>
                <w:u w:val="none"/>
                <w:lang w:val="en-US" w:eastAsia="zh-CN" w:bidi="ar"/>
              </w:rPr>
              <w:t>泵等）</w:t>
            </w:r>
          </w:p>
        </w:tc>
        <w:tc>
          <w:tcPr>
            <w:tcW w:w="2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E2E57">
            <w:pPr>
              <w:keepNext w:val="0"/>
              <w:keepLines w:val="0"/>
              <w:widowControl/>
              <w:suppressLineNumbers w:val="0"/>
              <w:jc w:val="left"/>
              <w:textAlignment w:val="center"/>
              <w:rPr>
                <w:rFonts w:ascii="宋体" w:hAnsi="宋体" w:eastAsia="宋体" w:cs="宋体"/>
                <w:i w:val="0"/>
                <w:iCs w:val="0"/>
                <w:color w:val="auto"/>
                <w:sz w:val="18"/>
                <w:szCs w:val="18"/>
                <w:highlight w:val="none"/>
                <w:u w:val="none"/>
              </w:rPr>
            </w:pPr>
            <w:r>
              <w:rPr>
                <w:rStyle w:val="23"/>
                <w:snapToGrid w:val="0"/>
                <w:color w:val="auto"/>
                <w:highlight w:val="none"/>
                <w:lang w:val="en-US" w:eastAsia="zh-CN" w:bidi="ar"/>
              </w:rPr>
              <w:t>（</w:t>
            </w:r>
            <w:r>
              <w:rPr>
                <w:rStyle w:val="24"/>
                <w:rFonts w:eastAsia="宋体"/>
                <w:snapToGrid w:val="0"/>
                <w:color w:val="auto"/>
                <w:highlight w:val="none"/>
                <w:lang w:val="en-US" w:eastAsia="zh-CN" w:bidi="ar"/>
              </w:rPr>
              <w:t>1</w:t>
            </w:r>
            <w:r>
              <w:rPr>
                <w:rStyle w:val="23"/>
                <w:snapToGrid w:val="0"/>
                <w:color w:val="auto"/>
                <w:highlight w:val="none"/>
                <w:lang w:val="en-US" w:eastAsia="zh-CN" w:bidi="ar"/>
              </w:rPr>
              <w:t>）过滤器参数、水泵参数、控制柜参数与设计一致。</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top"/>
          </w:tcPr>
          <w:p w14:paraId="0DE66246">
            <w:pPr>
              <w:jc w:val="left"/>
              <w:rPr>
                <w:rFonts w:hint="default" w:ascii="Arial" w:hAnsi="Arial" w:eastAsia="宋体" w:cs="Arial"/>
                <w:i w:val="0"/>
                <w:iCs w:val="0"/>
                <w:color w:val="auto"/>
                <w:sz w:val="18"/>
                <w:szCs w:val="18"/>
                <w:highlight w:val="none"/>
                <w:u w:val="none"/>
              </w:rPr>
            </w:pPr>
          </w:p>
        </w:tc>
        <w:tc>
          <w:tcPr>
            <w:tcW w:w="700" w:type="pct"/>
            <w:tcBorders>
              <w:top w:val="single" w:color="000000" w:sz="4" w:space="0"/>
              <w:left w:val="single" w:color="000000" w:sz="4" w:space="0"/>
              <w:bottom w:val="single" w:color="000000" w:sz="4" w:space="0"/>
              <w:right w:val="single" w:color="000000" w:sz="4" w:space="0"/>
            </w:tcBorders>
            <w:shd w:val="clear" w:color="auto" w:fill="auto"/>
            <w:vAlign w:val="top"/>
          </w:tcPr>
          <w:p w14:paraId="5957310E">
            <w:pPr>
              <w:jc w:val="left"/>
              <w:rPr>
                <w:rFonts w:hint="default" w:ascii="Arial" w:hAnsi="Arial" w:eastAsia="宋体" w:cs="Arial"/>
                <w:i w:val="0"/>
                <w:iCs w:val="0"/>
                <w:color w:val="auto"/>
                <w:sz w:val="18"/>
                <w:szCs w:val="18"/>
                <w:highlight w:val="none"/>
                <w:u w:val="none"/>
              </w:rPr>
            </w:pPr>
          </w:p>
        </w:tc>
      </w:tr>
      <w:tr w14:paraId="32337C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 w:hRule="atLeast"/>
          <w:jc w:val="center"/>
        </w:trPr>
        <w:tc>
          <w:tcPr>
            <w:tcW w:w="5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9122C7">
            <w:pPr>
              <w:jc w:val="center"/>
              <w:rPr>
                <w:rFonts w:hint="eastAsia" w:ascii="宋体" w:hAnsi="宋体" w:eastAsia="宋体" w:cs="宋体"/>
                <w:b/>
                <w:bCs/>
                <w:i w:val="0"/>
                <w:iCs w:val="0"/>
                <w:color w:val="auto"/>
                <w:sz w:val="18"/>
                <w:szCs w:val="18"/>
                <w:highlight w:val="none"/>
                <w:u w:val="none"/>
              </w:rPr>
            </w:pPr>
          </w:p>
        </w:tc>
        <w:tc>
          <w:tcPr>
            <w:tcW w:w="4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249A6C">
            <w:pPr>
              <w:jc w:val="center"/>
              <w:rPr>
                <w:rFonts w:hint="eastAsia" w:ascii="宋体" w:hAnsi="宋体" w:eastAsia="宋体" w:cs="宋体"/>
                <w:b/>
                <w:bCs/>
                <w:i w:val="0"/>
                <w:iCs w:val="0"/>
                <w:color w:val="auto"/>
                <w:sz w:val="18"/>
                <w:szCs w:val="18"/>
                <w:highlight w:val="none"/>
                <w:u w:val="none"/>
              </w:rPr>
            </w:pPr>
          </w:p>
        </w:tc>
        <w:tc>
          <w:tcPr>
            <w:tcW w:w="2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FDE698">
            <w:pPr>
              <w:keepNext w:val="0"/>
              <w:keepLines w:val="0"/>
              <w:widowControl/>
              <w:suppressLineNumbers w:val="0"/>
              <w:jc w:val="left"/>
              <w:textAlignment w:val="center"/>
              <w:rPr>
                <w:rFonts w:ascii="宋体" w:hAnsi="宋体" w:eastAsia="宋体" w:cs="宋体"/>
                <w:i w:val="0"/>
                <w:iCs w:val="0"/>
                <w:color w:val="auto"/>
                <w:sz w:val="18"/>
                <w:szCs w:val="18"/>
                <w:highlight w:val="none"/>
                <w:u w:val="none"/>
              </w:rPr>
            </w:pPr>
            <w:r>
              <w:rPr>
                <w:rStyle w:val="23"/>
                <w:snapToGrid w:val="0"/>
                <w:color w:val="auto"/>
                <w:highlight w:val="none"/>
                <w:lang w:val="en-US" w:eastAsia="zh-CN" w:bidi="ar"/>
              </w:rPr>
              <w:t>（</w:t>
            </w:r>
            <w:r>
              <w:rPr>
                <w:rStyle w:val="24"/>
                <w:rFonts w:eastAsia="宋体"/>
                <w:snapToGrid w:val="0"/>
                <w:color w:val="auto"/>
                <w:highlight w:val="none"/>
                <w:lang w:val="en-US" w:eastAsia="zh-CN" w:bidi="ar"/>
              </w:rPr>
              <w:t>2</w:t>
            </w:r>
            <w:r>
              <w:rPr>
                <w:rStyle w:val="23"/>
                <w:snapToGrid w:val="0"/>
                <w:color w:val="auto"/>
                <w:highlight w:val="none"/>
                <w:lang w:val="en-US" w:eastAsia="zh-CN" w:bidi="ar"/>
              </w:rPr>
              <w:t>）首部设备安装稳固、布置合理、设备连接与设计一致。</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top"/>
          </w:tcPr>
          <w:p w14:paraId="7C4EF6DF">
            <w:pPr>
              <w:jc w:val="left"/>
              <w:rPr>
                <w:rFonts w:hint="default" w:ascii="Arial" w:hAnsi="Arial" w:eastAsia="宋体" w:cs="Arial"/>
                <w:i w:val="0"/>
                <w:iCs w:val="0"/>
                <w:color w:val="auto"/>
                <w:sz w:val="18"/>
                <w:szCs w:val="18"/>
                <w:highlight w:val="none"/>
                <w:u w:val="none"/>
              </w:rPr>
            </w:pPr>
          </w:p>
        </w:tc>
        <w:tc>
          <w:tcPr>
            <w:tcW w:w="700" w:type="pct"/>
            <w:tcBorders>
              <w:top w:val="single" w:color="000000" w:sz="4" w:space="0"/>
              <w:left w:val="single" w:color="000000" w:sz="4" w:space="0"/>
              <w:bottom w:val="single" w:color="000000" w:sz="4" w:space="0"/>
              <w:right w:val="single" w:color="000000" w:sz="4" w:space="0"/>
            </w:tcBorders>
            <w:shd w:val="clear" w:color="auto" w:fill="auto"/>
            <w:vAlign w:val="top"/>
          </w:tcPr>
          <w:p w14:paraId="7F9A89FC">
            <w:pPr>
              <w:jc w:val="left"/>
              <w:rPr>
                <w:rFonts w:hint="default" w:ascii="Arial" w:hAnsi="Arial" w:eastAsia="宋体" w:cs="Arial"/>
                <w:i w:val="0"/>
                <w:iCs w:val="0"/>
                <w:color w:val="auto"/>
                <w:sz w:val="18"/>
                <w:szCs w:val="18"/>
                <w:highlight w:val="none"/>
                <w:u w:val="none"/>
              </w:rPr>
            </w:pPr>
          </w:p>
        </w:tc>
      </w:tr>
      <w:tr w14:paraId="31198F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 w:hRule="atLeast"/>
          <w:jc w:val="center"/>
        </w:trPr>
        <w:tc>
          <w:tcPr>
            <w:tcW w:w="5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B0DE8F">
            <w:pPr>
              <w:jc w:val="center"/>
              <w:rPr>
                <w:rFonts w:hint="eastAsia" w:ascii="宋体" w:hAnsi="宋体" w:eastAsia="宋体" w:cs="宋体"/>
                <w:b/>
                <w:bCs/>
                <w:i w:val="0"/>
                <w:iCs w:val="0"/>
                <w:color w:val="auto"/>
                <w:sz w:val="18"/>
                <w:szCs w:val="18"/>
                <w:highlight w:val="none"/>
                <w:u w:val="none"/>
              </w:rPr>
            </w:pPr>
          </w:p>
        </w:tc>
        <w:tc>
          <w:tcPr>
            <w:tcW w:w="4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056CF9">
            <w:pPr>
              <w:jc w:val="center"/>
              <w:rPr>
                <w:rFonts w:hint="eastAsia" w:ascii="宋体" w:hAnsi="宋体" w:eastAsia="宋体" w:cs="宋体"/>
                <w:b/>
                <w:bCs/>
                <w:i w:val="0"/>
                <w:iCs w:val="0"/>
                <w:color w:val="auto"/>
                <w:sz w:val="18"/>
                <w:szCs w:val="18"/>
                <w:highlight w:val="none"/>
                <w:u w:val="none"/>
              </w:rPr>
            </w:pPr>
          </w:p>
        </w:tc>
        <w:tc>
          <w:tcPr>
            <w:tcW w:w="2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C31185">
            <w:pPr>
              <w:keepNext w:val="0"/>
              <w:keepLines w:val="0"/>
              <w:widowControl/>
              <w:suppressLineNumbers w:val="0"/>
              <w:jc w:val="left"/>
              <w:textAlignment w:val="center"/>
              <w:rPr>
                <w:rFonts w:ascii="宋体" w:hAnsi="宋体" w:eastAsia="宋体" w:cs="宋体"/>
                <w:i w:val="0"/>
                <w:iCs w:val="0"/>
                <w:color w:val="auto"/>
                <w:sz w:val="18"/>
                <w:szCs w:val="18"/>
                <w:highlight w:val="none"/>
                <w:u w:val="none"/>
              </w:rPr>
            </w:pPr>
            <w:r>
              <w:rPr>
                <w:rStyle w:val="23"/>
                <w:snapToGrid w:val="0"/>
                <w:color w:val="auto"/>
                <w:highlight w:val="none"/>
                <w:lang w:val="en-US" w:eastAsia="zh-CN" w:bidi="ar"/>
              </w:rPr>
              <w:t>（</w:t>
            </w:r>
            <w:r>
              <w:rPr>
                <w:rStyle w:val="24"/>
                <w:rFonts w:eastAsia="宋体"/>
                <w:snapToGrid w:val="0"/>
                <w:color w:val="auto"/>
                <w:highlight w:val="none"/>
                <w:lang w:val="en-US" w:eastAsia="zh-CN" w:bidi="ar"/>
              </w:rPr>
              <w:t>3</w:t>
            </w:r>
            <w:r>
              <w:rPr>
                <w:rStyle w:val="23"/>
                <w:snapToGrid w:val="0"/>
                <w:color w:val="auto"/>
                <w:highlight w:val="none"/>
                <w:lang w:val="en-US" w:eastAsia="zh-CN" w:bidi="ar"/>
              </w:rPr>
              <w:t>）控制柜柜门完好，有跨接线，且正常上锁。</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top"/>
          </w:tcPr>
          <w:p w14:paraId="16DA3A94">
            <w:pPr>
              <w:jc w:val="left"/>
              <w:rPr>
                <w:rFonts w:hint="default" w:ascii="Arial" w:hAnsi="Arial" w:eastAsia="宋体" w:cs="Arial"/>
                <w:i w:val="0"/>
                <w:iCs w:val="0"/>
                <w:color w:val="auto"/>
                <w:sz w:val="18"/>
                <w:szCs w:val="18"/>
                <w:highlight w:val="none"/>
                <w:u w:val="none"/>
              </w:rPr>
            </w:pPr>
          </w:p>
        </w:tc>
        <w:tc>
          <w:tcPr>
            <w:tcW w:w="700" w:type="pct"/>
            <w:tcBorders>
              <w:top w:val="single" w:color="000000" w:sz="4" w:space="0"/>
              <w:left w:val="single" w:color="000000" w:sz="4" w:space="0"/>
              <w:bottom w:val="single" w:color="000000" w:sz="4" w:space="0"/>
              <w:right w:val="single" w:color="000000" w:sz="4" w:space="0"/>
            </w:tcBorders>
            <w:shd w:val="clear" w:color="auto" w:fill="auto"/>
            <w:vAlign w:val="top"/>
          </w:tcPr>
          <w:p w14:paraId="11D73E0E">
            <w:pPr>
              <w:jc w:val="left"/>
              <w:rPr>
                <w:rFonts w:hint="default" w:ascii="Arial" w:hAnsi="Arial" w:eastAsia="宋体" w:cs="Arial"/>
                <w:i w:val="0"/>
                <w:iCs w:val="0"/>
                <w:color w:val="auto"/>
                <w:sz w:val="18"/>
                <w:szCs w:val="18"/>
                <w:highlight w:val="none"/>
                <w:u w:val="none"/>
              </w:rPr>
            </w:pPr>
          </w:p>
        </w:tc>
      </w:tr>
      <w:tr w14:paraId="788DA7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 w:hRule="atLeast"/>
          <w:jc w:val="center"/>
        </w:trPr>
        <w:tc>
          <w:tcPr>
            <w:tcW w:w="5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A3E5A6">
            <w:pPr>
              <w:jc w:val="center"/>
              <w:rPr>
                <w:rFonts w:hint="eastAsia" w:ascii="宋体" w:hAnsi="宋体" w:eastAsia="宋体" w:cs="宋体"/>
                <w:b/>
                <w:bCs/>
                <w:i w:val="0"/>
                <w:iCs w:val="0"/>
                <w:color w:val="auto"/>
                <w:sz w:val="18"/>
                <w:szCs w:val="18"/>
                <w:highlight w:val="none"/>
                <w:u w:val="none"/>
              </w:rPr>
            </w:pPr>
          </w:p>
        </w:tc>
        <w:tc>
          <w:tcPr>
            <w:tcW w:w="4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421915">
            <w:pPr>
              <w:jc w:val="center"/>
              <w:rPr>
                <w:rFonts w:hint="eastAsia" w:ascii="宋体" w:hAnsi="宋体" w:eastAsia="宋体" w:cs="宋体"/>
                <w:b/>
                <w:bCs/>
                <w:i w:val="0"/>
                <w:iCs w:val="0"/>
                <w:color w:val="auto"/>
                <w:sz w:val="18"/>
                <w:szCs w:val="18"/>
                <w:highlight w:val="none"/>
                <w:u w:val="none"/>
              </w:rPr>
            </w:pPr>
          </w:p>
        </w:tc>
        <w:tc>
          <w:tcPr>
            <w:tcW w:w="2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A766B">
            <w:pPr>
              <w:keepNext w:val="0"/>
              <w:keepLines w:val="0"/>
              <w:widowControl/>
              <w:suppressLineNumbers w:val="0"/>
              <w:jc w:val="left"/>
              <w:textAlignment w:val="center"/>
              <w:rPr>
                <w:rFonts w:ascii="宋体" w:hAnsi="宋体" w:eastAsia="宋体" w:cs="宋体"/>
                <w:i w:val="0"/>
                <w:iCs w:val="0"/>
                <w:color w:val="auto"/>
                <w:sz w:val="18"/>
                <w:szCs w:val="18"/>
                <w:highlight w:val="none"/>
                <w:u w:val="none"/>
              </w:rPr>
            </w:pPr>
            <w:r>
              <w:rPr>
                <w:rStyle w:val="23"/>
                <w:snapToGrid w:val="0"/>
                <w:color w:val="auto"/>
                <w:highlight w:val="none"/>
                <w:lang w:val="en-US" w:eastAsia="zh-CN" w:bidi="ar"/>
              </w:rPr>
              <w:t>（</w:t>
            </w:r>
            <w:r>
              <w:rPr>
                <w:rStyle w:val="24"/>
                <w:rFonts w:eastAsia="宋体"/>
                <w:snapToGrid w:val="0"/>
                <w:color w:val="auto"/>
                <w:highlight w:val="none"/>
                <w:lang w:val="en-US" w:eastAsia="zh-CN" w:bidi="ar"/>
              </w:rPr>
              <w:t>4</w:t>
            </w:r>
            <w:r>
              <w:rPr>
                <w:rStyle w:val="23"/>
                <w:snapToGrid w:val="0"/>
                <w:color w:val="auto"/>
                <w:highlight w:val="none"/>
                <w:lang w:val="en-US" w:eastAsia="zh-CN" w:bidi="ar"/>
              </w:rPr>
              <w:t>）设备是否正常使用、是否损坏</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top"/>
          </w:tcPr>
          <w:p w14:paraId="15B1348A">
            <w:pPr>
              <w:jc w:val="left"/>
              <w:rPr>
                <w:rFonts w:hint="default" w:ascii="Arial" w:hAnsi="Arial" w:eastAsia="宋体" w:cs="Arial"/>
                <w:i w:val="0"/>
                <w:iCs w:val="0"/>
                <w:color w:val="auto"/>
                <w:sz w:val="18"/>
                <w:szCs w:val="18"/>
                <w:highlight w:val="none"/>
                <w:u w:val="none"/>
              </w:rPr>
            </w:pPr>
          </w:p>
        </w:tc>
        <w:tc>
          <w:tcPr>
            <w:tcW w:w="700" w:type="pct"/>
            <w:tcBorders>
              <w:top w:val="single" w:color="000000" w:sz="4" w:space="0"/>
              <w:left w:val="single" w:color="000000" w:sz="4" w:space="0"/>
              <w:bottom w:val="single" w:color="000000" w:sz="4" w:space="0"/>
              <w:right w:val="single" w:color="000000" w:sz="4" w:space="0"/>
            </w:tcBorders>
            <w:shd w:val="clear" w:color="auto" w:fill="auto"/>
            <w:vAlign w:val="top"/>
          </w:tcPr>
          <w:p w14:paraId="431682F4">
            <w:pPr>
              <w:jc w:val="left"/>
              <w:rPr>
                <w:rFonts w:hint="default" w:ascii="Arial" w:hAnsi="Arial" w:eastAsia="宋体" w:cs="Arial"/>
                <w:i w:val="0"/>
                <w:iCs w:val="0"/>
                <w:color w:val="auto"/>
                <w:sz w:val="18"/>
                <w:szCs w:val="18"/>
                <w:highlight w:val="none"/>
                <w:u w:val="none"/>
              </w:rPr>
            </w:pPr>
          </w:p>
        </w:tc>
      </w:tr>
      <w:tr w14:paraId="74D128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 w:hRule="atLeast"/>
          <w:jc w:val="center"/>
        </w:trPr>
        <w:tc>
          <w:tcPr>
            <w:tcW w:w="5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F91509">
            <w:pPr>
              <w:jc w:val="center"/>
              <w:rPr>
                <w:rFonts w:hint="eastAsia" w:ascii="宋体" w:hAnsi="宋体" w:eastAsia="宋体" w:cs="宋体"/>
                <w:b/>
                <w:bCs/>
                <w:i w:val="0"/>
                <w:iCs w:val="0"/>
                <w:color w:val="auto"/>
                <w:sz w:val="18"/>
                <w:szCs w:val="18"/>
                <w:highlight w:val="none"/>
                <w:u w:val="none"/>
              </w:rPr>
            </w:pP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11A702">
            <w:pPr>
              <w:keepNext w:val="0"/>
              <w:keepLines w:val="0"/>
              <w:widowControl/>
              <w:suppressLineNumbers w:val="0"/>
              <w:jc w:val="center"/>
              <w:textAlignment w:val="center"/>
              <w:rPr>
                <w:rFonts w:ascii="宋体" w:hAnsi="宋体" w:eastAsia="宋体" w:cs="宋体"/>
                <w:b/>
                <w:bCs/>
                <w:i w:val="0"/>
                <w:iCs w:val="0"/>
                <w:color w:val="auto"/>
                <w:sz w:val="18"/>
                <w:szCs w:val="18"/>
                <w:highlight w:val="none"/>
                <w:u w:val="none"/>
              </w:rPr>
            </w:pPr>
            <w:r>
              <w:rPr>
                <w:rFonts w:ascii="宋体" w:hAnsi="宋体" w:eastAsia="宋体" w:cs="宋体"/>
                <w:b/>
                <w:bCs/>
                <w:i w:val="0"/>
                <w:iCs w:val="0"/>
                <w:snapToGrid w:val="0"/>
                <w:color w:val="auto"/>
                <w:kern w:val="0"/>
                <w:sz w:val="18"/>
                <w:szCs w:val="18"/>
                <w:highlight w:val="none"/>
                <w:u w:val="none"/>
                <w:lang w:val="en-US" w:eastAsia="zh-CN" w:bidi="ar"/>
              </w:rPr>
              <w:t>运行使用</w:t>
            </w:r>
          </w:p>
        </w:tc>
        <w:tc>
          <w:tcPr>
            <w:tcW w:w="2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EB09A">
            <w:pPr>
              <w:keepNext w:val="0"/>
              <w:keepLines w:val="0"/>
              <w:widowControl/>
              <w:suppressLineNumbers w:val="0"/>
              <w:jc w:val="left"/>
              <w:textAlignment w:val="center"/>
              <w:rPr>
                <w:rFonts w:ascii="宋体" w:hAnsi="宋体" w:eastAsia="宋体" w:cs="宋体"/>
                <w:i w:val="0"/>
                <w:iCs w:val="0"/>
                <w:color w:val="auto"/>
                <w:sz w:val="18"/>
                <w:szCs w:val="18"/>
                <w:highlight w:val="none"/>
                <w:u w:val="none"/>
              </w:rPr>
            </w:pPr>
            <w:r>
              <w:rPr>
                <w:rStyle w:val="23"/>
                <w:snapToGrid w:val="0"/>
                <w:color w:val="auto"/>
                <w:highlight w:val="none"/>
                <w:lang w:val="en-US" w:eastAsia="zh-CN" w:bidi="ar"/>
              </w:rPr>
              <w:t>（</w:t>
            </w:r>
            <w:r>
              <w:rPr>
                <w:rStyle w:val="24"/>
                <w:rFonts w:eastAsia="宋体"/>
                <w:snapToGrid w:val="0"/>
                <w:color w:val="auto"/>
                <w:highlight w:val="none"/>
                <w:lang w:val="en-US" w:eastAsia="zh-CN" w:bidi="ar"/>
              </w:rPr>
              <w:t>1</w:t>
            </w:r>
            <w:r>
              <w:rPr>
                <w:rStyle w:val="23"/>
                <w:snapToGrid w:val="0"/>
                <w:color w:val="auto"/>
                <w:highlight w:val="none"/>
                <w:lang w:val="en-US" w:eastAsia="zh-CN" w:bidi="ar"/>
              </w:rPr>
              <w:t>）工程设施能够发挥预期功能作用。</w:t>
            </w:r>
          </w:p>
        </w:tc>
        <w:tc>
          <w:tcPr>
            <w:tcW w:w="424" w:type="pct"/>
            <w:tcBorders>
              <w:top w:val="single" w:color="000000" w:sz="4" w:space="0"/>
              <w:left w:val="single" w:color="000000" w:sz="4" w:space="0"/>
              <w:bottom w:val="single" w:color="000000" w:sz="4" w:space="0"/>
              <w:right w:val="single" w:color="000000" w:sz="4" w:space="0"/>
            </w:tcBorders>
            <w:shd w:val="clear" w:color="auto" w:fill="auto"/>
            <w:vAlign w:val="top"/>
          </w:tcPr>
          <w:p w14:paraId="2D701DAB">
            <w:pPr>
              <w:jc w:val="left"/>
              <w:rPr>
                <w:rFonts w:hint="default" w:ascii="Arial" w:hAnsi="Arial" w:eastAsia="宋体" w:cs="Arial"/>
                <w:i w:val="0"/>
                <w:iCs w:val="0"/>
                <w:color w:val="auto"/>
                <w:sz w:val="18"/>
                <w:szCs w:val="18"/>
                <w:highlight w:val="none"/>
                <w:u w:val="none"/>
              </w:rPr>
            </w:pPr>
          </w:p>
        </w:tc>
        <w:tc>
          <w:tcPr>
            <w:tcW w:w="700" w:type="pct"/>
            <w:tcBorders>
              <w:top w:val="single" w:color="000000" w:sz="4" w:space="0"/>
              <w:left w:val="single" w:color="000000" w:sz="4" w:space="0"/>
              <w:bottom w:val="single" w:color="000000" w:sz="4" w:space="0"/>
              <w:right w:val="single" w:color="000000" w:sz="4" w:space="0"/>
            </w:tcBorders>
            <w:shd w:val="clear" w:color="auto" w:fill="auto"/>
            <w:vAlign w:val="top"/>
          </w:tcPr>
          <w:p w14:paraId="0F00118C">
            <w:pPr>
              <w:jc w:val="left"/>
              <w:rPr>
                <w:rFonts w:hint="default" w:ascii="Arial" w:hAnsi="Arial" w:eastAsia="宋体" w:cs="Arial"/>
                <w:i w:val="0"/>
                <w:iCs w:val="0"/>
                <w:color w:val="auto"/>
                <w:sz w:val="18"/>
                <w:szCs w:val="18"/>
                <w:highlight w:val="none"/>
                <w:u w:val="none"/>
              </w:rPr>
            </w:pPr>
          </w:p>
        </w:tc>
      </w:tr>
    </w:tbl>
    <w:p w14:paraId="50B8AF60">
      <w:pPr>
        <w:pStyle w:val="15"/>
        <w:keepNext w:val="0"/>
        <w:keepLines w:val="0"/>
        <w:pageBreakBefore w:val="0"/>
        <w:widowControl/>
        <w:kinsoku/>
        <w:wordWrap/>
        <w:overflowPunct/>
        <w:topLinePunct w:val="0"/>
        <w:autoSpaceDE/>
        <w:autoSpaceDN/>
        <w:bidi w:val="0"/>
        <w:adjustRightInd/>
        <w:snapToGrid/>
        <w:spacing w:line="500" w:lineRule="exact"/>
        <w:textAlignment w:val="auto"/>
        <w:rPr>
          <w:color w:val="auto"/>
          <w:sz w:val="32"/>
          <w:szCs w:val="32"/>
          <w:highlight w:val="none"/>
        </w:rPr>
      </w:pPr>
      <w:r>
        <w:rPr>
          <w:color w:val="auto"/>
          <w:sz w:val="32"/>
          <w:szCs w:val="32"/>
          <w:highlight w:val="none"/>
        </w:rPr>
        <w:t>高标准农田建设项目巡查记录表</w:t>
      </w:r>
    </w:p>
    <w:tbl>
      <w:tblPr>
        <w:tblStyle w:val="16"/>
        <w:tblW w:w="499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39"/>
        <w:gridCol w:w="944"/>
        <w:gridCol w:w="7961"/>
        <w:gridCol w:w="1110"/>
        <w:gridCol w:w="1816"/>
      </w:tblGrid>
      <w:tr w14:paraId="47F2D7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3" w:hRule="atLeast"/>
          <w:jc w:val="center"/>
        </w:trPr>
        <w:tc>
          <w:tcPr>
            <w:tcW w:w="5000" w:type="pct"/>
            <w:gridSpan w:val="5"/>
            <w:tcBorders>
              <w:top w:val="nil"/>
              <w:left w:val="nil"/>
              <w:bottom w:val="nil"/>
              <w:right w:val="nil"/>
            </w:tcBorders>
            <w:shd w:val="clear" w:color="auto" w:fill="auto"/>
            <w:vAlign w:val="top"/>
          </w:tcPr>
          <w:p w14:paraId="2C435AAE">
            <w:pPr>
              <w:keepNext w:val="0"/>
              <w:keepLines w:val="0"/>
              <w:widowControl/>
              <w:suppressLineNumbers w:val="0"/>
              <w:jc w:val="left"/>
              <w:textAlignment w:val="top"/>
              <w:rPr>
                <w:rFonts w:ascii="黑体" w:hAnsi="宋体" w:eastAsia="黑体" w:cs="黑体"/>
                <w:i w:val="0"/>
                <w:iCs w:val="0"/>
                <w:color w:val="auto"/>
                <w:sz w:val="18"/>
                <w:szCs w:val="18"/>
                <w:highlight w:val="none"/>
                <w:u w:val="none"/>
              </w:rPr>
            </w:pPr>
            <w:r>
              <w:rPr>
                <w:rFonts w:ascii="黑体" w:hAnsi="宋体" w:eastAsia="黑体" w:cs="黑体"/>
                <w:i w:val="0"/>
                <w:iCs w:val="0"/>
                <w:snapToGrid w:val="0"/>
                <w:color w:val="auto"/>
                <w:kern w:val="0"/>
                <w:sz w:val="18"/>
                <w:szCs w:val="18"/>
                <w:highlight w:val="none"/>
                <w:u w:val="none"/>
                <w:lang w:val="en-US" w:eastAsia="zh-CN" w:bidi="ar"/>
              </w:rPr>
              <w:t>项目名称：</w:t>
            </w:r>
            <w:r>
              <w:rPr>
                <w:rStyle w:val="21"/>
                <w:snapToGrid w:val="0"/>
                <w:color w:val="auto"/>
                <w:highlight w:val="none"/>
                <w:lang w:val="en-US" w:eastAsia="zh-CN" w:bidi="ar"/>
              </w:rPr>
              <w:t xml:space="preserve">                                                                      </w:t>
            </w:r>
            <w:r>
              <w:rPr>
                <w:rStyle w:val="22"/>
                <w:snapToGrid w:val="0"/>
                <w:color w:val="auto"/>
                <w:highlight w:val="none"/>
                <w:lang w:val="en-US" w:eastAsia="zh-CN" w:bidi="ar"/>
              </w:rPr>
              <w:t xml:space="preserve">                      巡查时间：</w:t>
            </w:r>
            <w:r>
              <w:rPr>
                <w:rStyle w:val="21"/>
                <w:snapToGrid w:val="0"/>
                <w:color w:val="auto"/>
                <w:highlight w:val="none"/>
                <w:lang w:val="en-US" w:eastAsia="zh-CN" w:bidi="ar"/>
              </w:rPr>
              <w:t xml:space="preserve">         </w:t>
            </w:r>
            <w:r>
              <w:rPr>
                <w:rStyle w:val="22"/>
                <w:snapToGrid w:val="0"/>
                <w:color w:val="auto"/>
                <w:highlight w:val="none"/>
                <w:lang w:val="en-US" w:eastAsia="zh-CN" w:bidi="ar"/>
              </w:rPr>
              <w:t xml:space="preserve"> 年</w:t>
            </w:r>
            <w:r>
              <w:rPr>
                <w:rStyle w:val="21"/>
                <w:snapToGrid w:val="0"/>
                <w:color w:val="auto"/>
                <w:highlight w:val="none"/>
                <w:lang w:val="en-US" w:eastAsia="zh-CN" w:bidi="ar"/>
              </w:rPr>
              <w:t xml:space="preserve">      </w:t>
            </w:r>
            <w:r>
              <w:rPr>
                <w:rStyle w:val="22"/>
                <w:snapToGrid w:val="0"/>
                <w:color w:val="auto"/>
                <w:highlight w:val="none"/>
                <w:lang w:val="en-US" w:eastAsia="zh-CN" w:bidi="ar"/>
              </w:rPr>
              <w:t xml:space="preserve"> 月</w:t>
            </w:r>
            <w:r>
              <w:rPr>
                <w:rStyle w:val="21"/>
                <w:snapToGrid w:val="0"/>
                <w:color w:val="auto"/>
                <w:highlight w:val="none"/>
                <w:lang w:val="en-US" w:eastAsia="zh-CN" w:bidi="ar"/>
              </w:rPr>
              <w:t xml:space="preserve">      </w:t>
            </w:r>
            <w:r>
              <w:rPr>
                <w:rStyle w:val="22"/>
                <w:snapToGrid w:val="0"/>
                <w:color w:val="auto"/>
                <w:highlight w:val="none"/>
                <w:lang w:val="en-US" w:eastAsia="zh-CN" w:bidi="ar"/>
              </w:rPr>
              <w:t xml:space="preserve"> 日</w:t>
            </w:r>
          </w:p>
        </w:tc>
      </w:tr>
      <w:tr w14:paraId="70B763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3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012580">
            <w:pPr>
              <w:keepNext w:val="0"/>
              <w:keepLines w:val="0"/>
              <w:widowControl/>
              <w:suppressLineNumbers w:val="0"/>
              <w:jc w:val="center"/>
              <w:textAlignment w:val="center"/>
              <w:rPr>
                <w:rFonts w:ascii="宋体" w:hAnsi="宋体" w:eastAsia="宋体" w:cs="宋体"/>
                <w:b/>
                <w:bCs/>
                <w:i w:val="0"/>
                <w:iCs w:val="0"/>
                <w:color w:val="auto"/>
                <w:sz w:val="18"/>
                <w:szCs w:val="18"/>
                <w:highlight w:val="none"/>
                <w:u w:val="none"/>
              </w:rPr>
            </w:pPr>
            <w:r>
              <w:rPr>
                <w:rFonts w:ascii="宋体" w:hAnsi="宋体" w:eastAsia="宋体" w:cs="宋体"/>
                <w:b/>
                <w:bCs/>
                <w:i w:val="0"/>
                <w:iCs w:val="0"/>
                <w:snapToGrid w:val="0"/>
                <w:color w:val="auto"/>
                <w:kern w:val="0"/>
                <w:sz w:val="18"/>
                <w:szCs w:val="18"/>
                <w:highlight w:val="none"/>
                <w:u w:val="none"/>
                <w:lang w:val="en-US" w:eastAsia="zh-CN" w:bidi="ar"/>
              </w:rPr>
              <w:t>变压器、配电箱</w:t>
            </w:r>
          </w:p>
        </w:tc>
        <w:tc>
          <w:tcPr>
            <w:tcW w:w="3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2CBEAD">
            <w:pPr>
              <w:keepNext w:val="0"/>
              <w:keepLines w:val="0"/>
              <w:widowControl/>
              <w:suppressLineNumbers w:val="0"/>
              <w:jc w:val="center"/>
              <w:textAlignment w:val="center"/>
              <w:rPr>
                <w:rFonts w:ascii="宋体" w:hAnsi="宋体" w:eastAsia="宋体" w:cs="宋体"/>
                <w:b/>
                <w:bCs/>
                <w:i w:val="0"/>
                <w:iCs w:val="0"/>
                <w:color w:val="auto"/>
                <w:sz w:val="18"/>
                <w:szCs w:val="18"/>
                <w:highlight w:val="none"/>
                <w:u w:val="none"/>
              </w:rPr>
            </w:pPr>
            <w:r>
              <w:rPr>
                <w:rFonts w:ascii="宋体" w:hAnsi="宋体" w:eastAsia="宋体" w:cs="宋体"/>
                <w:b/>
                <w:bCs/>
                <w:i w:val="0"/>
                <w:iCs w:val="0"/>
                <w:snapToGrid w:val="0"/>
                <w:color w:val="auto"/>
                <w:kern w:val="0"/>
                <w:sz w:val="18"/>
                <w:szCs w:val="18"/>
                <w:highlight w:val="none"/>
                <w:u w:val="none"/>
                <w:lang w:val="en-US" w:eastAsia="zh-CN" w:bidi="ar"/>
              </w:rPr>
              <w:t>设备安装</w:t>
            </w:r>
          </w:p>
        </w:tc>
        <w:tc>
          <w:tcPr>
            <w:tcW w:w="3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0D0168">
            <w:pPr>
              <w:keepNext w:val="0"/>
              <w:keepLines w:val="0"/>
              <w:widowControl/>
              <w:suppressLineNumbers w:val="0"/>
              <w:jc w:val="left"/>
              <w:textAlignment w:val="center"/>
              <w:rPr>
                <w:rFonts w:ascii="宋体" w:hAnsi="宋体" w:eastAsia="宋体" w:cs="宋体"/>
                <w:i w:val="0"/>
                <w:iCs w:val="0"/>
                <w:color w:val="auto"/>
                <w:sz w:val="18"/>
                <w:szCs w:val="18"/>
                <w:highlight w:val="none"/>
                <w:u w:val="none"/>
              </w:rPr>
            </w:pPr>
            <w:r>
              <w:rPr>
                <w:rStyle w:val="25"/>
                <w:snapToGrid w:val="0"/>
                <w:color w:val="auto"/>
                <w:highlight w:val="none"/>
                <w:lang w:val="en-US" w:eastAsia="zh-CN" w:bidi="ar"/>
              </w:rPr>
              <w:t>（</w:t>
            </w:r>
            <w:r>
              <w:rPr>
                <w:rStyle w:val="26"/>
                <w:rFonts w:eastAsia="宋体"/>
                <w:snapToGrid w:val="0"/>
                <w:color w:val="auto"/>
                <w:highlight w:val="none"/>
                <w:lang w:val="en-US" w:eastAsia="zh-CN" w:bidi="ar"/>
              </w:rPr>
              <w:t>1</w:t>
            </w:r>
            <w:r>
              <w:rPr>
                <w:rStyle w:val="25"/>
                <w:snapToGrid w:val="0"/>
                <w:color w:val="auto"/>
                <w:highlight w:val="none"/>
                <w:lang w:val="en-US" w:eastAsia="zh-CN" w:bidi="ar"/>
              </w:rPr>
              <w:t>）机组参数是否符合设计要求</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top"/>
          </w:tcPr>
          <w:p w14:paraId="1EFB1CCE">
            <w:pPr>
              <w:jc w:val="left"/>
              <w:rPr>
                <w:rFonts w:hint="eastAsia" w:ascii="Arial" w:hAnsi="Arial" w:eastAsia="宋体" w:cs="Arial"/>
                <w:i w:val="0"/>
                <w:iCs w:val="0"/>
                <w:color w:val="auto"/>
                <w:sz w:val="18"/>
                <w:szCs w:val="18"/>
                <w:highlight w:val="none"/>
                <w:u w:val="none"/>
              </w:rPr>
            </w:pP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top"/>
          </w:tcPr>
          <w:p w14:paraId="62157EDE">
            <w:pPr>
              <w:jc w:val="left"/>
              <w:rPr>
                <w:rFonts w:hint="default" w:ascii="Arial" w:hAnsi="Arial" w:eastAsia="宋体" w:cs="Arial"/>
                <w:i w:val="0"/>
                <w:iCs w:val="0"/>
                <w:color w:val="auto"/>
                <w:sz w:val="18"/>
                <w:szCs w:val="18"/>
                <w:highlight w:val="none"/>
                <w:u w:val="none"/>
              </w:rPr>
            </w:pPr>
          </w:p>
        </w:tc>
      </w:tr>
      <w:tr w14:paraId="6B54A6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7A779D">
            <w:pPr>
              <w:jc w:val="center"/>
              <w:rPr>
                <w:rFonts w:hint="eastAsia" w:ascii="宋体" w:hAnsi="宋体" w:eastAsia="宋体" w:cs="宋体"/>
                <w:b/>
                <w:bCs/>
                <w:i w:val="0"/>
                <w:iCs w:val="0"/>
                <w:color w:val="auto"/>
                <w:sz w:val="18"/>
                <w:szCs w:val="18"/>
                <w:highlight w:val="none"/>
                <w:u w:val="none"/>
              </w:rPr>
            </w:pPr>
          </w:p>
        </w:tc>
        <w:tc>
          <w:tcPr>
            <w:tcW w:w="36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57CD73">
            <w:pPr>
              <w:keepNext w:val="0"/>
              <w:keepLines w:val="0"/>
              <w:widowControl/>
              <w:suppressLineNumbers w:val="0"/>
              <w:jc w:val="center"/>
              <w:textAlignment w:val="center"/>
              <w:rPr>
                <w:rFonts w:ascii="宋体" w:hAnsi="宋体" w:eastAsia="宋体" w:cs="宋体"/>
                <w:b/>
                <w:bCs/>
                <w:i w:val="0"/>
                <w:iCs w:val="0"/>
                <w:color w:val="auto"/>
                <w:sz w:val="18"/>
                <w:szCs w:val="18"/>
                <w:highlight w:val="none"/>
                <w:u w:val="none"/>
              </w:rPr>
            </w:pPr>
            <w:r>
              <w:rPr>
                <w:rFonts w:ascii="宋体" w:hAnsi="宋体" w:eastAsia="宋体" w:cs="宋体"/>
                <w:b/>
                <w:bCs/>
                <w:i w:val="0"/>
                <w:iCs w:val="0"/>
                <w:snapToGrid w:val="0"/>
                <w:color w:val="auto"/>
                <w:kern w:val="0"/>
                <w:sz w:val="18"/>
                <w:szCs w:val="18"/>
                <w:highlight w:val="none"/>
                <w:u w:val="none"/>
                <w:lang w:val="en-US" w:eastAsia="zh-CN" w:bidi="ar"/>
              </w:rPr>
              <w:t>设备安装</w:t>
            </w:r>
          </w:p>
        </w:tc>
        <w:tc>
          <w:tcPr>
            <w:tcW w:w="3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484AAB">
            <w:pPr>
              <w:keepNext w:val="0"/>
              <w:keepLines w:val="0"/>
              <w:widowControl/>
              <w:suppressLineNumbers w:val="0"/>
              <w:jc w:val="left"/>
              <w:textAlignment w:val="center"/>
              <w:rPr>
                <w:rFonts w:ascii="宋体" w:hAnsi="宋体" w:eastAsia="宋体" w:cs="宋体"/>
                <w:i w:val="0"/>
                <w:iCs w:val="0"/>
                <w:color w:val="auto"/>
                <w:sz w:val="18"/>
                <w:szCs w:val="18"/>
                <w:highlight w:val="none"/>
                <w:u w:val="none"/>
              </w:rPr>
            </w:pPr>
            <w:r>
              <w:rPr>
                <w:rStyle w:val="25"/>
                <w:snapToGrid w:val="0"/>
                <w:color w:val="auto"/>
                <w:highlight w:val="none"/>
                <w:lang w:val="en-US" w:eastAsia="zh-CN" w:bidi="ar"/>
              </w:rPr>
              <w:t>（</w:t>
            </w:r>
            <w:r>
              <w:rPr>
                <w:rStyle w:val="26"/>
                <w:rFonts w:eastAsia="宋体"/>
                <w:snapToGrid w:val="0"/>
                <w:color w:val="auto"/>
                <w:highlight w:val="none"/>
                <w:lang w:val="en-US" w:eastAsia="zh-CN" w:bidi="ar"/>
              </w:rPr>
              <w:t>2</w:t>
            </w:r>
            <w:r>
              <w:rPr>
                <w:rStyle w:val="25"/>
                <w:snapToGrid w:val="0"/>
                <w:color w:val="auto"/>
                <w:highlight w:val="none"/>
                <w:lang w:val="en-US" w:eastAsia="zh-CN" w:bidi="ar"/>
              </w:rPr>
              <w:t>） 电缆连接是否合理，接地</w:t>
            </w:r>
            <w:r>
              <w:rPr>
                <w:rStyle w:val="25"/>
                <w:rFonts w:hint="eastAsia"/>
                <w:snapToGrid w:val="0"/>
                <w:color w:val="auto"/>
                <w:highlight w:val="none"/>
                <w:lang w:val="en-US" w:eastAsia="zh-CN" w:bidi="ar"/>
              </w:rPr>
              <w:t>／</w:t>
            </w:r>
            <w:r>
              <w:rPr>
                <w:rStyle w:val="25"/>
                <w:snapToGrid w:val="0"/>
                <w:color w:val="auto"/>
                <w:highlight w:val="none"/>
                <w:lang w:val="en-US" w:eastAsia="zh-CN" w:bidi="ar"/>
              </w:rPr>
              <w:t>接零是否到位</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top"/>
          </w:tcPr>
          <w:p w14:paraId="63E3E0A1">
            <w:pPr>
              <w:jc w:val="left"/>
              <w:rPr>
                <w:rFonts w:hint="default" w:ascii="Arial" w:hAnsi="Arial" w:eastAsia="宋体" w:cs="Arial"/>
                <w:i w:val="0"/>
                <w:iCs w:val="0"/>
                <w:color w:val="auto"/>
                <w:sz w:val="18"/>
                <w:szCs w:val="18"/>
                <w:highlight w:val="none"/>
                <w:u w:val="none"/>
              </w:rPr>
            </w:pP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top"/>
          </w:tcPr>
          <w:p w14:paraId="14575200">
            <w:pPr>
              <w:jc w:val="left"/>
              <w:rPr>
                <w:rFonts w:hint="default" w:ascii="Arial" w:hAnsi="Arial" w:eastAsia="宋体" w:cs="Arial"/>
                <w:i w:val="0"/>
                <w:iCs w:val="0"/>
                <w:color w:val="auto"/>
                <w:sz w:val="18"/>
                <w:szCs w:val="18"/>
                <w:highlight w:val="none"/>
                <w:u w:val="none"/>
              </w:rPr>
            </w:pPr>
          </w:p>
        </w:tc>
      </w:tr>
      <w:tr w14:paraId="1A8317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65631E">
            <w:pPr>
              <w:jc w:val="center"/>
              <w:rPr>
                <w:rFonts w:hint="eastAsia" w:ascii="宋体" w:hAnsi="宋体" w:eastAsia="宋体" w:cs="宋体"/>
                <w:b/>
                <w:bCs/>
                <w:i w:val="0"/>
                <w:iCs w:val="0"/>
                <w:color w:val="auto"/>
                <w:sz w:val="18"/>
                <w:szCs w:val="18"/>
                <w:highlight w:val="none"/>
                <w:u w:val="none"/>
              </w:rPr>
            </w:pPr>
          </w:p>
        </w:tc>
        <w:tc>
          <w:tcPr>
            <w:tcW w:w="36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2BA144">
            <w:pPr>
              <w:jc w:val="center"/>
              <w:rPr>
                <w:rFonts w:hint="eastAsia" w:ascii="宋体" w:hAnsi="宋体" w:eastAsia="宋体" w:cs="宋体"/>
                <w:b/>
                <w:bCs/>
                <w:i w:val="0"/>
                <w:iCs w:val="0"/>
                <w:color w:val="auto"/>
                <w:sz w:val="18"/>
                <w:szCs w:val="18"/>
                <w:highlight w:val="none"/>
                <w:u w:val="none"/>
              </w:rPr>
            </w:pPr>
          </w:p>
        </w:tc>
        <w:tc>
          <w:tcPr>
            <w:tcW w:w="3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C69CB4">
            <w:pPr>
              <w:keepNext w:val="0"/>
              <w:keepLines w:val="0"/>
              <w:widowControl/>
              <w:suppressLineNumbers w:val="0"/>
              <w:jc w:val="left"/>
              <w:textAlignment w:val="center"/>
              <w:rPr>
                <w:rFonts w:ascii="宋体" w:hAnsi="宋体" w:eastAsia="宋体" w:cs="宋体"/>
                <w:i w:val="0"/>
                <w:iCs w:val="0"/>
                <w:color w:val="auto"/>
                <w:sz w:val="18"/>
                <w:szCs w:val="18"/>
                <w:highlight w:val="none"/>
                <w:u w:val="none"/>
              </w:rPr>
            </w:pPr>
            <w:r>
              <w:rPr>
                <w:rStyle w:val="25"/>
                <w:snapToGrid w:val="0"/>
                <w:color w:val="auto"/>
                <w:highlight w:val="none"/>
                <w:lang w:val="en-US" w:eastAsia="zh-CN" w:bidi="ar"/>
              </w:rPr>
              <w:t>（</w:t>
            </w:r>
            <w:r>
              <w:rPr>
                <w:rStyle w:val="26"/>
                <w:rFonts w:eastAsia="宋体"/>
                <w:snapToGrid w:val="0"/>
                <w:color w:val="auto"/>
                <w:highlight w:val="none"/>
                <w:lang w:val="en-US" w:eastAsia="zh-CN" w:bidi="ar"/>
              </w:rPr>
              <w:t>3</w:t>
            </w:r>
            <w:r>
              <w:rPr>
                <w:rStyle w:val="25"/>
                <w:snapToGrid w:val="0"/>
                <w:color w:val="auto"/>
                <w:highlight w:val="none"/>
                <w:lang w:val="en-US" w:eastAsia="zh-CN" w:bidi="ar"/>
              </w:rPr>
              <w:t>）与高压线路、低压配电线路连接是否符合设计要求</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top"/>
          </w:tcPr>
          <w:p w14:paraId="22C24A88">
            <w:pPr>
              <w:jc w:val="left"/>
              <w:rPr>
                <w:rFonts w:hint="default" w:ascii="Arial" w:hAnsi="Arial" w:eastAsia="宋体" w:cs="Arial"/>
                <w:i w:val="0"/>
                <w:iCs w:val="0"/>
                <w:color w:val="auto"/>
                <w:sz w:val="18"/>
                <w:szCs w:val="18"/>
                <w:highlight w:val="none"/>
                <w:u w:val="none"/>
              </w:rPr>
            </w:pP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top"/>
          </w:tcPr>
          <w:p w14:paraId="2E5CBC9D">
            <w:pPr>
              <w:jc w:val="left"/>
              <w:rPr>
                <w:rFonts w:hint="default" w:ascii="Arial" w:hAnsi="Arial" w:eastAsia="宋体" w:cs="Arial"/>
                <w:i w:val="0"/>
                <w:iCs w:val="0"/>
                <w:color w:val="auto"/>
                <w:sz w:val="18"/>
                <w:szCs w:val="18"/>
                <w:highlight w:val="none"/>
                <w:u w:val="none"/>
              </w:rPr>
            </w:pPr>
          </w:p>
        </w:tc>
      </w:tr>
      <w:tr w14:paraId="20116A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EC1258">
            <w:pPr>
              <w:jc w:val="center"/>
              <w:rPr>
                <w:rFonts w:hint="eastAsia" w:ascii="宋体" w:hAnsi="宋体" w:eastAsia="宋体" w:cs="宋体"/>
                <w:b/>
                <w:bCs/>
                <w:i w:val="0"/>
                <w:iCs w:val="0"/>
                <w:color w:val="auto"/>
                <w:sz w:val="18"/>
                <w:szCs w:val="18"/>
                <w:highlight w:val="none"/>
                <w:u w:val="none"/>
              </w:rPr>
            </w:pPr>
          </w:p>
        </w:tc>
        <w:tc>
          <w:tcPr>
            <w:tcW w:w="36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6CD19B">
            <w:pPr>
              <w:jc w:val="center"/>
              <w:rPr>
                <w:rFonts w:hint="eastAsia" w:ascii="宋体" w:hAnsi="宋体" w:eastAsia="宋体" w:cs="宋体"/>
                <w:b/>
                <w:bCs/>
                <w:i w:val="0"/>
                <w:iCs w:val="0"/>
                <w:color w:val="auto"/>
                <w:sz w:val="18"/>
                <w:szCs w:val="18"/>
                <w:highlight w:val="none"/>
                <w:u w:val="none"/>
              </w:rPr>
            </w:pPr>
          </w:p>
        </w:tc>
        <w:tc>
          <w:tcPr>
            <w:tcW w:w="3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6616A5">
            <w:pPr>
              <w:keepNext w:val="0"/>
              <w:keepLines w:val="0"/>
              <w:widowControl/>
              <w:suppressLineNumbers w:val="0"/>
              <w:jc w:val="left"/>
              <w:textAlignment w:val="center"/>
              <w:rPr>
                <w:rFonts w:ascii="宋体" w:hAnsi="宋体" w:eastAsia="宋体" w:cs="宋体"/>
                <w:i w:val="0"/>
                <w:iCs w:val="0"/>
                <w:color w:val="auto"/>
                <w:sz w:val="18"/>
                <w:szCs w:val="18"/>
                <w:highlight w:val="none"/>
                <w:u w:val="none"/>
              </w:rPr>
            </w:pPr>
            <w:r>
              <w:rPr>
                <w:rStyle w:val="25"/>
                <w:snapToGrid w:val="0"/>
                <w:color w:val="auto"/>
                <w:highlight w:val="none"/>
                <w:lang w:val="en-US" w:eastAsia="zh-CN" w:bidi="ar"/>
              </w:rPr>
              <w:t>（</w:t>
            </w:r>
            <w:r>
              <w:rPr>
                <w:rStyle w:val="26"/>
                <w:rFonts w:eastAsia="宋体"/>
                <w:snapToGrid w:val="0"/>
                <w:color w:val="auto"/>
                <w:highlight w:val="none"/>
                <w:lang w:val="en-US" w:eastAsia="zh-CN" w:bidi="ar"/>
              </w:rPr>
              <w:t>4</w:t>
            </w:r>
            <w:r>
              <w:rPr>
                <w:rStyle w:val="25"/>
                <w:snapToGrid w:val="0"/>
                <w:color w:val="auto"/>
                <w:highlight w:val="none"/>
                <w:lang w:val="en-US" w:eastAsia="zh-CN" w:bidi="ar"/>
              </w:rPr>
              <w:t>）地上变台或杆上变台布置是否合理、预留安全距离是否符合设计规范</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top"/>
          </w:tcPr>
          <w:p w14:paraId="5F3AC7E1">
            <w:pPr>
              <w:jc w:val="left"/>
              <w:rPr>
                <w:rFonts w:hint="default" w:ascii="Arial" w:hAnsi="Arial" w:eastAsia="宋体" w:cs="Arial"/>
                <w:i w:val="0"/>
                <w:iCs w:val="0"/>
                <w:color w:val="auto"/>
                <w:sz w:val="18"/>
                <w:szCs w:val="18"/>
                <w:highlight w:val="none"/>
                <w:u w:val="none"/>
              </w:rPr>
            </w:pP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top"/>
          </w:tcPr>
          <w:p w14:paraId="62EA0676">
            <w:pPr>
              <w:jc w:val="left"/>
              <w:rPr>
                <w:rFonts w:hint="default" w:ascii="Arial" w:hAnsi="Arial" w:eastAsia="宋体" w:cs="Arial"/>
                <w:i w:val="0"/>
                <w:iCs w:val="0"/>
                <w:color w:val="auto"/>
                <w:sz w:val="18"/>
                <w:szCs w:val="18"/>
                <w:highlight w:val="none"/>
                <w:u w:val="none"/>
              </w:rPr>
            </w:pPr>
          </w:p>
        </w:tc>
      </w:tr>
      <w:tr w14:paraId="31633B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745763">
            <w:pPr>
              <w:jc w:val="center"/>
              <w:rPr>
                <w:rFonts w:hint="eastAsia" w:ascii="宋体" w:hAnsi="宋体" w:eastAsia="宋体" w:cs="宋体"/>
                <w:b/>
                <w:bCs/>
                <w:i w:val="0"/>
                <w:iCs w:val="0"/>
                <w:color w:val="auto"/>
                <w:sz w:val="18"/>
                <w:szCs w:val="18"/>
                <w:highlight w:val="none"/>
                <w:u w:val="none"/>
              </w:rPr>
            </w:pPr>
          </w:p>
        </w:tc>
        <w:tc>
          <w:tcPr>
            <w:tcW w:w="3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1AB3C">
            <w:pPr>
              <w:keepNext w:val="0"/>
              <w:keepLines w:val="0"/>
              <w:widowControl/>
              <w:suppressLineNumbers w:val="0"/>
              <w:jc w:val="center"/>
              <w:textAlignment w:val="center"/>
              <w:rPr>
                <w:rFonts w:ascii="宋体" w:hAnsi="宋体" w:eastAsia="宋体" w:cs="宋体"/>
                <w:b/>
                <w:bCs/>
                <w:i w:val="0"/>
                <w:iCs w:val="0"/>
                <w:color w:val="auto"/>
                <w:sz w:val="18"/>
                <w:szCs w:val="18"/>
                <w:highlight w:val="none"/>
                <w:u w:val="none"/>
              </w:rPr>
            </w:pPr>
            <w:r>
              <w:rPr>
                <w:rFonts w:ascii="宋体" w:hAnsi="宋体" w:eastAsia="宋体" w:cs="宋体"/>
                <w:b/>
                <w:bCs/>
                <w:i w:val="0"/>
                <w:iCs w:val="0"/>
                <w:snapToGrid w:val="0"/>
                <w:color w:val="auto"/>
                <w:kern w:val="0"/>
                <w:sz w:val="18"/>
                <w:szCs w:val="18"/>
                <w:highlight w:val="none"/>
                <w:u w:val="none"/>
                <w:lang w:val="en-US" w:eastAsia="zh-CN" w:bidi="ar"/>
              </w:rPr>
              <w:t>运行使用</w:t>
            </w:r>
          </w:p>
        </w:tc>
        <w:tc>
          <w:tcPr>
            <w:tcW w:w="3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AFEF02">
            <w:pPr>
              <w:keepNext w:val="0"/>
              <w:keepLines w:val="0"/>
              <w:widowControl/>
              <w:suppressLineNumbers w:val="0"/>
              <w:jc w:val="left"/>
              <w:textAlignment w:val="center"/>
              <w:rPr>
                <w:rFonts w:ascii="宋体" w:hAnsi="宋体" w:eastAsia="宋体" w:cs="宋体"/>
                <w:i w:val="0"/>
                <w:iCs w:val="0"/>
                <w:color w:val="auto"/>
                <w:sz w:val="18"/>
                <w:szCs w:val="18"/>
                <w:highlight w:val="none"/>
                <w:u w:val="none"/>
              </w:rPr>
            </w:pPr>
            <w:r>
              <w:rPr>
                <w:rStyle w:val="25"/>
                <w:snapToGrid w:val="0"/>
                <w:color w:val="auto"/>
                <w:highlight w:val="none"/>
                <w:lang w:val="en-US" w:eastAsia="zh-CN" w:bidi="ar"/>
              </w:rPr>
              <w:t>（</w:t>
            </w:r>
            <w:r>
              <w:rPr>
                <w:rStyle w:val="26"/>
                <w:rFonts w:eastAsia="宋体"/>
                <w:snapToGrid w:val="0"/>
                <w:color w:val="auto"/>
                <w:highlight w:val="none"/>
                <w:lang w:val="en-US" w:eastAsia="zh-CN" w:bidi="ar"/>
              </w:rPr>
              <w:t>1</w:t>
            </w:r>
            <w:r>
              <w:rPr>
                <w:rStyle w:val="25"/>
                <w:snapToGrid w:val="0"/>
                <w:color w:val="auto"/>
                <w:highlight w:val="none"/>
                <w:lang w:val="en-US" w:eastAsia="zh-CN" w:bidi="ar"/>
              </w:rPr>
              <w:t>）工程设施能够发挥预期功能作用。</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top"/>
          </w:tcPr>
          <w:p w14:paraId="5275385F">
            <w:pPr>
              <w:jc w:val="left"/>
              <w:rPr>
                <w:rFonts w:hint="default" w:ascii="Arial" w:hAnsi="Arial" w:eastAsia="宋体" w:cs="Arial"/>
                <w:i w:val="0"/>
                <w:iCs w:val="0"/>
                <w:color w:val="auto"/>
                <w:sz w:val="18"/>
                <w:szCs w:val="18"/>
                <w:highlight w:val="none"/>
                <w:u w:val="none"/>
              </w:rPr>
            </w:pP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top"/>
          </w:tcPr>
          <w:p w14:paraId="0467A4A6">
            <w:pPr>
              <w:jc w:val="left"/>
              <w:rPr>
                <w:rFonts w:hint="default" w:ascii="Arial" w:hAnsi="Arial" w:eastAsia="宋体" w:cs="Arial"/>
                <w:i w:val="0"/>
                <w:iCs w:val="0"/>
                <w:color w:val="auto"/>
                <w:sz w:val="18"/>
                <w:szCs w:val="18"/>
                <w:highlight w:val="none"/>
                <w:u w:val="none"/>
              </w:rPr>
            </w:pPr>
          </w:p>
        </w:tc>
      </w:tr>
      <w:tr w14:paraId="437CCF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3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6AAD71">
            <w:pPr>
              <w:keepNext w:val="0"/>
              <w:keepLines w:val="0"/>
              <w:widowControl/>
              <w:suppressLineNumbers w:val="0"/>
              <w:jc w:val="center"/>
              <w:textAlignment w:val="center"/>
              <w:rPr>
                <w:rFonts w:ascii="宋体" w:hAnsi="宋体" w:eastAsia="宋体" w:cs="宋体"/>
                <w:b/>
                <w:bCs/>
                <w:i w:val="0"/>
                <w:iCs w:val="0"/>
                <w:color w:val="auto"/>
                <w:sz w:val="18"/>
                <w:szCs w:val="18"/>
                <w:highlight w:val="none"/>
                <w:u w:val="none"/>
              </w:rPr>
            </w:pPr>
            <w:r>
              <w:rPr>
                <w:rFonts w:ascii="宋体" w:hAnsi="宋体" w:eastAsia="宋体" w:cs="宋体"/>
                <w:b/>
                <w:bCs/>
                <w:i w:val="0"/>
                <w:iCs w:val="0"/>
                <w:snapToGrid w:val="0"/>
                <w:color w:val="auto"/>
                <w:kern w:val="0"/>
                <w:sz w:val="18"/>
                <w:szCs w:val="18"/>
                <w:highlight w:val="none"/>
                <w:u w:val="none"/>
                <w:lang w:val="en-US" w:eastAsia="zh-CN" w:bidi="ar"/>
              </w:rPr>
              <w:t>田间闸阀井</w:t>
            </w:r>
          </w:p>
        </w:tc>
        <w:tc>
          <w:tcPr>
            <w:tcW w:w="3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A69618">
            <w:pPr>
              <w:keepNext w:val="0"/>
              <w:keepLines w:val="0"/>
              <w:widowControl/>
              <w:suppressLineNumbers w:val="0"/>
              <w:jc w:val="center"/>
              <w:textAlignment w:val="center"/>
              <w:rPr>
                <w:rFonts w:ascii="宋体" w:hAnsi="宋体" w:eastAsia="宋体" w:cs="宋体"/>
                <w:b/>
                <w:bCs/>
                <w:i w:val="0"/>
                <w:iCs w:val="0"/>
                <w:color w:val="auto"/>
                <w:sz w:val="18"/>
                <w:szCs w:val="18"/>
                <w:highlight w:val="none"/>
                <w:u w:val="none"/>
              </w:rPr>
            </w:pPr>
            <w:r>
              <w:rPr>
                <w:rFonts w:ascii="宋体" w:hAnsi="宋体" w:eastAsia="宋体" w:cs="宋体"/>
                <w:b/>
                <w:bCs/>
                <w:i w:val="0"/>
                <w:iCs w:val="0"/>
                <w:snapToGrid w:val="0"/>
                <w:color w:val="auto"/>
                <w:kern w:val="0"/>
                <w:sz w:val="18"/>
                <w:szCs w:val="18"/>
                <w:highlight w:val="none"/>
                <w:u w:val="none"/>
                <w:lang w:val="en-US" w:eastAsia="zh-CN" w:bidi="ar"/>
              </w:rPr>
              <w:t>外观质量</w:t>
            </w:r>
          </w:p>
        </w:tc>
        <w:tc>
          <w:tcPr>
            <w:tcW w:w="3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01C393">
            <w:pPr>
              <w:keepNext w:val="0"/>
              <w:keepLines w:val="0"/>
              <w:widowControl/>
              <w:suppressLineNumbers w:val="0"/>
              <w:jc w:val="left"/>
              <w:textAlignment w:val="center"/>
              <w:rPr>
                <w:rFonts w:ascii="宋体" w:hAnsi="宋体" w:eastAsia="宋体" w:cs="宋体"/>
                <w:i w:val="0"/>
                <w:iCs w:val="0"/>
                <w:color w:val="auto"/>
                <w:sz w:val="18"/>
                <w:szCs w:val="18"/>
                <w:highlight w:val="none"/>
                <w:u w:val="none"/>
              </w:rPr>
            </w:pPr>
            <w:r>
              <w:rPr>
                <w:rStyle w:val="25"/>
                <w:snapToGrid w:val="0"/>
                <w:color w:val="auto"/>
                <w:highlight w:val="none"/>
                <w:lang w:val="en-US" w:eastAsia="zh-CN" w:bidi="ar"/>
              </w:rPr>
              <w:t>（</w:t>
            </w:r>
            <w:r>
              <w:rPr>
                <w:rStyle w:val="26"/>
                <w:rFonts w:eastAsia="宋体"/>
                <w:snapToGrid w:val="0"/>
                <w:color w:val="auto"/>
                <w:highlight w:val="none"/>
                <w:lang w:val="en-US" w:eastAsia="zh-CN" w:bidi="ar"/>
              </w:rPr>
              <w:t>1</w:t>
            </w:r>
            <w:r>
              <w:rPr>
                <w:rStyle w:val="25"/>
                <w:snapToGrid w:val="0"/>
                <w:color w:val="auto"/>
                <w:highlight w:val="none"/>
                <w:lang w:val="en-US" w:eastAsia="zh-CN" w:bidi="ar"/>
              </w:rPr>
              <w:t>）安装铺设准确到位、牢固稳定，无裸露地面、跑冒滴漏、破损变形。</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top"/>
          </w:tcPr>
          <w:p w14:paraId="0346EA64">
            <w:pPr>
              <w:jc w:val="left"/>
              <w:rPr>
                <w:rFonts w:hint="default" w:ascii="Arial" w:hAnsi="Arial" w:eastAsia="宋体" w:cs="Arial"/>
                <w:i w:val="0"/>
                <w:iCs w:val="0"/>
                <w:color w:val="auto"/>
                <w:sz w:val="18"/>
                <w:szCs w:val="18"/>
                <w:highlight w:val="none"/>
                <w:u w:val="none"/>
              </w:rPr>
            </w:pP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top"/>
          </w:tcPr>
          <w:p w14:paraId="337AD0C3">
            <w:pPr>
              <w:jc w:val="left"/>
              <w:rPr>
                <w:rFonts w:hint="default" w:ascii="Arial" w:hAnsi="Arial" w:eastAsia="宋体" w:cs="Arial"/>
                <w:i w:val="0"/>
                <w:iCs w:val="0"/>
                <w:color w:val="auto"/>
                <w:sz w:val="18"/>
                <w:szCs w:val="18"/>
                <w:highlight w:val="none"/>
                <w:u w:val="none"/>
              </w:rPr>
            </w:pPr>
          </w:p>
        </w:tc>
      </w:tr>
      <w:tr w14:paraId="38A7EB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1EF208">
            <w:pPr>
              <w:jc w:val="center"/>
              <w:rPr>
                <w:rFonts w:hint="eastAsia" w:ascii="宋体" w:hAnsi="宋体" w:eastAsia="宋体" w:cs="宋体"/>
                <w:b/>
                <w:bCs/>
                <w:i w:val="0"/>
                <w:iCs w:val="0"/>
                <w:color w:val="auto"/>
                <w:sz w:val="18"/>
                <w:szCs w:val="18"/>
                <w:highlight w:val="none"/>
                <w:u w:val="none"/>
              </w:rPr>
            </w:pPr>
          </w:p>
        </w:tc>
        <w:tc>
          <w:tcPr>
            <w:tcW w:w="3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B8873F">
            <w:pPr>
              <w:keepNext w:val="0"/>
              <w:keepLines w:val="0"/>
              <w:widowControl/>
              <w:suppressLineNumbers w:val="0"/>
              <w:jc w:val="center"/>
              <w:textAlignment w:val="center"/>
              <w:rPr>
                <w:rFonts w:ascii="宋体" w:hAnsi="宋体" w:eastAsia="宋体" w:cs="宋体"/>
                <w:b/>
                <w:bCs/>
                <w:i w:val="0"/>
                <w:iCs w:val="0"/>
                <w:color w:val="auto"/>
                <w:sz w:val="18"/>
                <w:szCs w:val="18"/>
                <w:highlight w:val="none"/>
                <w:u w:val="none"/>
              </w:rPr>
            </w:pPr>
            <w:r>
              <w:rPr>
                <w:rFonts w:ascii="宋体" w:hAnsi="宋体" w:eastAsia="宋体" w:cs="宋体"/>
                <w:b/>
                <w:bCs/>
                <w:i w:val="0"/>
                <w:iCs w:val="0"/>
                <w:snapToGrid w:val="0"/>
                <w:color w:val="auto"/>
                <w:kern w:val="0"/>
                <w:sz w:val="18"/>
                <w:szCs w:val="18"/>
                <w:highlight w:val="none"/>
                <w:u w:val="none"/>
                <w:lang w:val="en-US" w:eastAsia="zh-CN" w:bidi="ar"/>
              </w:rPr>
              <w:t>结构尺寸</w:t>
            </w:r>
          </w:p>
        </w:tc>
        <w:tc>
          <w:tcPr>
            <w:tcW w:w="3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760B45">
            <w:pPr>
              <w:keepNext w:val="0"/>
              <w:keepLines w:val="0"/>
              <w:widowControl/>
              <w:suppressLineNumbers w:val="0"/>
              <w:jc w:val="left"/>
              <w:textAlignment w:val="center"/>
              <w:rPr>
                <w:rFonts w:ascii="宋体" w:hAnsi="宋体" w:eastAsia="宋体" w:cs="宋体"/>
                <w:i w:val="0"/>
                <w:iCs w:val="0"/>
                <w:color w:val="auto"/>
                <w:sz w:val="18"/>
                <w:szCs w:val="18"/>
                <w:highlight w:val="none"/>
                <w:u w:val="none"/>
              </w:rPr>
            </w:pPr>
            <w:r>
              <w:rPr>
                <w:rStyle w:val="25"/>
                <w:snapToGrid w:val="0"/>
                <w:color w:val="auto"/>
                <w:highlight w:val="none"/>
                <w:lang w:val="en-US" w:eastAsia="zh-CN" w:bidi="ar"/>
              </w:rPr>
              <w:t>（</w:t>
            </w:r>
            <w:r>
              <w:rPr>
                <w:rStyle w:val="26"/>
                <w:rFonts w:eastAsia="宋体"/>
                <w:snapToGrid w:val="0"/>
                <w:color w:val="auto"/>
                <w:highlight w:val="none"/>
                <w:lang w:val="en-US" w:eastAsia="zh-CN" w:bidi="ar"/>
              </w:rPr>
              <w:t>1</w:t>
            </w:r>
            <w:r>
              <w:rPr>
                <w:rStyle w:val="25"/>
                <w:snapToGrid w:val="0"/>
                <w:color w:val="auto"/>
                <w:highlight w:val="none"/>
                <w:lang w:val="en-US" w:eastAsia="zh-CN" w:bidi="ar"/>
              </w:rPr>
              <w:t>）设备井尺寸、出水栓尺寸、检修爬梯尺寸等设施尺寸是否满足设计要求。</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top"/>
          </w:tcPr>
          <w:p w14:paraId="5B371494">
            <w:pPr>
              <w:jc w:val="left"/>
              <w:rPr>
                <w:rFonts w:hint="default" w:ascii="Arial" w:hAnsi="Arial" w:eastAsia="宋体" w:cs="Arial"/>
                <w:i w:val="0"/>
                <w:iCs w:val="0"/>
                <w:color w:val="auto"/>
                <w:sz w:val="18"/>
                <w:szCs w:val="18"/>
                <w:highlight w:val="none"/>
                <w:u w:val="none"/>
              </w:rPr>
            </w:pP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top"/>
          </w:tcPr>
          <w:p w14:paraId="68B48C52">
            <w:pPr>
              <w:jc w:val="left"/>
              <w:rPr>
                <w:rFonts w:hint="default" w:ascii="Arial" w:hAnsi="Arial" w:eastAsia="宋体" w:cs="Arial"/>
                <w:i w:val="0"/>
                <w:iCs w:val="0"/>
                <w:color w:val="auto"/>
                <w:sz w:val="18"/>
                <w:szCs w:val="18"/>
                <w:highlight w:val="none"/>
                <w:u w:val="none"/>
              </w:rPr>
            </w:pPr>
          </w:p>
        </w:tc>
      </w:tr>
      <w:tr w14:paraId="24732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89F4D9">
            <w:pPr>
              <w:jc w:val="center"/>
              <w:rPr>
                <w:rFonts w:hint="eastAsia" w:ascii="宋体" w:hAnsi="宋体" w:eastAsia="宋体" w:cs="宋体"/>
                <w:b/>
                <w:bCs/>
                <w:i w:val="0"/>
                <w:iCs w:val="0"/>
                <w:color w:val="auto"/>
                <w:sz w:val="18"/>
                <w:szCs w:val="18"/>
                <w:highlight w:val="none"/>
                <w:u w:val="none"/>
              </w:rPr>
            </w:pPr>
          </w:p>
        </w:tc>
        <w:tc>
          <w:tcPr>
            <w:tcW w:w="3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FBB419">
            <w:pPr>
              <w:keepNext w:val="0"/>
              <w:keepLines w:val="0"/>
              <w:widowControl/>
              <w:suppressLineNumbers w:val="0"/>
              <w:jc w:val="center"/>
              <w:textAlignment w:val="center"/>
              <w:rPr>
                <w:rFonts w:ascii="宋体" w:hAnsi="宋体" w:eastAsia="宋体" w:cs="宋体"/>
                <w:b/>
                <w:bCs/>
                <w:i w:val="0"/>
                <w:iCs w:val="0"/>
                <w:color w:val="auto"/>
                <w:sz w:val="18"/>
                <w:szCs w:val="18"/>
                <w:highlight w:val="none"/>
                <w:u w:val="none"/>
              </w:rPr>
            </w:pPr>
            <w:r>
              <w:rPr>
                <w:rFonts w:ascii="宋体" w:hAnsi="宋体" w:eastAsia="宋体" w:cs="宋体"/>
                <w:b/>
                <w:bCs/>
                <w:i w:val="0"/>
                <w:iCs w:val="0"/>
                <w:snapToGrid w:val="0"/>
                <w:color w:val="auto"/>
                <w:kern w:val="0"/>
                <w:sz w:val="18"/>
                <w:szCs w:val="18"/>
                <w:highlight w:val="none"/>
                <w:u w:val="none"/>
                <w:lang w:val="en-US" w:eastAsia="zh-CN" w:bidi="ar"/>
              </w:rPr>
              <w:t>运行使用</w:t>
            </w:r>
          </w:p>
        </w:tc>
        <w:tc>
          <w:tcPr>
            <w:tcW w:w="3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F18438">
            <w:pPr>
              <w:keepNext w:val="0"/>
              <w:keepLines w:val="0"/>
              <w:widowControl/>
              <w:suppressLineNumbers w:val="0"/>
              <w:jc w:val="left"/>
              <w:textAlignment w:val="center"/>
              <w:rPr>
                <w:rFonts w:ascii="宋体" w:hAnsi="宋体" w:eastAsia="宋体" w:cs="宋体"/>
                <w:i w:val="0"/>
                <w:iCs w:val="0"/>
                <w:color w:val="auto"/>
                <w:sz w:val="18"/>
                <w:szCs w:val="18"/>
                <w:highlight w:val="none"/>
                <w:u w:val="none"/>
              </w:rPr>
            </w:pPr>
            <w:r>
              <w:rPr>
                <w:rStyle w:val="25"/>
                <w:snapToGrid w:val="0"/>
                <w:color w:val="auto"/>
                <w:highlight w:val="none"/>
                <w:lang w:val="en-US" w:eastAsia="zh-CN" w:bidi="ar"/>
              </w:rPr>
              <w:t>（</w:t>
            </w:r>
            <w:r>
              <w:rPr>
                <w:rStyle w:val="26"/>
                <w:rFonts w:eastAsia="宋体"/>
                <w:snapToGrid w:val="0"/>
                <w:color w:val="auto"/>
                <w:highlight w:val="none"/>
                <w:lang w:val="en-US" w:eastAsia="zh-CN" w:bidi="ar"/>
              </w:rPr>
              <w:t>1</w:t>
            </w:r>
            <w:r>
              <w:rPr>
                <w:rStyle w:val="25"/>
                <w:snapToGrid w:val="0"/>
                <w:color w:val="auto"/>
                <w:highlight w:val="none"/>
                <w:lang w:val="en-US" w:eastAsia="zh-CN" w:bidi="ar"/>
              </w:rPr>
              <w:t>）工程设施能够发挥预期功能作用。</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top"/>
          </w:tcPr>
          <w:p w14:paraId="2E52B878">
            <w:pPr>
              <w:jc w:val="left"/>
              <w:rPr>
                <w:rFonts w:hint="default" w:ascii="Arial" w:hAnsi="Arial" w:eastAsia="宋体" w:cs="Arial"/>
                <w:i w:val="0"/>
                <w:iCs w:val="0"/>
                <w:color w:val="auto"/>
                <w:sz w:val="18"/>
                <w:szCs w:val="18"/>
                <w:highlight w:val="none"/>
                <w:u w:val="none"/>
              </w:rPr>
            </w:pP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top"/>
          </w:tcPr>
          <w:p w14:paraId="0F980235">
            <w:pPr>
              <w:jc w:val="left"/>
              <w:rPr>
                <w:rFonts w:hint="default" w:ascii="Arial" w:hAnsi="Arial" w:eastAsia="宋体" w:cs="Arial"/>
                <w:i w:val="0"/>
                <w:iCs w:val="0"/>
                <w:color w:val="auto"/>
                <w:sz w:val="18"/>
                <w:szCs w:val="18"/>
                <w:highlight w:val="none"/>
                <w:u w:val="none"/>
              </w:rPr>
            </w:pPr>
          </w:p>
        </w:tc>
      </w:tr>
      <w:tr w14:paraId="05B487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3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0B60D4">
            <w:pPr>
              <w:keepNext w:val="0"/>
              <w:keepLines w:val="0"/>
              <w:widowControl/>
              <w:suppressLineNumbers w:val="0"/>
              <w:jc w:val="center"/>
              <w:textAlignment w:val="center"/>
              <w:rPr>
                <w:rFonts w:ascii="宋体" w:hAnsi="宋体" w:eastAsia="宋体" w:cs="宋体"/>
                <w:b/>
                <w:bCs/>
                <w:i w:val="0"/>
                <w:iCs w:val="0"/>
                <w:color w:val="auto"/>
                <w:sz w:val="18"/>
                <w:szCs w:val="18"/>
                <w:highlight w:val="none"/>
                <w:u w:val="none"/>
              </w:rPr>
            </w:pPr>
            <w:r>
              <w:rPr>
                <w:rFonts w:ascii="宋体" w:hAnsi="宋体" w:eastAsia="宋体" w:cs="宋体"/>
                <w:b/>
                <w:bCs/>
                <w:i w:val="0"/>
                <w:iCs w:val="0"/>
                <w:snapToGrid w:val="0"/>
                <w:color w:val="auto"/>
                <w:kern w:val="0"/>
                <w:sz w:val="18"/>
                <w:szCs w:val="18"/>
                <w:highlight w:val="none"/>
                <w:u w:val="none"/>
                <w:lang w:val="en-US" w:eastAsia="zh-CN" w:bidi="ar"/>
              </w:rPr>
              <w:t>滴灌系统、出水桩</w:t>
            </w:r>
          </w:p>
        </w:tc>
        <w:tc>
          <w:tcPr>
            <w:tcW w:w="3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2D7431">
            <w:pPr>
              <w:keepNext w:val="0"/>
              <w:keepLines w:val="0"/>
              <w:widowControl/>
              <w:suppressLineNumbers w:val="0"/>
              <w:jc w:val="center"/>
              <w:textAlignment w:val="center"/>
              <w:rPr>
                <w:rFonts w:ascii="宋体" w:hAnsi="宋体" w:eastAsia="宋体" w:cs="宋体"/>
                <w:b/>
                <w:bCs/>
                <w:i w:val="0"/>
                <w:iCs w:val="0"/>
                <w:color w:val="auto"/>
                <w:sz w:val="18"/>
                <w:szCs w:val="18"/>
                <w:highlight w:val="none"/>
                <w:u w:val="none"/>
              </w:rPr>
            </w:pPr>
            <w:r>
              <w:rPr>
                <w:rFonts w:ascii="宋体" w:hAnsi="宋体" w:eastAsia="宋体" w:cs="宋体"/>
                <w:b/>
                <w:bCs/>
                <w:i w:val="0"/>
                <w:iCs w:val="0"/>
                <w:snapToGrid w:val="0"/>
                <w:color w:val="auto"/>
                <w:kern w:val="0"/>
                <w:sz w:val="18"/>
                <w:szCs w:val="18"/>
                <w:highlight w:val="none"/>
                <w:u w:val="none"/>
                <w:lang w:val="en-US" w:eastAsia="zh-CN" w:bidi="ar"/>
              </w:rPr>
              <w:t>外观质量</w:t>
            </w:r>
          </w:p>
        </w:tc>
        <w:tc>
          <w:tcPr>
            <w:tcW w:w="3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DCFBBE">
            <w:pPr>
              <w:keepNext w:val="0"/>
              <w:keepLines w:val="0"/>
              <w:widowControl/>
              <w:suppressLineNumbers w:val="0"/>
              <w:jc w:val="left"/>
              <w:textAlignment w:val="center"/>
              <w:rPr>
                <w:rFonts w:ascii="宋体" w:hAnsi="宋体" w:eastAsia="宋体" w:cs="宋体"/>
                <w:i w:val="0"/>
                <w:iCs w:val="0"/>
                <w:color w:val="auto"/>
                <w:sz w:val="18"/>
                <w:szCs w:val="18"/>
                <w:highlight w:val="none"/>
                <w:u w:val="none"/>
              </w:rPr>
            </w:pPr>
            <w:r>
              <w:rPr>
                <w:rFonts w:ascii="宋体" w:hAnsi="宋体" w:eastAsia="宋体" w:cs="宋体"/>
                <w:i w:val="0"/>
                <w:iCs w:val="0"/>
                <w:snapToGrid w:val="0"/>
                <w:color w:val="auto"/>
                <w:kern w:val="0"/>
                <w:sz w:val="18"/>
                <w:szCs w:val="18"/>
                <w:highlight w:val="none"/>
                <w:u w:val="none"/>
                <w:lang w:val="en-US" w:eastAsia="zh-CN" w:bidi="ar"/>
              </w:rPr>
              <w:t>（1）压力稳定、无漏水、滤网清洁。</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top"/>
          </w:tcPr>
          <w:p w14:paraId="2EF18033">
            <w:pPr>
              <w:jc w:val="left"/>
              <w:rPr>
                <w:rFonts w:hint="default" w:ascii="Arial" w:hAnsi="Arial" w:eastAsia="宋体" w:cs="Arial"/>
                <w:i w:val="0"/>
                <w:iCs w:val="0"/>
                <w:color w:val="auto"/>
                <w:sz w:val="18"/>
                <w:szCs w:val="18"/>
                <w:highlight w:val="none"/>
                <w:u w:val="none"/>
              </w:rPr>
            </w:pP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top"/>
          </w:tcPr>
          <w:p w14:paraId="27E60AC9">
            <w:pPr>
              <w:jc w:val="left"/>
              <w:rPr>
                <w:rFonts w:hint="default" w:ascii="Arial" w:hAnsi="Arial" w:eastAsia="宋体" w:cs="Arial"/>
                <w:i w:val="0"/>
                <w:iCs w:val="0"/>
                <w:color w:val="auto"/>
                <w:sz w:val="18"/>
                <w:szCs w:val="18"/>
                <w:highlight w:val="none"/>
                <w:u w:val="none"/>
              </w:rPr>
            </w:pPr>
          </w:p>
        </w:tc>
      </w:tr>
      <w:tr w14:paraId="71B942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E56FB2">
            <w:pPr>
              <w:jc w:val="center"/>
              <w:rPr>
                <w:rFonts w:hint="eastAsia" w:ascii="宋体" w:hAnsi="宋体" w:eastAsia="宋体" w:cs="宋体"/>
                <w:b/>
                <w:bCs/>
                <w:i w:val="0"/>
                <w:iCs w:val="0"/>
                <w:color w:val="auto"/>
                <w:sz w:val="18"/>
                <w:szCs w:val="18"/>
                <w:highlight w:val="none"/>
                <w:u w:val="none"/>
              </w:rPr>
            </w:pPr>
          </w:p>
        </w:tc>
        <w:tc>
          <w:tcPr>
            <w:tcW w:w="3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03D833">
            <w:pPr>
              <w:keepNext w:val="0"/>
              <w:keepLines w:val="0"/>
              <w:widowControl/>
              <w:suppressLineNumbers w:val="0"/>
              <w:jc w:val="center"/>
              <w:textAlignment w:val="center"/>
              <w:rPr>
                <w:rFonts w:ascii="宋体" w:hAnsi="宋体" w:eastAsia="宋体" w:cs="宋体"/>
                <w:b/>
                <w:bCs/>
                <w:i w:val="0"/>
                <w:iCs w:val="0"/>
                <w:color w:val="auto"/>
                <w:sz w:val="18"/>
                <w:szCs w:val="18"/>
                <w:highlight w:val="none"/>
                <w:u w:val="none"/>
              </w:rPr>
            </w:pPr>
            <w:r>
              <w:rPr>
                <w:rFonts w:ascii="宋体" w:hAnsi="宋体" w:eastAsia="宋体" w:cs="宋体"/>
                <w:b/>
                <w:bCs/>
                <w:i w:val="0"/>
                <w:iCs w:val="0"/>
                <w:snapToGrid w:val="0"/>
                <w:color w:val="auto"/>
                <w:kern w:val="0"/>
                <w:sz w:val="18"/>
                <w:szCs w:val="18"/>
                <w:highlight w:val="none"/>
                <w:u w:val="none"/>
                <w:lang w:val="en-US" w:eastAsia="zh-CN" w:bidi="ar"/>
              </w:rPr>
              <w:t>结构尺寸</w:t>
            </w:r>
          </w:p>
        </w:tc>
        <w:tc>
          <w:tcPr>
            <w:tcW w:w="3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BF3AB">
            <w:pPr>
              <w:keepNext w:val="0"/>
              <w:keepLines w:val="0"/>
              <w:widowControl/>
              <w:suppressLineNumbers w:val="0"/>
              <w:jc w:val="left"/>
              <w:textAlignment w:val="center"/>
              <w:rPr>
                <w:rFonts w:ascii="宋体" w:hAnsi="宋体" w:eastAsia="宋体" w:cs="宋体"/>
                <w:i w:val="0"/>
                <w:iCs w:val="0"/>
                <w:color w:val="auto"/>
                <w:sz w:val="18"/>
                <w:szCs w:val="18"/>
                <w:highlight w:val="none"/>
                <w:u w:val="none"/>
              </w:rPr>
            </w:pPr>
            <w:r>
              <w:rPr>
                <w:rFonts w:ascii="宋体" w:hAnsi="宋体" w:eastAsia="宋体" w:cs="宋体"/>
                <w:i w:val="0"/>
                <w:iCs w:val="0"/>
                <w:snapToGrid w:val="0"/>
                <w:color w:val="auto"/>
                <w:kern w:val="0"/>
                <w:sz w:val="18"/>
                <w:szCs w:val="18"/>
                <w:highlight w:val="none"/>
                <w:u w:val="none"/>
                <w:lang w:val="en-US" w:eastAsia="zh-CN" w:bidi="ar"/>
              </w:rPr>
              <w:t>（1）出水桩是否完好。</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top"/>
          </w:tcPr>
          <w:p w14:paraId="6708BA9C">
            <w:pPr>
              <w:jc w:val="left"/>
              <w:rPr>
                <w:rFonts w:hint="default" w:ascii="Arial" w:hAnsi="Arial" w:eastAsia="宋体" w:cs="Arial"/>
                <w:i w:val="0"/>
                <w:iCs w:val="0"/>
                <w:color w:val="auto"/>
                <w:sz w:val="18"/>
                <w:szCs w:val="18"/>
                <w:highlight w:val="none"/>
                <w:u w:val="none"/>
              </w:rPr>
            </w:pP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top"/>
          </w:tcPr>
          <w:p w14:paraId="643111FA">
            <w:pPr>
              <w:jc w:val="left"/>
              <w:rPr>
                <w:rFonts w:hint="default" w:ascii="Arial" w:hAnsi="Arial" w:eastAsia="宋体" w:cs="Arial"/>
                <w:i w:val="0"/>
                <w:iCs w:val="0"/>
                <w:color w:val="auto"/>
                <w:sz w:val="18"/>
                <w:szCs w:val="18"/>
                <w:highlight w:val="none"/>
                <w:u w:val="none"/>
              </w:rPr>
            </w:pPr>
          </w:p>
        </w:tc>
      </w:tr>
      <w:tr w14:paraId="4A0A8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2BE777">
            <w:pPr>
              <w:jc w:val="center"/>
              <w:rPr>
                <w:rFonts w:hint="eastAsia" w:ascii="宋体" w:hAnsi="宋体" w:eastAsia="宋体" w:cs="宋体"/>
                <w:b/>
                <w:bCs/>
                <w:i w:val="0"/>
                <w:iCs w:val="0"/>
                <w:color w:val="auto"/>
                <w:sz w:val="18"/>
                <w:szCs w:val="18"/>
                <w:highlight w:val="none"/>
                <w:u w:val="none"/>
              </w:rPr>
            </w:pPr>
          </w:p>
        </w:tc>
        <w:tc>
          <w:tcPr>
            <w:tcW w:w="3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D32DFD">
            <w:pPr>
              <w:keepNext w:val="0"/>
              <w:keepLines w:val="0"/>
              <w:widowControl/>
              <w:suppressLineNumbers w:val="0"/>
              <w:jc w:val="center"/>
              <w:textAlignment w:val="center"/>
              <w:rPr>
                <w:rFonts w:ascii="宋体" w:hAnsi="宋体" w:eastAsia="宋体" w:cs="宋体"/>
                <w:b/>
                <w:bCs/>
                <w:i w:val="0"/>
                <w:iCs w:val="0"/>
                <w:color w:val="auto"/>
                <w:sz w:val="18"/>
                <w:szCs w:val="18"/>
                <w:highlight w:val="none"/>
                <w:u w:val="none"/>
              </w:rPr>
            </w:pPr>
            <w:r>
              <w:rPr>
                <w:rFonts w:ascii="宋体" w:hAnsi="宋体" w:eastAsia="宋体" w:cs="宋体"/>
                <w:b/>
                <w:bCs/>
                <w:i w:val="0"/>
                <w:iCs w:val="0"/>
                <w:snapToGrid w:val="0"/>
                <w:color w:val="auto"/>
                <w:kern w:val="0"/>
                <w:sz w:val="18"/>
                <w:szCs w:val="18"/>
                <w:highlight w:val="none"/>
                <w:u w:val="none"/>
                <w:lang w:val="en-US" w:eastAsia="zh-CN" w:bidi="ar"/>
              </w:rPr>
              <w:t>运行使用</w:t>
            </w:r>
          </w:p>
        </w:tc>
        <w:tc>
          <w:tcPr>
            <w:tcW w:w="3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19D435">
            <w:pPr>
              <w:keepNext w:val="0"/>
              <w:keepLines w:val="0"/>
              <w:widowControl/>
              <w:suppressLineNumbers w:val="0"/>
              <w:jc w:val="left"/>
              <w:textAlignment w:val="center"/>
              <w:rPr>
                <w:rFonts w:ascii="宋体" w:hAnsi="宋体" w:eastAsia="宋体" w:cs="宋体"/>
                <w:i w:val="0"/>
                <w:iCs w:val="0"/>
                <w:color w:val="auto"/>
                <w:sz w:val="18"/>
                <w:szCs w:val="18"/>
                <w:highlight w:val="none"/>
                <w:u w:val="none"/>
              </w:rPr>
            </w:pPr>
            <w:r>
              <w:rPr>
                <w:rFonts w:ascii="宋体" w:hAnsi="宋体" w:eastAsia="宋体" w:cs="宋体"/>
                <w:i w:val="0"/>
                <w:iCs w:val="0"/>
                <w:snapToGrid w:val="0"/>
                <w:color w:val="auto"/>
                <w:kern w:val="0"/>
                <w:sz w:val="18"/>
                <w:szCs w:val="18"/>
                <w:highlight w:val="none"/>
                <w:u w:val="none"/>
                <w:lang w:val="en-US" w:eastAsia="zh-CN" w:bidi="ar"/>
              </w:rPr>
              <w:t>（</w:t>
            </w:r>
            <w:r>
              <w:rPr>
                <w:rStyle w:val="26"/>
                <w:rFonts w:eastAsia="宋体"/>
                <w:snapToGrid w:val="0"/>
                <w:color w:val="auto"/>
                <w:highlight w:val="none"/>
                <w:lang w:val="en-US" w:eastAsia="zh-CN" w:bidi="ar"/>
              </w:rPr>
              <w:t>1</w:t>
            </w:r>
            <w:r>
              <w:rPr>
                <w:rStyle w:val="25"/>
                <w:snapToGrid w:val="0"/>
                <w:color w:val="auto"/>
                <w:highlight w:val="none"/>
                <w:lang w:val="en-US" w:eastAsia="zh-CN" w:bidi="ar"/>
              </w:rPr>
              <w:t>）工程设施能够发挥预期功能作用。</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top"/>
          </w:tcPr>
          <w:p w14:paraId="2C3F6066">
            <w:pPr>
              <w:jc w:val="left"/>
              <w:rPr>
                <w:rFonts w:hint="default" w:ascii="Arial" w:hAnsi="Arial" w:eastAsia="宋体" w:cs="Arial"/>
                <w:i w:val="0"/>
                <w:iCs w:val="0"/>
                <w:color w:val="auto"/>
                <w:sz w:val="18"/>
                <w:szCs w:val="18"/>
                <w:highlight w:val="none"/>
                <w:u w:val="none"/>
              </w:rPr>
            </w:pP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top"/>
          </w:tcPr>
          <w:p w14:paraId="2905C3F1">
            <w:pPr>
              <w:jc w:val="left"/>
              <w:rPr>
                <w:rFonts w:hint="default" w:ascii="Arial" w:hAnsi="Arial" w:eastAsia="宋体" w:cs="Arial"/>
                <w:i w:val="0"/>
                <w:iCs w:val="0"/>
                <w:color w:val="auto"/>
                <w:sz w:val="18"/>
                <w:szCs w:val="18"/>
                <w:highlight w:val="none"/>
                <w:u w:val="none"/>
              </w:rPr>
            </w:pPr>
          </w:p>
        </w:tc>
      </w:tr>
      <w:tr w14:paraId="2C5FA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43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5EBA68">
            <w:pPr>
              <w:keepNext w:val="0"/>
              <w:keepLines w:val="0"/>
              <w:widowControl/>
              <w:suppressLineNumbers w:val="0"/>
              <w:jc w:val="center"/>
              <w:textAlignment w:val="center"/>
              <w:rPr>
                <w:rFonts w:ascii="宋体" w:hAnsi="宋体" w:eastAsia="宋体" w:cs="宋体"/>
                <w:b/>
                <w:bCs/>
                <w:i w:val="0"/>
                <w:iCs w:val="0"/>
                <w:color w:val="auto"/>
                <w:sz w:val="18"/>
                <w:szCs w:val="18"/>
                <w:highlight w:val="none"/>
                <w:u w:val="none"/>
              </w:rPr>
            </w:pPr>
            <w:r>
              <w:rPr>
                <w:rFonts w:ascii="宋体" w:hAnsi="宋体" w:eastAsia="宋体" w:cs="宋体"/>
                <w:b/>
                <w:bCs/>
                <w:i w:val="0"/>
                <w:iCs w:val="0"/>
                <w:snapToGrid w:val="0"/>
                <w:color w:val="auto"/>
                <w:kern w:val="0"/>
                <w:sz w:val="18"/>
                <w:szCs w:val="18"/>
                <w:highlight w:val="none"/>
                <w:u w:val="none"/>
                <w:lang w:val="en-US" w:eastAsia="zh-CN" w:bidi="ar"/>
              </w:rPr>
              <w:t>田间道路、林网</w:t>
            </w:r>
          </w:p>
        </w:tc>
        <w:tc>
          <w:tcPr>
            <w:tcW w:w="3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3B89DC">
            <w:pPr>
              <w:keepNext w:val="0"/>
              <w:keepLines w:val="0"/>
              <w:widowControl/>
              <w:suppressLineNumbers w:val="0"/>
              <w:jc w:val="center"/>
              <w:textAlignment w:val="center"/>
              <w:rPr>
                <w:rFonts w:ascii="宋体" w:hAnsi="宋体" w:eastAsia="宋体" w:cs="宋体"/>
                <w:b/>
                <w:bCs/>
                <w:i w:val="0"/>
                <w:iCs w:val="0"/>
                <w:color w:val="auto"/>
                <w:sz w:val="18"/>
                <w:szCs w:val="18"/>
                <w:highlight w:val="none"/>
                <w:u w:val="none"/>
              </w:rPr>
            </w:pPr>
            <w:r>
              <w:rPr>
                <w:rFonts w:ascii="宋体" w:hAnsi="宋体" w:eastAsia="宋体" w:cs="宋体"/>
                <w:b/>
                <w:bCs/>
                <w:i w:val="0"/>
                <w:iCs w:val="0"/>
                <w:snapToGrid w:val="0"/>
                <w:color w:val="auto"/>
                <w:kern w:val="0"/>
                <w:sz w:val="18"/>
                <w:szCs w:val="18"/>
                <w:highlight w:val="none"/>
                <w:u w:val="none"/>
                <w:lang w:val="en-US" w:eastAsia="zh-CN" w:bidi="ar"/>
              </w:rPr>
              <w:t>外观质量</w:t>
            </w:r>
          </w:p>
        </w:tc>
        <w:tc>
          <w:tcPr>
            <w:tcW w:w="3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37B0E">
            <w:pPr>
              <w:keepNext w:val="0"/>
              <w:keepLines w:val="0"/>
              <w:widowControl/>
              <w:suppressLineNumbers w:val="0"/>
              <w:jc w:val="left"/>
              <w:textAlignment w:val="center"/>
              <w:rPr>
                <w:rFonts w:ascii="宋体" w:hAnsi="宋体" w:eastAsia="宋体" w:cs="宋体"/>
                <w:i w:val="0"/>
                <w:iCs w:val="0"/>
                <w:color w:val="auto"/>
                <w:sz w:val="18"/>
                <w:szCs w:val="18"/>
                <w:highlight w:val="none"/>
                <w:u w:val="none"/>
              </w:rPr>
            </w:pPr>
            <w:r>
              <w:rPr>
                <w:rFonts w:ascii="宋体" w:hAnsi="宋体" w:eastAsia="宋体" w:cs="宋体"/>
                <w:i w:val="0"/>
                <w:iCs w:val="0"/>
                <w:snapToGrid w:val="0"/>
                <w:color w:val="auto"/>
                <w:kern w:val="0"/>
                <w:sz w:val="18"/>
                <w:szCs w:val="18"/>
                <w:highlight w:val="none"/>
                <w:u w:val="none"/>
                <w:lang w:val="en-US" w:eastAsia="zh-CN" w:bidi="ar"/>
              </w:rPr>
              <w:t>（1）路面平整、路肩完好、林带整齐。</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top"/>
          </w:tcPr>
          <w:p w14:paraId="4EBFDA42">
            <w:pPr>
              <w:jc w:val="left"/>
              <w:rPr>
                <w:rFonts w:hint="default" w:ascii="Arial" w:hAnsi="Arial" w:eastAsia="宋体" w:cs="Arial"/>
                <w:i w:val="0"/>
                <w:iCs w:val="0"/>
                <w:color w:val="auto"/>
                <w:sz w:val="18"/>
                <w:szCs w:val="18"/>
                <w:highlight w:val="none"/>
                <w:u w:val="none"/>
              </w:rPr>
            </w:pP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top"/>
          </w:tcPr>
          <w:p w14:paraId="2F02BA79">
            <w:pPr>
              <w:jc w:val="left"/>
              <w:rPr>
                <w:rFonts w:hint="default" w:ascii="Arial" w:hAnsi="Arial" w:eastAsia="宋体" w:cs="Arial"/>
                <w:i w:val="0"/>
                <w:iCs w:val="0"/>
                <w:color w:val="auto"/>
                <w:sz w:val="18"/>
                <w:szCs w:val="18"/>
                <w:highlight w:val="none"/>
                <w:u w:val="none"/>
              </w:rPr>
            </w:pPr>
          </w:p>
        </w:tc>
      </w:tr>
      <w:tr w14:paraId="1E00CE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6E94F4">
            <w:pPr>
              <w:jc w:val="center"/>
              <w:rPr>
                <w:rFonts w:hint="eastAsia" w:ascii="宋体" w:hAnsi="宋体" w:eastAsia="宋体" w:cs="宋体"/>
                <w:b/>
                <w:bCs/>
                <w:i w:val="0"/>
                <w:iCs w:val="0"/>
                <w:color w:val="auto"/>
                <w:sz w:val="18"/>
                <w:szCs w:val="18"/>
                <w:highlight w:val="none"/>
                <w:u w:val="none"/>
              </w:rPr>
            </w:pPr>
          </w:p>
        </w:tc>
        <w:tc>
          <w:tcPr>
            <w:tcW w:w="36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633051">
            <w:pPr>
              <w:keepNext w:val="0"/>
              <w:keepLines w:val="0"/>
              <w:widowControl/>
              <w:suppressLineNumbers w:val="0"/>
              <w:jc w:val="center"/>
              <w:textAlignment w:val="center"/>
              <w:rPr>
                <w:rFonts w:ascii="宋体" w:hAnsi="宋体" w:eastAsia="宋体" w:cs="宋体"/>
                <w:b/>
                <w:bCs/>
                <w:i w:val="0"/>
                <w:iCs w:val="0"/>
                <w:color w:val="auto"/>
                <w:sz w:val="18"/>
                <w:szCs w:val="18"/>
                <w:highlight w:val="none"/>
                <w:u w:val="none"/>
              </w:rPr>
            </w:pPr>
            <w:r>
              <w:rPr>
                <w:rFonts w:ascii="宋体" w:hAnsi="宋体" w:eastAsia="宋体" w:cs="宋体"/>
                <w:b/>
                <w:bCs/>
                <w:i w:val="0"/>
                <w:iCs w:val="0"/>
                <w:snapToGrid w:val="0"/>
                <w:color w:val="auto"/>
                <w:kern w:val="0"/>
                <w:sz w:val="18"/>
                <w:szCs w:val="18"/>
                <w:highlight w:val="none"/>
                <w:u w:val="none"/>
                <w:lang w:val="en-US" w:eastAsia="zh-CN" w:bidi="ar"/>
              </w:rPr>
              <w:t>结构尺寸</w:t>
            </w:r>
          </w:p>
        </w:tc>
        <w:tc>
          <w:tcPr>
            <w:tcW w:w="3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5EDBF">
            <w:pPr>
              <w:keepNext w:val="0"/>
              <w:keepLines w:val="0"/>
              <w:widowControl/>
              <w:suppressLineNumbers w:val="0"/>
              <w:jc w:val="left"/>
              <w:textAlignment w:val="center"/>
              <w:rPr>
                <w:rFonts w:ascii="宋体" w:hAnsi="宋体" w:eastAsia="宋体" w:cs="宋体"/>
                <w:i w:val="0"/>
                <w:iCs w:val="0"/>
                <w:color w:val="auto"/>
                <w:sz w:val="18"/>
                <w:szCs w:val="18"/>
                <w:highlight w:val="none"/>
                <w:u w:val="none"/>
              </w:rPr>
            </w:pPr>
            <w:r>
              <w:rPr>
                <w:rFonts w:ascii="宋体" w:hAnsi="宋体" w:eastAsia="宋体" w:cs="宋体"/>
                <w:i w:val="0"/>
                <w:iCs w:val="0"/>
                <w:snapToGrid w:val="0"/>
                <w:color w:val="auto"/>
                <w:kern w:val="0"/>
                <w:sz w:val="18"/>
                <w:szCs w:val="18"/>
                <w:highlight w:val="none"/>
                <w:u w:val="none"/>
                <w:lang w:val="en-US" w:eastAsia="zh-CN" w:bidi="ar"/>
              </w:rPr>
              <w:t>（1）路面是否有坑槽、路障。</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top"/>
          </w:tcPr>
          <w:p w14:paraId="5643C294">
            <w:pPr>
              <w:jc w:val="left"/>
              <w:rPr>
                <w:rFonts w:hint="default" w:ascii="Arial" w:hAnsi="Arial" w:eastAsia="宋体" w:cs="Arial"/>
                <w:i w:val="0"/>
                <w:iCs w:val="0"/>
                <w:color w:val="auto"/>
                <w:sz w:val="18"/>
                <w:szCs w:val="18"/>
                <w:highlight w:val="none"/>
                <w:u w:val="none"/>
              </w:rPr>
            </w:pP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top"/>
          </w:tcPr>
          <w:p w14:paraId="7F7EBCC9">
            <w:pPr>
              <w:jc w:val="left"/>
              <w:rPr>
                <w:rFonts w:hint="default" w:ascii="Arial" w:hAnsi="Arial" w:eastAsia="宋体" w:cs="Arial"/>
                <w:i w:val="0"/>
                <w:iCs w:val="0"/>
                <w:color w:val="auto"/>
                <w:sz w:val="18"/>
                <w:szCs w:val="18"/>
                <w:highlight w:val="none"/>
                <w:u w:val="none"/>
              </w:rPr>
            </w:pPr>
          </w:p>
        </w:tc>
      </w:tr>
      <w:tr w14:paraId="5B7B1F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D810BD">
            <w:pPr>
              <w:jc w:val="center"/>
              <w:rPr>
                <w:rFonts w:hint="eastAsia" w:ascii="宋体" w:hAnsi="宋体" w:eastAsia="宋体" w:cs="宋体"/>
                <w:b/>
                <w:bCs/>
                <w:i w:val="0"/>
                <w:iCs w:val="0"/>
                <w:color w:val="auto"/>
                <w:sz w:val="18"/>
                <w:szCs w:val="18"/>
                <w:highlight w:val="none"/>
                <w:u w:val="none"/>
              </w:rPr>
            </w:pPr>
          </w:p>
        </w:tc>
        <w:tc>
          <w:tcPr>
            <w:tcW w:w="36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B4173E">
            <w:pPr>
              <w:jc w:val="center"/>
              <w:rPr>
                <w:rFonts w:hint="eastAsia" w:ascii="宋体" w:hAnsi="宋体" w:eastAsia="宋体" w:cs="宋体"/>
                <w:b/>
                <w:bCs/>
                <w:i w:val="0"/>
                <w:iCs w:val="0"/>
                <w:color w:val="auto"/>
                <w:sz w:val="18"/>
                <w:szCs w:val="18"/>
                <w:highlight w:val="none"/>
                <w:u w:val="none"/>
              </w:rPr>
            </w:pPr>
          </w:p>
        </w:tc>
        <w:tc>
          <w:tcPr>
            <w:tcW w:w="3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E1A59B">
            <w:pPr>
              <w:keepNext w:val="0"/>
              <w:keepLines w:val="0"/>
              <w:widowControl/>
              <w:suppressLineNumbers w:val="0"/>
              <w:jc w:val="left"/>
              <w:textAlignment w:val="center"/>
              <w:rPr>
                <w:rFonts w:ascii="宋体" w:hAnsi="宋体" w:eastAsia="宋体" w:cs="宋体"/>
                <w:i w:val="0"/>
                <w:iCs w:val="0"/>
                <w:color w:val="auto"/>
                <w:sz w:val="18"/>
                <w:szCs w:val="18"/>
                <w:highlight w:val="none"/>
                <w:u w:val="none"/>
              </w:rPr>
            </w:pPr>
            <w:r>
              <w:rPr>
                <w:rFonts w:ascii="宋体" w:hAnsi="宋体" w:eastAsia="宋体" w:cs="宋体"/>
                <w:i w:val="0"/>
                <w:iCs w:val="0"/>
                <w:snapToGrid w:val="0"/>
                <w:color w:val="auto"/>
                <w:kern w:val="0"/>
                <w:sz w:val="18"/>
                <w:szCs w:val="18"/>
                <w:highlight w:val="none"/>
                <w:u w:val="none"/>
                <w:lang w:val="en-US" w:eastAsia="zh-CN" w:bidi="ar"/>
              </w:rPr>
              <w:t>（2）林带是否有干枯、倒折树木。</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top"/>
          </w:tcPr>
          <w:p w14:paraId="46D2897D">
            <w:pPr>
              <w:jc w:val="left"/>
              <w:rPr>
                <w:rFonts w:hint="default" w:ascii="Arial" w:hAnsi="Arial" w:eastAsia="宋体" w:cs="Arial"/>
                <w:i w:val="0"/>
                <w:iCs w:val="0"/>
                <w:color w:val="auto"/>
                <w:sz w:val="18"/>
                <w:szCs w:val="18"/>
                <w:highlight w:val="none"/>
                <w:u w:val="none"/>
              </w:rPr>
            </w:pP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top"/>
          </w:tcPr>
          <w:p w14:paraId="436655F2">
            <w:pPr>
              <w:jc w:val="left"/>
              <w:rPr>
                <w:rFonts w:hint="default" w:ascii="Arial" w:hAnsi="Arial" w:eastAsia="宋体" w:cs="Arial"/>
                <w:i w:val="0"/>
                <w:iCs w:val="0"/>
                <w:color w:val="auto"/>
                <w:sz w:val="18"/>
                <w:szCs w:val="18"/>
                <w:highlight w:val="none"/>
                <w:u w:val="none"/>
              </w:rPr>
            </w:pPr>
          </w:p>
        </w:tc>
      </w:tr>
      <w:tr w14:paraId="0F204C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4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5DCB1B">
            <w:pPr>
              <w:jc w:val="center"/>
              <w:rPr>
                <w:rFonts w:hint="eastAsia" w:ascii="宋体" w:hAnsi="宋体" w:eastAsia="宋体" w:cs="宋体"/>
                <w:b/>
                <w:bCs/>
                <w:i w:val="0"/>
                <w:iCs w:val="0"/>
                <w:color w:val="auto"/>
                <w:sz w:val="18"/>
                <w:szCs w:val="18"/>
                <w:highlight w:val="none"/>
                <w:u w:val="none"/>
              </w:rPr>
            </w:pPr>
          </w:p>
        </w:tc>
        <w:tc>
          <w:tcPr>
            <w:tcW w:w="3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A10424">
            <w:pPr>
              <w:keepNext w:val="0"/>
              <w:keepLines w:val="0"/>
              <w:widowControl/>
              <w:suppressLineNumbers w:val="0"/>
              <w:jc w:val="center"/>
              <w:textAlignment w:val="center"/>
              <w:rPr>
                <w:rFonts w:ascii="宋体" w:hAnsi="宋体" w:eastAsia="宋体" w:cs="宋体"/>
                <w:b/>
                <w:bCs/>
                <w:i w:val="0"/>
                <w:iCs w:val="0"/>
                <w:color w:val="auto"/>
                <w:sz w:val="18"/>
                <w:szCs w:val="18"/>
                <w:highlight w:val="none"/>
                <w:u w:val="none"/>
              </w:rPr>
            </w:pPr>
            <w:r>
              <w:rPr>
                <w:rFonts w:ascii="宋体" w:hAnsi="宋体" w:eastAsia="宋体" w:cs="宋体"/>
                <w:b/>
                <w:bCs/>
                <w:i w:val="0"/>
                <w:iCs w:val="0"/>
                <w:snapToGrid w:val="0"/>
                <w:color w:val="auto"/>
                <w:kern w:val="0"/>
                <w:sz w:val="18"/>
                <w:szCs w:val="18"/>
                <w:highlight w:val="none"/>
                <w:u w:val="none"/>
                <w:lang w:val="en-US" w:eastAsia="zh-CN" w:bidi="ar"/>
              </w:rPr>
              <w:t>运行使用</w:t>
            </w:r>
          </w:p>
        </w:tc>
        <w:tc>
          <w:tcPr>
            <w:tcW w:w="30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2E03C8">
            <w:pPr>
              <w:keepNext w:val="0"/>
              <w:keepLines w:val="0"/>
              <w:widowControl/>
              <w:suppressLineNumbers w:val="0"/>
              <w:jc w:val="left"/>
              <w:textAlignment w:val="center"/>
              <w:rPr>
                <w:rFonts w:ascii="宋体" w:hAnsi="宋体" w:eastAsia="宋体" w:cs="宋体"/>
                <w:i w:val="0"/>
                <w:iCs w:val="0"/>
                <w:color w:val="auto"/>
                <w:sz w:val="18"/>
                <w:szCs w:val="18"/>
                <w:highlight w:val="none"/>
                <w:u w:val="none"/>
              </w:rPr>
            </w:pPr>
            <w:r>
              <w:rPr>
                <w:rFonts w:ascii="宋体" w:hAnsi="宋体" w:eastAsia="宋体" w:cs="宋体"/>
                <w:i w:val="0"/>
                <w:iCs w:val="0"/>
                <w:snapToGrid w:val="0"/>
                <w:color w:val="auto"/>
                <w:kern w:val="0"/>
                <w:sz w:val="18"/>
                <w:szCs w:val="18"/>
                <w:highlight w:val="none"/>
                <w:u w:val="none"/>
                <w:lang w:val="en-US" w:eastAsia="zh-CN" w:bidi="ar"/>
              </w:rPr>
              <w:t>（</w:t>
            </w:r>
            <w:r>
              <w:rPr>
                <w:rStyle w:val="26"/>
                <w:rFonts w:eastAsia="宋体"/>
                <w:snapToGrid w:val="0"/>
                <w:color w:val="auto"/>
                <w:highlight w:val="none"/>
                <w:lang w:val="en-US" w:eastAsia="zh-CN" w:bidi="ar"/>
              </w:rPr>
              <w:t>1</w:t>
            </w:r>
            <w:r>
              <w:rPr>
                <w:rStyle w:val="25"/>
                <w:snapToGrid w:val="0"/>
                <w:color w:val="auto"/>
                <w:highlight w:val="none"/>
                <w:lang w:val="en-US" w:eastAsia="zh-CN" w:bidi="ar"/>
              </w:rPr>
              <w:t>）工程设施能够发挥预期功能作用。</w:t>
            </w:r>
          </w:p>
        </w:tc>
        <w:tc>
          <w:tcPr>
            <w:tcW w:w="428" w:type="pct"/>
            <w:tcBorders>
              <w:top w:val="single" w:color="000000" w:sz="4" w:space="0"/>
              <w:left w:val="single" w:color="000000" w:sz="4" w:space="0"/>
              <w:bottom w:val="single" w:color="000000" w:sz="4" w:space="0"/>
              <w:right w:val="single" w:color="000000" w:sz="4" w:space="0"/>
            </w:tcBorders>
            <w:shd w:val="clear" w:color="auto" w:fill="auto"/>
            <w:vAlign w:val="top"/>
          </w:tcPr>
          <w:p w14:paraId="15CFEB71">
            <w:pPr>
              <w:jc w:val="left"/>
              <w:rPr>
                <w:rFonts w:hint="default" w:ascii="Arial" w:hAnsi="Arial" w:eastAsia="宋体" w:cs="Arial"/>
                <w:i w:val="0"/>
                <w:iCs w:val="0"/>
                <w:color w:val="auto"/>
                <w:sz w:val="18"/>
                <w:szCs w:val="18"/>
                <w:highlight w:val="none"/>
                <w:u w:val="none"/>
              </w:rPr>
            </w:pPr>
          </w:p>
        </w:tc>
        <w:tc>
          <w:tcPr>
            <w:tcW w:w="697" w:type="pct"/>
            <w:tcBorders>
              <w:top w:val="single" w:color="000000" w:sz="4" w:space="0"/>
              <w:left w:val="single" w:color="000000" w:sz="4" w:space="0"/>
              <w:bottom w:val="single" w:color="000000" w:sz="4" w:space="0"/>
              <w:right w:val="single" w:color="000000" w:sz="4" w:space="0"/>
            </w:tcBorders>
            <w:shd w:val="clear" w:color="auto" w:fill="auto"/>
            <w:vAlign w:val="top"/>
          </w:tcPr>
          <w:p w14:paraId="4C1FD6B3">
            <w:pPr>
              <w:jc w:val="left"/>
              <w:rPr>
                <w:rFonts w:hint="default" w:ascii="Arial" w:hAnsi="Arial" w:eastAsia="宋体" w:cs="Arial"/>
                <w:i w:val="0"/>
                <w:iCs w:val="0"/>
                <w:color w:val="auto"/>
                <w:sz w:val="18"/>
                <w:szCs w:val="18"/>
                <w:highlight w:val="none"/>
                <w:u w:val="none"/>
              </w:rPr>
            </w:pPr>
          </w:p>
        </w:tc>
      </w:tr>
      <w:bookmarkEnd w:id="0"/>
    </w:tbl>
    <w:p w14:paraId="44B675E5">
      <w:pPr>
        <w:pStyle w:val="11"/>
        <w:bidi w:val="0"/>
        <w:rPr>
          <w:rFonts w:hint="eastAsia"/>
          <w:color w:val="auto"/>
          <w:lang w:val="en-US" w:eastAsia="zh-CN"/>
        </w:rPr>
      </w:pPr>
    </w:p>
    <w:sectPr>
      <w:headerReference r:id="rId5" w:type="default"/>
      <w:footerReference r:id="rId6" w:type="default"/>
      <w:pgSz w:w="16839" w:h="11906" w:orient="landscape"/>
      <w:pgMar w:top="1531" w:right="2098" w:bottom="1531" w:left="1984" w:header="0" w:footer="987" w:gutter="0"/>
      <w:pgNumType w:fmt="numberInDash"/>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82AEBCBF-59E5-4FF7-A3EA-6A74F8046AE5}"/>
  </w:font>
  <w:font w:name="黑体">
    <w:panose1 w:val="02010609060101010101"/>
    <w:charset w:val="86"/>
    <w:family w:val="auto"/>
    <w:pitch w:val="default"/>
    <w:sig w:usb0="800002BF" w:usb1="38CF7CFA" w:usb2="00000016" w:usb3="00000000" w:csb0="00040001" w:csb1="00000000"/>
    <w:embedRegular r:id="rId2" w:fontKey="{E5616A90-13B4-4B88-A3E2-F9DD8B41867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B39E4163-6470-417D-B5E9-9E5975854E46}"/>
  </w:font>
  <w:font w:name="楷体_GB2312">
    <w:panose1 w:val="02010609030101010101"/>
    <w:charset w:val="86"/>
    <w:family w:val="auto"/>
    <w:pitch w:val="default"/>
    <w:sig w:usb0="00000001" w:usb1="080E0000" w:usb2="00000000" w:usb3="00000000" w:csb0="00040000" w:csb1="00000000"/>
    <w:embedRegular r:id="rId4" w:fontKey="{6740AB0B-C1BF-469C-8EE6-8A8A1BF13B0C}"/>
  </w:font>
  <w:font w:name="仿宋_GB2312">
    <w:panose1 w:val="02010609030101010101"/>
    <w:charset w:val="86"/>
    <w:family w:val="modern"/>
    <w:pitch w:val="default"/>
    <w:sig w:usb0="00000001" w:usb1="080E0000" w:usb2="00000000" w:usb3="00000000" w:csb0="00040000" w:csb1="00000000"/>
    <w:embedRegular r:id="rId5" w:fontKey="{EEC3847A-716B-4639-A2C3-1F784315538B}"/>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6" w:fontKey="{3E8500C3-CBC6-420A-9CC8-228EBEAAE15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5A818">
    <w:pPr>
      <w:tabs>
        <w:tab w:val="left" w:pos="3828"/>
      </w:tabs>
      <w:spacing w:line="169" w:lineRule="auto"/>
      <w:ind w:left="8143"/>
      <w:rPr>
        <w:rFonts w:hint="default" w:ascii="Times New Roman" w:hAnsi="Times New Roman" w:eastAsia="宋体" w:cs="Times New Roman"/>
        <w:sz w:val="28"/>
        <w:szCs w:val="28"/>
        <w:lang w:eastAsia="zh-CN"/>
      </w:rPr>
    </w:pPr>
    <w:r>
      <w:rPr>
        <w:rFonts w:hint="default" w:ascii="Times New Roman" w:hAnsi="Times New Roman" w:cs="Times New Roman"/>
        <w:sz w:val="28"/>
        <w:szCs w:val="36"/>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27AA76">
                          <w:pPr>
                            <w:pStyle w:val="12"/>
                            <w:rPr>
                              <w:rFonts w:hint="default" w:ascii="Times New Roman" w:hAnsi="Times New Roman" w:cs="Times New Roman"/>
                              <w:sz w:val="24"/>
                              <w:szCs w:val="32"/>
                            </w:rPr>
                          </w:pPr>
                          <w:r>
                            <w:rPr>
                              <w:rFonts w:hint="default" w:ascii="Times New Roman" w:hAnsi="Times New Roman" w:cs="Times New Roman"/>
                              <w:sz w:val="24"/>
                              <w:szCs w:val="32"/>
                            </w:rPr>
                            <w:fldChar w:fldCharType="begin"/>
                          </w:r>
                          <w:r>
                            <w:rPr>
                              <w:rFonts w:hint="default" w:ascii="Times New Roman" w:hAnsi="Times New Roman" w:cs="Times New Roman"/>
                              <w:sz w:val="24"/>
                              <w:szCs w:val="32"/>
                            </w:rPr>
                            <w:instrText xml:space="preserve"> PAGE  \* MERGEFORMAT </w:instrText>
                          </w:r>
                          <w:r>
                            <w:rPr>
                              <w:rFonts w:hint="default" w:ascii="Times New Roman" w:hAnsi="Times New Roman" w:cs="Times New Roman"/>
                              <w:sz w:val="24"/>
                              <w:szCs w:val="32"/>
                            </w:rPr>
                            <w:fldChar w:fldCharType="separate"/>
                          </w:r>
                          <w:r>
                            <w:rPr>
                              <w:rFonts w:hint="default" w:ascii="Times New Roman" w:hAnsi="Times New Roman" w:cs="Times New Roman"/>
                              <w:sz w:val="24"/>
                              <w:szCs w:val="32"/>
                            </w:rPr>
                            <w:t>1</w:t>
                          </w:r>
                          <w:r>
                            <w:rPr>
                              <w:rFonts w:hint="default" w:ascii="Times New Roman" w:hAnsi="Times New Roman" w:cs="Times New Roman"/>
                              <w:sz w:val="24"/>
                              <w:szCs w:val="3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827AA76">
                    <w:pPr>
                      <w:pStyle w:val="12"/>
                      <w:rPr>
                        <w:rFonts w:hint="default" w:ascii="Times New Roman" w:hAnsi="Times New Roman" w:cs="Times New Roman"/>
                        <w:sz w:val="24"/>
                        <w:szCs w:val="32"/>
                      </w:rPr>
                    </w:pPr>
                    <w:r>
                      <w:rPr>
                        <w:rFonts w:hint="default" w:ascii="Times New Roman" w:hAnsi="Times New Roman" w:cs="Times New Roman"/>
                        <w:sz w:val="24"/>
                        <w:szCs w:val="32"/>
                      </w:rPr>
                      <w:fldChar w:fldCharType="begin"/>
                    </w:r>
                    <w:r>
                      <w:rPr>
                        <w:rFonts w:hint="default" w:ascii="Times New Roman" w:hAnsi="Times New Roman" w:cs="Times New Roman"/>
                        <w:sz w:val="24"/>
                        <w:szCs w:val="32"/>
                      </w:rPr>
                      <w:instrText xml:space="preserve"> PAGE  \* MERGEFORMAT </w:instrText>
                    </w:r>
                    <w:r>
                      <w:rPr>
                        <w:rFonts w:hint="default" w:ascii="Times New Roman" w:hAnsi="Times New Roman" w:cs="Times New Roman"/>
                        <w:sz w:val="24"/>
                        <w:szCs w:val="32"/>
                      </w:rPr>
                      <w:fldChar w:fldCharType="separate"/>
                    </w:r>
                    <w:r>
                      <w:rPr>
                        <w:rFonts w:hint="default" w:ascii="Times New Roman" w:hAnsi="Times New Roman" w:cs="Times New Roman"/>
                        <w:sz w:val="24"/>
                        <w:szCs w:val="32"/>
                      </w:rPr>
                      <w:t>1</w:t>
                    </w:r>
                    <w:r>
                      <w:rPr>
                        <w:rFonts w:hint="default" w:ascii="Times New Roman" w:hAnsi="Times New Roman" w:cs="Times New Roman"/>
                        <w:sz w:val="24"/>
                        <w:szCs w:val="32"/>
                      </w:rPr>
                      <w:fldChar w:fldCharType="end"/>
                    </w:r>
                  </w:p>
                </w:txbxContent>
              </v:textbox>
            </v:shape>
          </w:pict>
        </mc:Fallback>
      </mc:AlternateContent>
    </w:r>
    <w:r>
      <w:rPr>
        <w:rFonts w:hint="default" w:ascii="Times New Roman" w:hAnsi="Times New Roman" w:eastAsia="宋体" w:cs="Times New Roman"/>
        <w:sz w:val="28"/>
        <w:szCs w:val="28"/>
        <w:lang w:eastAsia="zh-CN"/>
      </w:rPr>
      <w:tab/>
    </w:r>
  </w:p>
  <w:p w14:paraId="24057D4F">
    <w:pPr>
      <w:spacing w:line="169" w:lineRule="auto"/>
      <w:rPr>
        <w:rFonts w:ascii="Calibri" w:hAnsi="Calibri" w:eastAsia="Calibri" w:cs="Calibri"/>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377C19">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A352EC">
    <w:pPr>
      <w:spacing w:line="169" w:lineRule="auto"/>
      <w:ind w:left="8143"/>
      <w:rPr>
        <w:rFonts w:ascii="Calibri" w:hAnsi="Calibri" w:eastAsia="Calibri" w:cs="Calibri"/>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8F8132">
                          <w:pPr>
                            <w:pStyle w:val="12"/>
                            <w:rPr>
                              <w:rFonts w:hint="default" w:ascii="Times New Roman" w:hAnsi="Times New Roman" w:cs="Times New Roman"/>
                              <w:sz w:val="24"/>
                              <w:szCs w:val="32"/>
                            </w:rPr>
                          </w:pPr>
                          <w:r>
                            <w:rPr>
                              <w:rFonts w:hint="default" w:ascii="Times New Roman" w:hAnsi="Times New Roman" w:cs="Times New Roman"/>
                              <w:sz w:val="24"/>
                              <w:szCs w:val="32"/>
                            </w:rPr>
                            <w:fldChar w:fldCharType="begin"/>
                          </w:r>
                          <w:r>
                            <w:rPr>
                              <w:rFonts w:hint="default" w:ascii="Times New Roman" w:hAnsi="Times New Roman" w:cs="Times New Roman"/>
                              <w:sz w:val="24"/>
                              <w:szCs w:val="32"/>
                            </w:rPr>
                            <w:instrText xml:space="preserve"> PAGE  \* MERGEFORMAT </w:instrText>
                          </w:r>
                          <w:r>
                            <w:rPr>
                              <w:rFonts w:hint="default" w:ascii="Times New Roman" w:hAnsi="Times New Roman" w:cs="Times New Roman"/>
                              <w:sz w:val="24"/>
                              <w:szCs w:val="32"/>
                            </w:rPr>
                            <w:fldChar w:fldCharType="separate"/>
                          </w:r>
                          <w:r>
                            <w:rPr>
                              <w:rFonts w:hint="default" w:ascii="Times New Roman" w:hAnsi="Times New Roman" w:cs="Times New Roman"/>
                              <w:sz w:val="24"/>
                              <w:szCs w:val="32"/>
                            </w:rPr>
                            <w:t>- 14 -</w:t>
                          </w:r>
                          <w:r>
                            <w:rPr>
                              <w:rFonts w:hint="default" w:ascii="Times New Roman" w:hAnsi="Times New Roman" w:cs="Times New Roman"/>
                              <w:sz w:val="24"/>
                              <w:szCs w:val="3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D8F8132">
                    <w:pPr>
                      <w:pStyle w:val="12"/>
                      <w:rPr>
                        <w:rFonts w:hint="default" w:ascii="Times New Roman" w:hAnsi="Times New Roman" w:cs="Times New Roman"/>
                        <w:sz w:val="24"/>
                        <w:szCs w:val="32"/>
                      </w:rPr>
                    </w:pPr>
                    <w:r>
                      <w:rPr>
                        <w:rFonts w:hint="default" w:ascii="Times New Roman" w:hAnsi="Times New Roman" w:cs="Times New Roman"/>
                        <w:sz w:val="24"/>
                        <w:szCs w:val="32"/>
                      </w:rPr>
                      <w:fldChar w:fldCharType="begin"/>
                    </w:r>
                    <w:r>
                      <w:rPr>
                        <w:rFonts w:hint="default" w:ascii="Times New Roman" w:hAnsi="Times New Roman" w:cs="Times New Roman"/>
                        <w:sz w:val="24"/>
                        <w:szCs w:val="32"/>
                      </w:rPr>
                      <w:instrText xml:space="preserve"> PAGE  \* MERGEFORMAT </w:instrText>
                    </w:r>
                    <w:r>
                      <w:rPr>
                        <w:rFonts w:hint="default" w:ascii="Times New Roman" w:hAnsi="Times New Roman" w:cs="Times New Roman"/>
                        <w:sz w:val="24"/>
                        <w:szCs w:val="32"/>
                      </w:rPr>
                      <w:fldChar w:fldCharType="separate"/>
                    </w:r>
                    <w:r>
                      <w:rPr>
                        <w:rFonts w:hint="default" w:ascii="Times New Roman" w:hAnsi="Times New Roman" w:cs="Times New Roman"/>
                        <w:sz w:val="24"/>
                        <w:szCs w:val="32"/>
                      </w:rPr>
                      <w:t>- 14 -</w:t>
                    </w:r>
                    <w:r>
                      <w:rPr>
                        <w:rFonts w:hint="default" w:ascii="Times New Roman" w:hAnsi="Times New Roman" w:cs="Times New Roman"/>
                        <w:sz w:val="24"/>
                        <w:szCs w:val="32"/>
                      </w:rPr>
                      <w:fldChar w:fldCharType="end"/>
                    </w:r>
                  </w:p>
                </w:txbxContent>
              </v:textbox>
            </v:shape>
          </w:pict>
        </mc:Fallback>
      </mc:AlternateContent>
    </w:r>
  </w:p>
  <w:p w14:paraId="7143E967">
    <w:pPr>
      <w:spacing w:line="169" w:lineRule="auto"/>
      <w:rPr>
        <w:rFonts w:ascii="Calibri" w:hAnsi="Calibri" w:eastAsia="Calibri" w:cs="Calibri"/>
        <w:sz w:val="18"/>
        <w:szCs w:val="1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39187C">
    <w:pPr>
      <w:pStyle w:val="13"/>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HorizontalSpacing w:val="158"/>
  <w:drawingGridVerticalSpacing w:val="29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9253317"/>
    <w:rsid w:val="00030607"/>
    <w:rsid w:val="00123B95"/>
    <w:rsid w:val="00161321"/>
    <w:rsid w:val="00224245"/>
    <w:rsid w:val="00300B0D"/>
    <w:rsid w:val="00566160"/>
    <w:rsid w:val="00681F91"/>
    <w:rsid w:val="006A4601"/>
    <w:rsid w:val="00725BCE"/>
    <w:rsid w:val="00730B04"/>
    <w:rsid w:val="00805702"/>
    <w:rsid w:val="00861E36"/>
    <w:rsid w:val="008A4071"/>
    <w:rsid w:val="0091619E"/>
    <w:rsid w:val="009602E2"/>
    <w:rsid w:val="009A33F1"/>
    <w:rsid w:val="00AB02BB"/>
    <w:rsid w:val="00AB7BD7"/>
    <w:rsid w:val="00B408F3"/>
    <w:rsid w:val="00CD08B0"/>
    <w:rsid w:val="00CF48BD"/>
    <w:rsid w:val="00DD0BCD"/>
    <w:rsid w:val="00E66DD3"/>
    <w:rsid w:val="00F14B5A"/>
    <w:rsid w:val="00FC3457"/>
    <w:rsid w:val="01221BD7"/>
    <w:rsid w:val="023E51BE"/>
    <w:rsid w:val="03D57445"/>
    <w:rsid w:val="04367AF8"/>
    <w:rsid w:val="04840BB9"/>
    <w:rsid w:val="05105BAD"/>
    <w:rsid w:val="05576ACE"/>
    <w:rsid w:val="05BA6ECD"/>
    <w:rsid w:val="05DD6427"/>
    <w:rsid w:val="06694945"/>
    <w:rsid w:val="066F130B"/>
    <w:rsid w:val="06832BC0"/>
    <w:rsid w:val="070A4D37"/>
    <w:rsid w:val="079052BE"/>
    <w:rsid w:val="07F40498"/>
    <w:rsid w:val="084859A3"/>
    <w:rsid w:val="09AF0A32"/>
    <w:rsid w:val="09D02822"/>
    <w:rsid w:val="0ACA11D2"/>
    <w:rsid w:val="0CAE1337"/>
    <w:rsid w:val="0CDD4579"/>
    <w:rsid w:val="106F460A"/>
    <w:rsid w:val="108C5971"/>
    <w:rsid w:val="10D375F0"/>
    <w:rsid w:val="10F375CC"/>
    <w:rsid w:val="10FE14EA"/>
    <w:rsid w:val="113B24D4"/>
    <w:rsid w:val="125766A5"/>
    <w:rsid w:val="129720DB"/>
    <w:rsid w:val="13EF1094"/>
    <w:rsid w:val="14425B91"/>
    <w:rsid w:val="14D31B9F"/>
    <w:rsid w:val="154554B0"/>
    <w:rsid w:val="166F5D10"/>
    <w:rsid w:val="169961A3"/>
    <w:rsid w:val="16A61C36"/>
    <w:rsid w:val="16DD456A"/>
    <w:rsid w:val="16F22318"/>
    <w:rsid w:val="1A1815DD"/>
    <w:rsid w:val="1A620D3B"/>
    <w:rsid w:val="1A670100"/>
    <w:rsid w:val="1B680196"/>
    <w:rsid w:val="1DDA43AF"/>
    <w:rsid w:val="1E656AAA"/>
    <w:rsid w:val="1EE420D4"/>
    <w:rsid w:val="2028213D"/>
    <w:rsid w:val="211342D8"/>
    <w:rsid w:val="212104C2"/>
    <w:rsid w:val="21726B3C"/>
    <w:rsid w:val="220B3A67"/>
    <w:rsid w:val="23773444"/>
    <w:rsid w:val="23B2453B"/>
    <w:rsid w:val="24CD2AA4"/>
    <w:rsid w:val="265B50F4"/>
    <w:rsid w:val="28894890"/>
    <w:rsid w:val="2A242C74"/>
    <w:rsid w:val="2A565288"/>
    <w:rsid w:val="2B0D2030"/>
    <w:rsid w:val="2BCD6BEB"/>
    <w:rsid w:val="2BFE3D51"/>
    <w:rsid w:val="2C2871DC"/>
    <w:rsid w:val="2CBA0563"/>
    <w:rsid w:val="2D773818"/>
    <w:rsid w:val="2DCD42C6"/>
    <w:rsid w:val="2E2760CC"/>
    <w:rsid w:val="2E5B609D"/>
    <w:rsid w:val="2EA17C2D"/>
    <w:rsid w:val="2ED97CB8"/>
    <w:rsid w:val="3027561A"/>
    <w:rsid w:val="312732EC"/>
    <w:rsid w:val="31615CFA"/>
    <w:rsid w:val="316D7A19"/>
    <w:rsid w:val="32BB3836"/>
    <w:rsid w:val="32BC7BC0"/>
    <w:rsid w:val="330D5B99"/>
    <w:rsid w:val="335E433E"/>
    <w:rsid w:val="34BB0661"/>
    <w:rsid w:val="34EE68ED"/>
    <w:rsid w:val="35D24AF0"/>
    <w:rsid w:val="35D850E1"/>
    <w:rsid w:val="36F05BAE"/>
    <w:rsid w:val="372C1CA1"/>
    <w:rsid w:val="375C6562"/>
    <w:rsid w:val="37AC319E"/>
    <w:rsid w:val="385C35C6"/>
    <w:rsid w:val="385D20A6"/>
    <w:rsid w:val="39253317"/>
    <w:rsid w:val="39D22214"/>
    <w:rsid w:val="39D52E80"/>
    <w:rsid w:val="39E94998"/>
    <w:rsid w:val="3A9130E1"/>
    <w:rsid w:val="3B5516FF"/>
    <w:rsid w:val="3B6566C5"/>
    <w:rsid w:val="3C9E57AB"/>
    <w:rsid w:val="3D464256"/>
    <w:rsid w:val="3DE633EC"/>
    <w:rsid w:val="3E04094A"/>
    <w:rsid w:val="3E1026D9"/>
    <w:rsid w:val="3E6A44D6"/>
    <w:rsid w:val="3E753E5F"/>
    <w:rsid w:val="3F7247A8"/>
    <w:rsid w:val="3FA00831"/>
    <w:rsid w:val="41A76055"/>
    <w:rsid w:val="41CC129B"/>
    <w:rsid w:val="422C4811"/>
    <w:rsid w:val="4274065A"/>
    <w:rsid w:val="42D32398"/>
    <w:rsid w:val="43374264"/>
    <w:rsid w:val="44B12482"/>
    <w:rsid w:val="44FB2DBF"/>
    <w:rsid w:val="47AC14F2"/>
    <w:rsid w:val="486931D4"/>
    <w:rsid w:val="48DD1B4F"/>
    <w:rsid w:val="49EF2E3B"/>
    <w:rsid w:val="49FE0B3A"/>
    <w:rsid w:val="4AA16D04"/>
    <w:rsid w:val="4AD4126E"/>
    <w:rsid w:val="4B5A09CD"/>
    <w:rsid w:val="4B5C17AF"/>
    <w:rsid w:val="4B783F5F"/>
    <w:rsid w:val="4C19122A"/>
    <w:rsid w:val="4C3F4779"/>
    <w:rsid w:val="4C506B77"/>
    <w:rsid w:val="4C5B56AA"/>
    <w:rsid w:val="4DDA08E0"/>
    <w:rsid w:val="4DF26BF1"/>
    <w:rsid w:val="4F6D03F9"/>
    <w:rsid w:val="506F403E"/>
    <w:rsid w:val="50A07814"/>
    <w:rsid w:val="51D3128D"/>
    <w:rsid w:val="52E72EA2"/>
    <w:rsid w:val="53D21A4A"/>
    <w:rsid w:val="54B61313"/>
    <w:rsid w:val="57E37DC1"/>
    <w:rsid w:val="57FC539E"/>
    <w:rsid w:val="59B13E84"/>
    <w:rsid w:val="59FF22C7"/>
    <w:rsid w:val="5A351A8F"/>
    <w:rsid w:val="5A7F1109"/>
    <w:rsid w:val="5B677D81"/>
    <w:rsid w:val="5B80609E"/>
    <w:rsid w:val="5BCA56F5"/>
    <w:rsid w:val="5BF66338"/>
    <w:rsid w:val="5C366A56"/>
    <w:rsid w:val="5ED314D6"/>
    <w:rsid w:val="5EFA0B0F"/>
    <w:rsid w:val="5F5C029C"/>
    <w:rsid w:val="605A0420"/>
    <w:rsid w:val="62872B3A"/>
    <w:rsid w:val="6488096B"/>
    <w:rsid w:val="64F67D8E"/>
    <w:rsid w:val="662F5ADF"/>
    <w:rsid w:val="67813A29"/>
    <w:rsid w:val="68FF218C"/>
    <w:rsid w:val="690470DA"/>
    <w:rsid w:val="6A8D3725"/>
    <w:rsid w:val="6D917BF2"/>
    <w:rsid w:val="6ED1380F"/>
    <w:rsid w:val="6EFD1B49"/>
    <w:rsid w:val="6FB57934"/>
    <w:rsid w:val="705E53A2"/>
    <w:rsid w:val="70723CA2"/>
    <w:rsid w:val="707E3B6E"/>
    <w:rsid w:val="7164396B"/>
    <w:rsid w:val="71FE241E"/>
    <w:rsid w:val="72DD7562"/>
    <w:rsid w:val="72E67EA0"/>
    <w:rsid w:val="73F76C73"/>
    <w:rsid w:val="74F4000D"/>
    <w:rsid w:val="76252B26"/>
    <w:rsid w:val="76916A34"/>
    <w:rsid w:val="771953B8"/>
    <w:rsid w:val="77471FC0"/>
    <w:rsid w:val="78E8666B"/>
    <w:rsid w:val="791D1A17"/>
    <w:rsid w:val="79CC30B9"/>
    <w:rsid w:val="79DD66D1"/>
    <w:rsid w:val="7A553E8C"/>
    <w:rsid w:val="7A904F95"/>
    <w:rsid w:val="7B40511F"/>
    <w:rsid w:val="7B412839"/>
    <w:rsid w:val="7BDA7C04"/>
    <w:rsid w:val="7D3149F1"/>
    <w:rsid w:val="7D32497B"/>
    <w:rsid w:val="7D653255"/>
    <w:rsid w:val="7DC84D08"/>
    <w:rsid w:val="7DF033B2"/>
    <w:rsid w:val="7FC65C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officialmode val="1"/>
    </mc:Choice>
  </mc:AlternateContent>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1"/>
    <w:next w:val="1"/>
    <w:qFormat/>
    <w:uiPriority w:val="0"/>
    <w:pPr>
      <w:keepNext/>
      <w:keepLines/>
      <w:spacing w:beforeLines="0" w:beforeAutospacing="0" w:afterLines="0" w:afterAutospacing="0" w:line="560" w:lineRule="exact"/>
      <w:ind w:firstLine="894" w:firstLineChars="200"/>
      <w:outlineLvl w:val="0"/>
    </w:pPr>
    <w:rPr>
      <w:rFonts w:ascii="黑体" w:hAnsi="黑体" w:eastAsia="黑体" w:cs="黑体"/>
      <w:kern w:val="44"/>
      <w:sz w:val="32"/>
      <w:szCs w:val="32"/>
    </w:rPr>
  </w:style>
  <w:style w:type="paragraph" w:styleId="3">
    <w:name w:val="heading 2"/>
    <w:next w:val="1"/>
    <w:link w:val="30"/>
    <w:unhideWhenUsed/>
    <w:qFormat/>
    <w:uiPriority w:val="0"/>
    <w:pPr>
      <w:keepNext/>
      <w:keepLines/>
      <w:spacing w:beforeLines="0" w:beforeAutospacing="0" w:afterLines="0" w:afterAutospacing="0" w:line="560" w:lineRule="exact"/>
      <w:ind w:firstLine="894" w:firstLineChars="200"/>
      <w:outlineLvl w:val="1"/>
    </w:pPr>
    <w:rPr>
      <w:rFonts w:ascii="Times New Roman" w:hAnsi="Times New Roman" w:eastAsia="楷体_GB2312" w:cs="楷体_GB2312"/>
      <w:sz w:val="32"/>
      <w:szCs w:val="32"/>
    </w:rPr>
  </w:style>
  <w:style w:type="paragraph" w:styleId="4">
    <w:name w:val="heading 3"/>
    <w:next w:val="1"/>
    <w:unhideWhenUsed/>
    <w:qFormat/>
    <w:uiPriority w:val="0"/>
    <w:pPr>
      <w:keepNext/>
      <w:keepLines/>
      <w:spacing w:beforeLines="0" w:beforeAutospacing="0" w:afterLines="0" w:afterAutospacing="0" w:line="560" w:lineRule="exact"/>
      <w:ind w:firstLine="894" w:firstLineChars="200"/>
      <w:outlineLvl w:val="2"/>
    </w:pPr>
    <w:rPr>
      <w:rFonts w:ascii="Times New Roman" w:hAnsi="Times New Roman" w:eastAsia="仿宋_GB2312" w:cs="仿宋_GB2312"/>
      <w:sz w:val="32"/>
      <w:szCs w:val="32"/>
    </w:rPr>
  </w:style>
  <w:style w:type="paragraph" w:styleId="5">
    <w:name w:val="heading 4"/>
    <w:next w:val="1"/>
    <w:unhideWhenUsed/>
    <w:qFormat/>
    <w:uiPriority w:val="0"/>
    <w:pPr>
      <w:keepNext/>
      <w:keepLines/>
      <w:spacing w:beforeLines="0" w:beforeAutospacing="0" w:afterLines="0" w:afterAutospacing="0" w:line="560" w:lineRule="exact"/>
      <w:ind w:firstLine="894" w:firstLineChars="200"/>
      <w:outlineLvl w:val="3"/>
    </w:pPr>
    <w:rPr>
      <w:rFonts w:ascii="Times New Roman" w:hAnsi="Times New Roman" w:eastAsia="仿宋_GB2312" w:cs="仿宋_GB2312"/>
      <w:sz w:val="32"/>
      <w:szCs w:val="32"/>
    </w:rPr>
  </w:style>
  <w:style w:type="paragraph" w:styleId="6">
    <w:name w:val="heading 5"/>
    <w:next w:val="1"/>
    <w:semiHidden/>
    <w:unhideWhenUsed/>
    <w:qFormat/>
    <w:uiPriority w:val="0"/>
    <w:pPr>
      <w:spacing w:line="560" w:lineRule="exact"/>
      <w:ind w:firstLine="894" w:firstLineChars="200"/>
      <w:outlineLvl w:val="4"/>
    </w:pPr>
    <w:rPr>
      <w:rFonts w:ascii="Times New Roman" w:hAnsi="Times New Roman" w:eastAsia="仿宋_GB2312" w:cs="仿宋_GB2312"/>
      <w:sz w:val="32"/>
      <w:szCs w:val="32"/>
    </w:rPr>
  </w:style>
  <w:style w:type="paragraph" w:styleId="7">
    <w:name w:val="heading 6"/>
    <w:next w:val="1"/>
    <w:semiHidden/>
    <w:unhideWhenUsed/>
    <w:qFormat/>
    <w:uiPriority w:val="0"/>
    <w:pPr>
      <w:spacing w:line="560" w:lineRule="exact"/>
      <w:ind w:firstLine="894" w:firstLineChars="200"/>
      <w:outlineLvl w:val="5"/>
    </w:pPr>
    <w:rPr>
      <w:rFonts w:ascii="Times New Roman" w:hAnsi="Times New Roman" w:eastAsia="仿宋_GB2312" w:cs="仿宋_GB2312"/>
      <w:sz w:val="32"/>
      <w:szCs w:val="32"/>
    </w:rPr>
  </w:style>
  <w:style w:type="paragraph" w:styleId="8">
    <w:name w:val="heading 7"/>
    <w:next w:val="1"/>
    <w:semiHidden/>
    <w:unhideWhenUsed/>
    <w:qFormat/>
    <w:uiPriority w:val="0"/>
    <w:pPr>
      <w:spacing w:line="560" w:lineRule="exact"/>
      <w:ind w:firstLine="894" w:firstLineChars="200"/>
      <w:outlineLvl w:val="6"/>
    </w:pPr>
    <w:rPr>
      <w:rFonts w:ascii="Times New Roman" w:hAnsi="Times New Roman" w:eastAsia="仿宋_GB2312" w:cs="仿宋_GB2312"/>
      <w:sz w:val="32"/>
      <w:szCs w:val="32"/>
    </w:rPr>
  </w:style>
  <w:style w:type="paragraph" w:styleId="9">
    <w:name w:val="heading 8"/>
    <w:next w:val="1"/>
    <w:semiHidden/>
    <w:unhideWhenUsed/>
    <w:qFormat/>
    <w:uiPriority w:val="0"/>
    <w:pPr>
      <w:spacing w:line="560" w:lineRule="exact"/>
      <w:ind w:firstLine="894" w:firstLineChars="200"/>
      <w:outlineLvl w:val="7"/>
    </w:pPr>
    <w:rPr>
      <w:rFonts w:ascii="Times New Roman" w:hAnsi="Times New Roman" w:eastAsia="仿宋_GB2312" w:cs="仿宋_GB2312"/>
      <w:sz w:val="32"/>
      <w:szCs w:val="32"/>
    </w:rPr>
  </w:style>
  <w:style w:type="paragraph" w:styleId="10">
    <w:name w:val="heading 9"/>
    <w:next w:val="1"/>
    <w:semiHidden/>
    <w:unhideWhenUsed/>
    <w:qFormat/>
    <w:uiPriority w:val="0"/>
    <w:pPr>
      <w:spacing w:line="560" w:lineRule="exact"/>
      <w:ind w:firstLine="894" w:firstLineChars="200"/>
      <w:outlineLvl w:val="8"/>
    </w:pPr>
    <w:rPr>
      <w:rFonts w:ascii="Times New Roman" w:hAnsi="Times New Roman" w:eastAsia="仿宋_GB2312" w:cs="仿宋_GB2312"/>
      <w:sz w:val="32"/>
      <w:szCs w:val="32"/>
    </w:rPr>
  </w:style>
  <w:style w:type="character" w:default="1" w:styleId="18">
    <w:name w:val="Default Paragraph Font"/>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11">
    <w:name w:val="Body Text"/>
    <w:qFormat/>
    <w:uiPriority w:val="0"/>
    <w:pPr>
      <w:spacing w:line="560" w:lineRule="exact"/>
      <w:ind w:firstLine="630" w:firstLineChars="200"/>
      <w:jc w:val="both"/>
    </w:pPr>
    <w:rPr>
      <w:rFonts w:ascii="Times New Roman" w:hAnsi="Times New Roman" w:eastAsia="仿宋_GB2312" w:cs="仿宋_GB2312"/>
      <w:spacing w:val="-6"/>
      <w:sz w:val="32"/>
      <w:szCs w:val="32"/>
    </w:rPr>
  </w:style>
  <w:style w:type="paragraph" w:styleId="12">
    <w:name w:val="footer"/>
    <w:basedOn w:val="1"/>
    <w:qFormat/>
    <w:uiPriority w:val="0"/>
    <w:pPr>
      <w:tabs>
        <w:tab w:val="center" w:pos="4153"/>
        <w:tab w:val="right" w:pos="8306"/>
      </w:tabs>
    </w:pPr>
    <w:rPr>
      <w:sz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14">
    <w:name w:val="Subtitle"/>
    <w:qFormat/>
    <w:uiPriority w:val="0"/>
    <w:pPr>
      <w:spacing w:beforeLines="0" w:beforeAutospacing="0" w:afterLines="0" w:afterAutospacing="0" w:line="720" w:lineRule="exact"/>
      <w:jc w:val="center"/>
      <w:outlineLvl w:val="9"/>
    </w:pPr>
    <w:rPr>
      <w:rFonts w:ascii="Times New Roman" w:hAnsi="Times New Roman" w:eastAsia="仿宋_GB2312" w:cs="仿宋_GB2312"/>
      <w:kern w:val="28"/>
      <w:sz w:val="32"/>
      <w:szCs w:val="32"/>
    </w:rPr>
  </w:style>
  <w:style w:type="paragraph" w:styleId="15">
    <w:name w:val="Title"/>
    <w:qFormat/>
    <w:uiPriority w:val="0"/>
    <w:pPr>
      <w:spacing w:line="720" w:lineRule="exact"/>
      <w:jc w:val="center"/>
      <w:outlineLvl w:val="9"/>
    </w:pPr>
    <w:rPr>
      <w:rFonts w:ascii="方正小标宋简体" w:hAnsi="方正小标宋简体" w:eastAsia="方正小标宋简体" w:cs="方正小标宋简体"/>
      <w:sz w:val="44"/>
      <w:szCs w:val="44"/>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Strong"/>
    <w:basedOn w:val="18"/>
    <w:qFormat/>
    <w:uiPriority w:val="0"/>
    <w:rPr>
      <w:b/>
    </w:rPr>
  </w:style>
  <w:style w:type="table" w:customStyle="1" w:styleId="20">
    <w:name w:val="Table Normal"/>
    <w:semiHidden/>
    <w:unhideWhenUsed/>
    <w:qFormat/>
    <w:uiPriority w:val="0"/>
    <w:tblPr>
      <w:tblCellMar>
        <w:top w:w="0" w:type="dxa"/>
        <w:left w:w="0" w:type="dxa"/>
        <w:bottom w:w="0" w:type="dxa"/>
        <w:right w:w="0" w:type="dxa"/>
      </w:tblCellMar>
    </w:tblPr>
  </w:style>
  <w:style w:type="character" w:customStyle="1" w:styleId="21">
    <w:name w:val="font61"/>
    <w:basedOn w:val="18"/>
    <w:qFormat/>
    <w:uiPriority w:val="0"/>
    <w:rPr>
      <w:rFonts w:ascii="黑体" w:hAnsi="宋体" w:eastAsia="黑体" w:cs="黑体"/>
      <w:color w:val="000000"/>
      <w:sz w:val="18"/>
      <w:szCs w:val="18"/>
      <w:u w:val="single"/>
    </w:rPr>
  </w:style>
  <w:style w:type="character" w:customStyle="1" w:styleId="22">
    <w:name w:val="font21"/>
    <w:basedOn w:val="18"/>
    <w:qFormat/>
    <w:uiPriority w:val="0"/>
    <w:rPr>
      <w:rFonts w:ascii="黑体" w:hAnsi="宋体" w:eastAsia="黑体" w:cs="黑体"/>
      <w:color w:val="000000"/>
      <w:sz w:val="18"/>
      <w:szCs w:val="18"/>
      <w:u w:val="none"/>
    </w:rPr>
  </w:style>
  <w:style w:type="character" w:customStyle="1" w:styleId="23">
    <w:name w:val="font51"/>
    <w:basedOn w:val="18"/>
    <w:qFormat/>
    <w:uiPriority w:val="0"/>
    <w:rPr>
      <w:rFonts w:ascii="宋体" w:hAnsi="宋体" w:eastAsia="宋体" w:cs="宋体"/>
      <w:color w:val="000000"/>
      <w:sz w:val="18"/>
      <w:szCs w:val="18"/>
      <w:u w:val="none"/>
    </w:rPr>
  </w:style>
  <w:style w:type="character" w:customStyle="1" w:styleId="24">
    <w:name w:val="font71"/>
    <w:basedOn w:val="18"/>
    <w:qFormat/>
    <w:uiPriority w:val="0"/>
    <w:rPr>
      <w:rFonts w:hint="default" w:ascii="Times New Roman" w:hAnsi="Times New Roman" w:cs="Times New Roman"/>
      <w:color w:val="000000"/>
      <w:sz w:val="18"/>
      <w:szCs w:val="18"/>
      <w:u w:val="none"/>
    </w:rPr>
  </w:style>
  <w:style w:type="character" w:customStyle="1" w:styleId="25">
    <w:name w:val="font31"/>
    <w:basedOn w:val="18"/>
    <w:qFormat/>
    <w:uiPriority w:val="0"/>
    <w:rPr>
      <w:rFonts w:ascii="宋体" w:hAnsi="宋体" w:eastAsia="宋体" w:cs="宋体"/>
      <w:color w:val="000000"/>
      <w:sz w:val="18"/>
      <w:szCs w:val="18"/>
      <w:u w:val="none"/>
    </w:rPr>
  </w:style>
  <w:style w:type="character" w:customStyle="1" w:styleId="26">
    <w:name w:val="font41"/>
    <w:basedOn w:val="18"/>
    <w:qFormat/>
    <w:uiPriority w:val="0"/>
    <w:rPr>
      <w:rFonts w:hint="default" w:ascii="Times New Roman" w:hAnsi="Times New Roman" w:cs="Times New Roman"/>
      <w:color w:val="000000"/>
      <w:sz w:val="18"/>
      <w:szCs w:val="18"/>
      <w:u w:val="none"/>
    </w:rPr>
  </w:style>
  <w:style w:type="paragraph" w:customStyle="1" w:styleId="27">
    <w:name w:val="NormalIndent"/>
    <w:basedOn w:val="1"/>
    <w:qFormat/>
    <w:uiPriority w:val="0"/>
    <w:pPr>
      <w:ind w:firstLine="420" w:firstLineChars="200"/>
      <w:jc w:val="both"/>
    </w:pPr>
  </w:style>
  <w:style w:type="paragraph" w:customStyle="1" w:styleId="28">
    <w:name w:val="附录标题"/>
    <w:next w:val="1"/>
    <w:qFormat/>
    <w:uiPriority w:val="0"/>
    <w:pPr>
      <w:overflowPunct w:val="0"/>
      <w:topLinePunct/>
      <w:spacing w:line="560" w:lineRule="exact"/>
      <w:jc w:val="left"/>
      <w:outlineLvl w:val="0"/>
    </w:pPr>
    <w:rPr>
      <w:rFonts w:ascii="黑体" w:hAnsi="黑体" w:eastAsia="黑体" w:cs="黑体"/>
      <w:sz w:val="32"/>
      <w:szCs w:val="32"/>
    </w:rPr>
  </w:style>
  <w:style w:type="paragraph" w:customStyle="1" w:styleId="29">
    <w:name w:val="章标题"/>
    <w:next w:val="1"/>
    <w:qFormat/>
    <w:uiPriority w:val="0"/>
    <w:pPr>
      <w:widowControl w:val="0"/>
      <w:spacing w:line="560" w:lineRule="exact"/>
      <w:jc w:val="center"/>
      <w:outlineLvl w:val="0"/>
    </w:pPr>
    <w:rPr>
      <w:rFonts w:ascii="黑体" w:hAnsi="黑体" w:eastAsia="黑体" w:cs="黑体"/>
      <w:bCs/>
      <w:spacing w:val="-6"/>
      <w:kern w:val="44"/>
      <w:sz w:val="32"/>
      <w:szCs w:val="32"/>
      <w:lang w:bidi="ar-SA"/>
    </w:rPr>
  </w:style>
  <w:style w:type="character" w:customStyle="1" w:styleId="30">
    <w:name w:val="标题 2 Char"/>
    <w:link w:val="3"/>
    <w:qFormat/>
    <w:uiPriority w:val="0"/>
    <w:rPr>
      <w:rFonts w:ascii="Times New Roman" w:hAnsi="Times New Roman" w:eastAsia="楷体_GB2312" w:cs="楷体_GB2312"/>
      <w:sz w:val="32"/>
      <w:szCs w:val="3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576d37cb-948d-4fc5-826a-49a142a784fc</errorID>
      <errorWord>《中共中央办公厅、国务院办公厅</errorWord>
      <group>L1_Political</group>
      <groupName>政治性问题</groupName>
      <ability>L2_Unpolitical</ability>
      <abilityName>政治敏感错误</abilityName>
      <candidateList>
        <item>《中共中央办公厅 国务院办公厅</item>
      </candidateList>
      <explain/>
      <paraID>43262485</paraID>
      <start>3</start>
      <end>18</end>
      <status>modified</status>
      <modifiedWord>《中共中央办公厅 国务院办公厅</modifiedWord>
      <trackRevisions>false</trackRevisions>
    </reviewItem>
    <reviewItem>
      <errorID>9a95124f-a077-49d7-b808-70b866db864f</errorID>
      <errorWord>、就</errorWord>
      <group>L1_Punc</group>
      <groupName>标点问题</groupName>
      <ability>L2_Punc_CN</ability>
      <abilityName>标点符号问题</abilityName>
      <candidateList>
        <item>，就</item>
      </candidateList>
      <explain>连接词前后不宜使用顿号，建议使用逗号。</explain>
      <paraID> B7951A7</paraID>
      <start>11</start>
      <end>13</end>
      <status>modified</status>
      <modifiedWord>，就</modifiedWord>
      <trackRevisions>false</trackRevisions>
    </reviewItem>
    <reviewItem>
      <errorID>04a91c6b-562c-4ba6-a9d5-f6b41cf5e7b2</errorID>
      <errorWord>的的</errorWord>
      <group>L1_Word</group>
      <groupName>字词问题</groupName>
      <ability>L2_Typo</ability>
      <abilityName>字词错误</abilityName>
      <candidateList>
        <item>的</item>
      </candidateList>
      <explain/>
      <paraID>47C404BB</paraID>
      <start>63</start>
      <end>64</end>
      <status>modified</status>
      <modifiedWord>的</modifiedWord>
      <trackRevisions>false</trackRevisions>
    </reviewItem>
    <reviewItem>
      <errorID>18702479-e88e-4e9f-b957-fae94d176258</errorID>
      <errorWord>费</errorWord>
      <group>L1_Word</group>
      <groupName>字词问题</groupName>
      <ability>L2_Typo</ability>
      <abilityName>字词错误</abilityName>
      <candidateList>
        <item>费中</item>
      </candidateList>
      <explain/>
      <paraID>40DFD8E4</paraID>
      <start>55</start>
      <end>57</end>
      <status>modified</status>
      <modifiedWord>费中</modifiedWord>
      <trackRevisions>false</trackRevisions>
    </reviewItem>
    <reviewItem>
      <errorID>37d451de-0779-404b-9a33-a5abe28e9d17</errorID>
      <errorWord>，</errorWord>
      <group>L1_Word</group>
      <groupName>字词问题</groupName>
      <ability>L2_Typo</ability>
      <abilityName>字词错误</abilityName>
      <candidateList>
        <item>，把</item>
      </candidateList>
      <explain/>
      <paraID>4439619C</paraID>
      <start>39</start>
      <end>41</end>
      <status>modified</status>
      <modifiedWord>，把</modifiedWord>
      <trackRevisions>false</trackRevisions>
    </reviewItem>
    <reviewItem>
      <errorID>bb51e767-5b90-4eab-a062-ab7bfe73e504</errorID>
      <errorWord>护管</errorWord>
      <group>L1_Word</group>
      <groupName>字词问题</groupName>
      <ability>L2_Typo</ability>
      <abilityName>字词错误</abilityName>
      <candidateList>
        <item>管护</item>
      </candidateList>
      <explain/>
      <paraID>1E9F5070</paraID>
      <start>56</start>
      <end>58</end>
      <status>ignored</status>
      <modifiedWord/>
      <trackRevisions>false</trackRevisions>
    </reviewItem>
    <reviewItem>
      <errorID>8c25b146-d558-41dd-ad7f-81f94be47845</errorID>
      <errorWord>清</errorWord>
      <group>L1_Word</group>
      <groupName>字词问题</groupName>
      <ability>L2_Typo</ability>
      <abilityName>字词错误</abilityName>
      <candidateList>
        <item>清理</item>
      </candidateList>
      <explain/>
      <paraID>491AD03E</paraID>
      <start>20</start>
      <end>21</end>
      <status>ignored</status>
      <modifiedWord/>
      <trackRevisions>false</trackRevisions>
    </reviewItem>
    <reviewItem>
      <errorID>0bded4de-d52d-4a41-b50d-651e24b4a683</errorID>
      <errorWord>清</errorWord>
      <group>L1_Word</group>
      <groupName>字词问题</groupName>
      <ability>L2_Typo</ability>
      <abilityName>字词错误</abilityName>
      <candidateList>
        <item>清除</item>
      </candidateList>
      <explain/>
      <paraID>202AA540</paraID>
      <start>12</start>
      <end>13</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f09de54-1a6c-4378-a5ee-1e02ddc4df32}">
  <ds:schemaRefs/>
</ds:datastoreItem>
</file>

<file path=docProps/app.xml><?xml version="1.0" encoding="utf-8"?>
<Properties xmlns="http://schemas.openxmlformats.org/officeDocument/2006/extended-properties" xmlns:vt="http://schemas.openxmlformats.org/officeDocument/2006/docPropsVTypes">
  <Template>Normal.dotm</Template>
  <Pages>15</Pages>
  <Words>5533</Words>
  <Characters>5597</Characters>
  <Lines>88</Lines>
  <Paragraphs>39</Paragraphs>
  <TotalTime>944</TotalTime>
  <ScaleCrop>false</ScaleCrop>
  <LinksUpToDate>false</LinksUpToDate>
  <CharactersWithSpaces>5825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2026-06-04T11:42:00Z</dcterms:created>
  <dc:creator>随机而动</dc:creator>
  <cp:lastModifiedBy>森</cp:lastModifiedBy>
  <cp:lastPrinted>2026-07-28T03:17:00Z</cp:lastPrinted>
  <dcterms:modified xsi:type="dcterms:W3CDTF">2026-09-11T05:51:36Z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E7BD76F5F79542138B6BE7BF8ED70FE3_13</vt:lpwstr>
  </property>
  <property fmtid="{D5CDD505-2E9C-101B-9397-08002B2CF9AE}" pid="4" name="KSOTemplateDocerSaveRecord">
    <vt:lpwstr>eyJoZGlkIjoiZmE5NzUwODczZDE4M2Y3OTJjOTI3YmNmYzI1MGJkZWYiLCJ1c2VySWQiOiI2MTg2MTg1MDIifQ==</vt:lpwstr>
  </property>
</Properties>
</file>